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35567d8k.htm"/>
      <w:bookmarkStart w:id="1" w:name="ksd43556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SABRE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001-36422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20-8647322</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860"/>
        <w:gridCol w:w="60"/>
        <w:gridCol w:w="1145"/>
      </w:tblGrid>
      <w:tr>
        <w:trPr/>
        <w:tc>
          <w:tcPr>
            <w:tcW w:w="3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center"/>
              <w:rPr>
                <w:b/>
              </w:rPr>
            </w:pPr>
            <w:r>
              <w:rPr>
                <w:b/>
              </w:rPr>
              <w:t>3150 Sabre Drive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center"/>
              <w:rPr>
                <w:b/>
              </w:rPr>
            </w:pPr>
            <w:r>
              <w:rPr>
                <w:b/>
              </w:rPr>
              <w:t>Southlake, TX</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76092</w:t>
            </w:r>
          </w:p>
        </w:tc>
      </w:tr>
      <w:tr>
        <w:trPr/>
        <w:tc>
          <w:tcPr>
            <w:tcW w:w="386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(682) 605-1000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40" w:type="dxa"/>
        <w:jc w:val="left"/>
        <w:tblInd w:w="0" w:type="dxa"/>
        <w:tblLayout w:type="fixed"/>
        <w:tblCellMar>
          <w:top w:w="0" w:type="dxa"/>
          <w:left w:w="0" w:type="dxa"/>
          <w:bottom w:w="0" w:type="dxa"/>
          <w:right w:w="0" w:type="dxa"/>
        </w:tblCellMar>
      </w:tblPr>
      <w:tblGrid>
        <w:gridCol w:w="2990"/>
        <w:gridCol w:w="60"/>
        <w:gridCol w:w="665"/>
        <w:gridCol w:w="60"/>
        <w:gridCol w:w="3365"/>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SABR</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SPV Notes </w:t>
      </w:r>
    </w:p>
    <w:p>
      <w:pPr>
        <w:pStyle w:val="TextBody"/>
        <w:bidi w:val="0"/>
        <w:spacing w:before="120" w:after="0"/>
        <w:jc w:val="left"/>
        <w:rPr>
          <w:rFonts w:ascii="Times New Roman" w:hAnsi="Times New Roman"/>
          <w:b/>
          <w:sz w:val="20"/>
        </w:rPr>
      </w:pPr>
      <w:r>
        <w:rPr>
          <w:rFonts w:ascii="Times New Roman" w:hAnsi="Times New Roman"/>
          <w:b/>
          <w:sz w:val="20"/>
        </w:rPr>
        <w:t xml:space="preserve">SPV Notes Indenture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28, 2026 (the “SPV Notes Issue Date”), Sabre Financial Borrower, LLC (“Sabre Financial”), an indirect wholly-owned subsidiary of Sabre Corporation (“Sabre” or the “Company”), Sabre Financing Holdings LLC (“Sabre Financing”), Sabre Financial’s direct parent company, certain of Sabre’s Luxembourg subsidiaries and Wilmington Trust, National Association, as trustee and collateral agent, entered into an indenture (the “SPV Notes Indenture”) governing Sabre Financial’s newly issued 9.875% Senior Secured Notes due 2032 (the “SPV Notes”). The SPV Notes were issued in an aggregate principal amount of $1.35 billion, will pay interest semiannually in arrears on April 15 and October 15 of each year, beginning on April 15, 2027, at a rate of 9.875% per year, and will mature on October 15, 2032.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issuance of the SPV Notes were lent by Sabre Financial to Sabre GLBL pursuant to the New Intercompany Loan (as defined below). Sabre GLBL used a portion of the proceeds of the New Intercompany Loan to prepay the outstanding borrowings under the First Lien Pari Passu Credit Agreement (the “Existing Intercompany Loan”), among, </w:t>
      </w:r>
      <w:r>
        <w:rPr>
          <w:rFonts w:ascii="Times New Roman" w:hAnsi="Times New Roman"/>
          <w:i/>
          <w:sz w:val="20"/>
        </w:rPr>
        <w:t>inter alios</w:t>
      </w:r>
      <w:r>
        <w:rPr>
          <w:rFonts w:ascii="Times New Roman" w:hAnsi="Times New Roman"/>
          <w:sz w:val="20"/>
        </w:rPr>
        <w:t xml:space="preserve">, Sabre GLBL, as borrower, and Sabre Financial, as lender, at a prepayment price equal to 100% of the outstanding principal amount thereof, plus a customary make-whole premium and accrued and unpaid interest thereon to the prepayment date. Sabre GLBL used the remaining proceeds of the New Intercompany Loan after such prepayment to repurchase, pursuant to the previously announced Sabre GLBL Tender Offers (as defined below), $251,888,000.00 aggregate principal amount of its outstanding 10.750% Senior Secured Notes due 2029 for an aggregate purchase price of $260,002,641.89, consisting of $249,998,840.00 attributable to principal and $10,003,801.89 attributable to accrued and unpaid interest. </w:t>
      </w:r>
    </w:p>
    <w:p>
      <w:pPr>
        <w:pStyle w:val="TextBody"/>
        <w:bidi w:val="0"/>
        <w:spacing w:before="240" w:after="0"/>
        <w:jc w:val="left"/>
        <w:rPr>
          <w:rFonts w:ascii="Times New Roman" w:hAnsi="Times New Roman"/>
          <w:sz w:val="20"/>
        </w:rPr>
      </w:pPr>
      <w:r>
        <w:rPr>
          <w:rFonts w:ascii="Times New Roman" w:hAnsi="Times New Roman"/>
          <w:sz w:val="20"/>
        </w:rPr>
        <w:t xml:space="preserve">Sabre Financial used a portion of the proceeds received from the prepayment of the Existing Intercompany Loan to repurchase, pursuant to the previously announced Sabre Financial Tender Offer (as defined below), $930,682,000.00 aggregate principal amount of its outstanding 11.125% Senior Secured Notes due 2029 (the “2029 SPV Notes”) for an aggregate purchase price of $1,046,393,563.80, consisting of $1,016,770,085.00 attributable to principal and premium and $29,623,478.80 attributable to accrued and unpaid interest. Sabre Financial used the remaining proceeds from such prepayment to deposit the Trust Funds (as defined below) with the Trustee (as defined below) to satisfy and discharge the 2029 SPV Notes Indenture (as defined below) and pay the costs, fees and expenses incurred in connection with the issuance of the SPV Notes and the refinancing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SPV Notes are jointly and severally, irrevocably and unconditionally, guaranteed on a secured basis by Sabre Financing and, up to an amount of $400 million, certain of Sabre’s existing and future foreign subsidiaries organized under the laws of Australia, England and Wales, Iceland, Luxembourg, Poland, Singapore and Uruguay (collectively, the “Sabre Foreign Guarantors,” and together with Sabre Financing, the “SPV Notes Guarantors”). On the SPV Notes Issue Date, the SPV Notes were guaranteed by Sabre Financing and the Sabre Foreign Guarantors organized in Luxembourg, and the SPV Notes Indenture requires Sabre Financial to use commercially reasonable efforts to cause the guarantees by other Sabre Foreign Guarantors to be issued within 120 days after the SPV Notes Issue Date. The SPV Notes will not be guaranteed by Sabre GLBL Inc. (“Sabre GLBL”), an indirect wholly-owned subsidiary of Sabre, the Sabre GLBL Guarantors (as defined below) or any of their other domestic or foreign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SPV Notes and the related guarantees (i) are general senior secured obligations of Sabre Financial and each SPV Notes Guarantor; (ii) rank equally in right of payment to all future unsubordinated indebtedness of Sabre Financial and each SPV Notes Guarantor; (iii) rank effectively senior to all unsecured indebtedness of Sabre Financing and, to the extent of the value of the collateral but not more than $400 million, the Sabre Foreign Guarantors; (iv) are structurally senior to the indebtedness of Sabre GLBL and the Sabre GLBL Guarantors, including the New Sabre GLBL Notes, the Existing Sabre GLBL Secured Notes, the Sabre GLBL Exchangeable Notes and the Sabre GLBL Senior Credit Facility (each as defined below), with respect to the assets of Sabre Financial and Sabre Financing and, up to an amount of $400 million, with respect to the assets of the Sabre Foreign Guarantors; (v) are effectively subordinated to all secured indebtedness of Sabre Financial and SPV Notes Guarantors to the extent of the value of any assets securing such secured indebtedness that are not collateral or in excess of $400 million with respect to the Sabre GLBL Guarantors; (vi) are structurally subordinated to all existing and future indebtedness, claims of holders of preferred stock and other liabilities of subsidiaries of the Sabre Foreign Guarantors that do not guarantee the SPV Notes; and (vii) are senior in right of payment to all existing and future subordinated indebtedness of Sabre Financial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SPV Notes Guarantors. Upon the occurrence of specific kinds of changes of control, the holders of the SPV Notes have the right to cause Sabre Financial to repurchase some or all of the SPV Notes at 101.000% of the aggregate principal amount thereof plus accrued and unpaid interest, if any, to the date of purchase. The SPV Notes are subject to redemption on the terms and at the prices set forth in the SPV Notes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SPV Notes Indenture contains covenants that, among other things, limit Sabre Financial’s ability and the ability of its restricted subsidiaries to: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or issue disqualified stock or preferred stock of subsidiaries;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other distributions on, redeem, defease, repurchase or otherwise retire equity interests;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certain assets to secure debt; </w:t>
            </w:r>
          </w:p>
        </w:tc>
      </w:tr>
    </w:tbl>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75"/>
        <w:gridCol w:w="110"/>
        <w:gridCol w:w="60"/>
        <w:gridCol w:w="2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w:t>
            </w:r>
          </w:p>
        </w:tc>
      </w:tr>
    </w:tbl>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75"/>
        <w:gridCol w:w="110"/>
        <w:gridCol w:w="6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certain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the ability of restricted subsidiaries to make payments to Sabre Financial, Sabre Financing, Sabre Foreign Guarantors, or their respective subsidiaries;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their assets; and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transactions with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covenants are subject to important exceptions, limitations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The SPV Notes Indenture includes customary events of default, including certain events of default with respect to collateral under the New Intercompany Loan and defaults by Sabre GLBL and its restricted subsidiaries under certain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the SPV Notes Indenture and the SPV Notes does not purport to be complete and is qualified in its entirety by reference to the SPV Notes Indenture and the form of the SPV Notes, which are filed within this Form 8-K as Exhibits 4.1 and 4.2, respectively,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SPV 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Sabre Financial’s and the SPV Notes Guarantors’ obligations under the SPV Notes Indenture are secured, subject to permitted liens, by a first-priority security interest in substantially all present and hereinafter acquired property and assets of Sabre Financial, Sabre Financing and, up to an amount of $400 million, the Sabre Foreign Guarantors (other than certain excluded assets) (collectively, the “SPV Security Documents”), including the Pledge and Security Agreement executed in connection with the entry into the SPV Notes Indenture, on September 28, 2026, by and among Sabre Financial, Sabre Financing, and Wilmington Trust, National Association, as collateral agent (the “SPV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liens granted under the SPV Security Documents constitute first-priority liens, subject to certain exceptions and permitted liens described therein, on: </w:t>
      </w:r>
    </w:p>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loan payments due to Sabre Financial evidenced by the intercompany note issued under the New Intercompany Loan;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equity interests of Sabre Financial, held by Sabre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substantially all equity interests directly owned by Sabre Financial or any SPV Notes Guarantor in their direct restricted subsidiaries (with customary limitations on pledges of certain voting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substantially all tangible and intangible personal property of Sabre Financial and the SPV Notes Guarantors, including, without limitation, accounts, inventory, equipment, general intangibles (including intellectual property and intercompany agreements), instruments and investment property, books and records, and proceeds of the foregoing; and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mortgages on material owned real property of Sabre Financial and the SPV Notes Guarantors, if any and to the extent required, together with customary title insurance, opinions and related deliverables.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description of the SPV Security Documents, including the SPV Security Agreement, does not purport to be complete and is qualified in its entirety by reference to the SPV Security Agreement, which is filed within this Form 8-K as Exhibit 10.1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Intercompany Loan </w:t>
      </w:r>
    </w:p>
    <w:p>
      <w:pPr>
        <w:pStyle w:val="TextBody"/>
        <w:bidi w:val="0"/>
        <w:spacing w:before="120" w:after="0"/>
        <w:jc w:val="left"/>
        <w:rPr>
          <w:rFonts w:ascii="Times New Roman" w:hAnsi="Times New Roman"/>
          <w:sz w:val="20"/>
        </w:rPr>
      </w:pPr>
      <w:r>
        <w:rPr>
          <w:rFonts w:ascii="Times New Roman" w:hAnsi="Times New Roman"/>
          <w:sz w:val="20"/>
        </w:rPr>
        <w:t xml:space="preserve">On September 28, 2026, Sabre GLBL entered into the First Lien Pari Passu Credit Agreement (the “New Intercompany Loan”), among Sabre GLBL, as borrower, Sabre Holdings Corporation, as Holdings (“Sabre Holdings”), certain subsidiaries of Sabre GLBL, as guarantors (the “Sabre GLBL Guarantors”), Sabre Financial, as lender, and Wilmington Trust, National Association, as the administrative agent, in the amount of $1.35 billion. The proceeds of the New Intercompany Loan were used to refinance a portion of Sabre GLBL’s obligations under the Existing Intercompany Loan. </w:t>
      </w:r>
    </w:p>
    <w:p>
      <w:pPr>
        <w:pStyle w:val="TextBody"/>
        <w:bidi w:val="0"/>
        <w:spacing w:before="240" w:after="0"/>
        <w:jc w:val="left"/>
        <w:rPr>
          <w:rFonts w:ascii="Times New Roman" w:hAnsi="Times New Roman"/>
          <w:sz w:val="20"/>
        </w:rPr>
      </w:pPr>
      <w:r>
        <w:rPr>
          <w:rFonts w:ascii="Times New Roman" w:hAnsi="Times New Roman"/>
          <w:sz w:val="20"/>
        </w:rPr>
        <w:t xml:space="preserve">The New Intercompany Loan is guaranteed on a senior, secured basis by Sabre Holdings and Sabre GLBL’s restricted subsidiaries that guarantee Sabre GLBL’s credit facility (the “Sabre GLBL Senior Credit Facility”) under the Amended and Restated Credit Agreement, dated as of February 19, 2013, among Sabre GLBL, Sabre Holdings, the subsidiary guarantors party thereto, the lenders party thereto, Deutsche Bank AG New York Branch, as administrative agent and Bank of America, N.A. as successor administrative agent, as subsequently amended and supplemented from time to time (which also guarantees the Sabre GLBL’s existing senior secured notes (the “Existing Sabre GLBL Secured Notes”)). Neither Sabre’s foreign subsidiaries nor unrestricted subsidiaries are required to guarantee the New Intercompany Loan. Each of Sabre GLBL’s future direct and indirect restricted subsidiaries that guarantee indebtedness under the Sabre GLBL Senior Credit Facility, the Existing Sabre GLBL Secured Notes or other first lien obligation of Sabre GLBL or a Sabre GLBL Guarantor or, if the Sabre GLBL Senior Credit Facility ceases to be outstanding, any capital markets debt securities of Sabre GLBL or a Sabre GLBL Guarantor, guarantees the New Intercompany Loan. The Sabre GLBL Senior Credit Facility currently requires, subject to certain exceptions, newly formed or acquired domestic wholly-owned subsidiaries of Sabre GLBL to guarantee the obligations thereunder. Upon the occurrence of specific kinds of change of control, Sabre GLBL is required to offer to prepay the New Intercompany Loan at 101% of the principal amount thereof plus accrued and unpaid interest to the date of prepayment. </w:t>
      </w:r>
    </w:p>
    <w:p>
      <w:pPr>
        <w:pStyle w:val="TextBody"/>
        <w:bidi w:val="0"/>
        <w:spacing w:before="240" w:after="0"/>
        <w:jc w:val="left"/>
        <w:rPr>
          <w:rFonts w:ascii="Times New Roman" w:hAnsi="Times New Roman"/>
          <w:sz w:val="20"/>
        </w:rPr>
      </w:pPr>
      <w:r>
        <w:rPr>
          <w:rFonts w:ascii="Times New Roman" w:hAnsi="Times New Roman"/>
          <w:sz w:val="20"/>
        </w:rPr>
        <w:t xml:space="preserve">The New Intercompany Loan and the related guarantees (i) are general senior secured obligations of Sabre GLBL and each of the Sabre GLBL Guarantors, (ii) rank equally in right of payment to all existing and future unsubordinated indebtedness of Sabre GLBL and the Sabre GLBL Guarantors (including the Sabre GLBL Senior Credit Facility, the New Sabre GLBL Notes and the Existing Sabre GLBL Secured Notes); (iii) rank effectively senior to all unsecured indebtedness of Sabre GLBL and the Sabre GLBL Guarantors, to the extent of the value of the collateral securing the loan, which it will share pari passu with the Sabre GLBL Senior Credit Facility, the New Sabre GLBL Notes and the Existing Sabre GLBL Secured Notes; (iv) are structurally senior to all other indebtedness of Sabre GLBL that is not guaranteed by the Sabre GLBL Guarantors, with respect to the assets of such guarantors; (v) are effectively subordinated to all secured indebtedness of Sabre GLBL and any Sabre GLBL Guarantor to the extent of the value of any assets securing such secured indebtedness that are not collateral securing the New Intercompany Loan; (vi) are structurally subordinated to all existing and future indebtedness, claims of holders of preferred stock and other liabilities of subsidiaries of Sabre GLBL that are not Sabre GLBL Guarantors, including the indebtedness under the New Sabre GLBL Notes and the guarantees of the SPV Notes by the SPV Guarantors; and (vii) are senior in right of payment to all existing and future subordinated indebtedness of Sabre GLBL and the Sabre GLBL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New Intercompany Loan contains covenants that, among other things, limit Sabre GLBL’s ability and the ability of its restricted subsidiaries to: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or issue disqualified stock or preferred stock of subsidiaries;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other distributions on, redeem, defease, repurchase or otherwise retire equity interests;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certain assets to secure debt; </w:t>
            </w:r>
          </w:p>
        </w:tc>
      </w:tr>
    </w:tbl>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75"/>
        <w:gridCol w:w="110"/>
        <w:gridCol w:w="60"/>
        <w:gridCol w:w="2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w:t>
            </w:r>
          </w:p>
        </w:tc>
      </w:tr>
    </w:tbl>
    <w:p>
      <w:pPr>
        <w:pStyle w:val="HorizontalLine"/>
        <w:bidi w:val="0"/>
        <w:jc w:val="left"/>
        <w:rPr/>
      </w:pPr>
      <w:r>
        <w:br w:type="page"/>
      </w:r>
      <w:r>
        <w:rPr/>
      </w:r>
    </w:p>
    <w:tbl>
      <w:tblPr>
        <w:tblW w:w="1780" w:type="dxa"/>
        <w:jc w:val="left"/>
        <w:tblInd w:w="0" w:type="dxa"/>
        <w:tblLayout w:type="fixed"/>
        <w:tblCellMar>
          <w:top w:w="0" w:type="dxa"/>
          <w:left w:w="0" w:type="dxa"/>
          <w:bottom w:w="0" w:type="dxa"/>
          <w:right w:w="0" w:type="dxa"/>
        </w:tblCellMar>
      </w:tblPr>
      <w:tblGrid>
        <w:gridCol w:w="75"/>
        <w:gridCol w:w="110"/>
        <w:gridCol w:w="6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certain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the ability of restricted subsidiaries to make payments to Sabre GLBL, Sabre Holdings or the Company; and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their assets; and enter into certain transactions with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covenants are subject to important exceptions, limitations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The New Intercompany Loan includes customary events of default, including certain events of default with respect to the SPV Notes.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the New Intercompany Loan does not purport to be complete and is qualified in its entirety by reference to the New Intercompany Loan, which is filed with this Form 8-K as Exhibit 10.2, and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under Item 1.01 above is incorporated herein by reference.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965"/>
        <w:gridCol w:w="4490"/>
      </w:tblGrid>
      <w:tr>
        <w:trPr/>
        <w:tc>
          <w:tcPr>
            <w:tcW w:w="965" w:type="dxa"/>
            <w:tcBorders/>
            <w:vAlign w:val="center"/>
          </w:tcPr>
          <w:p>
            <w:pPr>
              <w:pStyle w:val="TableContents"/>
              <w:bidi w:val="0"/>
              <w:spacing w:before="0" w:after="283"/>
              <w:jc w:val="left"/>
              <w:rPr>
                <w:b/>
              </w:rPr>
            </w:pPr>
            <w:r>
              <w:rPr>
                <w:b/>
              </w:rPr>
              <w:t>Item 3.03</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SPV Notes Indenture </w:t>
      </w:r>
    </w:p>
    <w:p>
      <w:pPr>
        <w:pStyle w:val="TextBody"/>
        <w:bidi w:val="0"/>
        <w:spacing w:before="120" w:after="0"/>
        <w:jc w:val="left"/>
        <w:rPr>
          <w:rFonts w:ascii="Times New Roman" w:hAnsi="Times New Roman"/>
          <w:sz w:val="20"/>
        </w:rPr>
      </w:pPr>
      <w:r>
        <w:rPr>
          <w:rFonts w:ascii="Times New Roman" w:hAnsi="Times New Roman"/>
          <w:sz w:val="20"/>
        </w:rPr>
        <w:t xml:space="preserve">The SPV Notes Indenture contains covenants that limit, among other things, Sabre Financial’s ability to pay dividends on its capital stock, subject to certain exceptions, which may in turn, impact the ability of holders of the Company’s common stock to receive dividends. For more information, see the SPV Notes Indenture, which is filed within this Form 8-K as Exhibit 4.1 and is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Sabre GLBL Tender Offers Results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24, 2026, Sabre GLBL Inc. issued a press release (the “Results Press Release”) announcing the results of Sabre GLBL’s previously announced offers to purchase for cash (the “Sabre GLBL Tender Offers”) certain of its outstanding 10.750% Senior Secured Notes due 2029, 10.750% Senior Secured Notes due 2030 and 11.125% Senior Secured Notes due 2030 (collectively, the “Sabre GLBL Securities”), upon the terms and subject to the conditions set forth in the Sabre GLBL’s Offer to Purchase, dated as of 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2026, Sabre GLBL settled the Sabre GLBL Tender Offers. A copy of the Results Press Release is attached as Exhibit 99.1 to this Current Report on Form 8-K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Sabre Financial Tender Offer and Consent Solicitation Early Results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2026, Sabre Financial issued a press release (the “Early Results Press Release”) announcing the early results of Sabre Financial’s previously announced offer to purchase for cash (the “Sabre Financial Tender Offer”) any and all of its outstanding 11.125% Senior Secured Notes due 2029 (the “2029 SPV Notes”) and concurrent solicitation of consents (the “Consent Solicitation”) for amendments to the 2029 SPV Notes and the indenture (the “2029 SPV Notes Indenture”), dated as of December 5, 2025, under which the 2029 SPV Notes were issued, in each case upon the terms and subject to the conditions set forth in Sabre Financial’s Offer to Purchase and Consent Solicitation Statement, dated as of September 14, 2026 (the “Offer to Purchase”).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Sabre Financial announced that $930,682,000.00 in aggregate principal amount of the 2029 SPV Notes, equal to 93.07% of the aggregate principal amount outstanding of the 2029 SPV Notes, were validly tendered at or prior to 5:00 p.m., New York City time, on September 25, 2026 (the “Early Tender Deadline”) and not validly withdrawn at or prior to 5:00 p.m., New York City time, on September 25, 2026 (the “Withdrawal Deadline”). On September 28, 2026, Sabre Financial completed the early settlement of the Sabre Financial Tender Offer, repurchasing the full $930,682,000.00 in aggregate principal amount of tendered 2029 SPV Notes. A copy of the Early Results Press Release is attached as Exhibit 99.2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Because Sabre Financial received consents from a majority of the aggregate principal amount of outstanding 2029 SPV Notes (the “Required Consents”), Sabre Financial, the guarantors party to the 2029 SPV Notes Indenture, and Wilmington Trust, National Association, as trustee (the “Trustee”) and collateral agent, executed and delivered a supplemental indenture to the 2029 SPV Notes Indenture (the “Second Supplemental Indenture”), (i) eliminating substantially all restrictive covenants in the 2029 SPV Notes Indenture and (ii) eliminating certain events of default (collectively, the “Proposed Amendments”). The Second Supplemental Indenture became effective on September 28, 2026, upon the purchase by Sabre Financial of the 2029 SPV Notes satisfying the Required Consents in the Sabre Financial Tender Offer and Consent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Sabre Financial Tender Offer and Consent Solicitation will expire at 5:00 p.m., New York City time, on October 12, 2026, unless extended or earlier terminated by Sabre Financial.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the Remaining 2029 SPV Notes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28, 2026, Sabre Financial provided unconditional and irrevocable notice to the Trustee, as trustee and collateral agent under the 2029 SPV Notes Indenture, and the holders that on October 13, 2026 (the “Redemption Date”), Sabre Financial intended to redeem all $69,318,000.00 aggregate principal amount of the 2029 SPV Notes not validly tendered pursuant to the Sabre Financial Tender Offer and Consent Solicitation at a redemption price equal to 109.250% of the aggregate principal amount of the 2029 SPV Notes to be redeemed, plus accrued and unpaid interest thereon to but excluding the Redemption Date. The total redemption price for such 2029 SPV Notes is $78,257,615.13, consisting of $75,729,915.00 attributable to principal and premium and $2,527,700.13 attributable to accrued and unpaid interest. Sabre Financial intends to complete the redemption of the 2029 SPV Notes in accordance with the terms of the 2029 SPV Notes Indenture at the redemption price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Satisfaction and Discharge of the 2029 SPV Notes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28, 2026, Sabre Financial delivered and irrevocably deposited funds with the Trustee (such funds, the “Trust Funds”) in an amount sufficient to fund the payment of the principal amount of, and premium and accrued and unpaid interest on, the 2029 SPV Notes not validly tendered pursuant to the Sabre Financial Tender Offer on October 13, 2026, which is the Redemption Date in respect of the 2029 SPV Notes. After the deposit of such Trust Funds, the 2029 SPV Notes Indenture was satisfied and discharged with respect to the 2029 SPV Notes in accordance with its terms. Sabre Financial paid for the discharge of the outstanding 2029 SPV Notes following the Sabre Financial Tender Offer using a portion of the proceeds from the repayment by Sabre GLBL of the Existing Intercompany Loan.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satisfaction and discharge of the 2029 SPV Notes Indenture, Sabre Financial and each of the guarantors thereunder has been released from its obligations under the 2029 SPV Notes Indenture, except those provisions that, by their terms, survive the satisfaction and discharge of the 2029 SPV Notes Indenture. In addition, all liens on the collateral securing the 2029 SPV Notes have been released.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made in this Current Report on Form 8-K that are not descriptions of historical facts are forward-looking statements within the meaning of the Private Securities Litigation Reform Act of 1995 and are based on management’s current expectations and assumptions and are subject to risks and uncertainties. Any statements that are not historical or current facts are forward-looking statements. In many cases, you can identify forward-looking statements by terms such as “expect,” “guidance,” “outlook,” “trend,” “pro forma,” “on course,” “on track,” “target,” “potential,” “benefit,” “goal,” “believe,” “plan,” “confident,” “anticipate,” “indicate,” “trend,” “position,” “optimistic,” “will,” “forecast,” “continue,” “strategy,” “estimate,” “project,” “may,” “should,” “would,” “intend,” or the negative of these terms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More information about potential risks and uncertainties that could materially affect our business and results of operations is included in the “Risk Factors” and “Forward-Looking Statements” sections in our Quarterly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 on Form 10-Q for the quarter ended June 30, 2026, filed with the SEC on August 6, 2026, our Annual Report on Form 10-K for the year ended December 31, 2025, filed with the SEC on February 18, 2026 and in our other filings with the SEC. We cannot guarantee future events, including our ability to realize the anticipated benefits of the SPV Notes, the Sabre GLBL Tender Offers, Sabre Financial Tender Offer and Consent Solicitation,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r>
        <w:br w:type="page"/>
      </w:r>
    </w:p>
    <w:p>
      <w:pPr>
        <w:pStyle w:val="HorizontalLine"/>
        <w:bidi w:val="0"/>
        <w:jc w:val="left"/>
        <w:rPr/>
      </w:pPr>
      <w:r>
        <w:rPr/>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435567dex41.htm">
              <w:r>
                <w:rPr>
                  <w:rStyle w:val="InternetLink"/>
                </w:rPr>
                <w:t xml:space="preserve">Indenture, dated as of September 28, 2026, among Sabre Financial Borrower, LLC, each of the guarantors party thereto and Wilmington Trust, National Association, as trustee and collateral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435567dex41.htm">
              <w:r>
                <w:rPr>
                  <w:rStyle w:val="InternetLink"/>
                </w:rPr>
                <w:t xml:space="preserve">Form of 9.875% Senior Secured Notes due 2032 (included in Exhibit 4.1).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435567dex101.htm">
              <w:r>
                <w:rPr>
                  <w:rStyle w:val="InternetLink"/>
                </w:rPr>
                <w:t xml:space="preserve">Pledge and Security Agreement, dated as of September 28, 2026, among Sabre Financial Borrower, LLC, Sabre Financing Holdings and Wilmington Trust, National Association, as collateral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435567dex102.htm">
              <w:r>
                <w:rPr>
                  <w:rStyle w:val="InternetLink"/>
                </w:rPr>
                <w:t xml:space="preserve">First Lien Pari Passu Credit Agreement, dated as of September 28, 2026 among Sabre GLBL Inc., as borrower, Sabre Holdings Corporation, as holdings, Sabre Financial Borrower, LLC, as lender, and Wilmington Trust, National Association, as administrative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435567dex991.htm">
              <w:r>
                <w:rPr>
                  <w:rStyle w:val="InternetLink"/>
                </w:rPr>
                <w:t xml:space="preserve">Results Press Release dated September 24,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435567dex992.htm">
              <w:r>
                <w:rPr>
                  <w:rStyle w:val="InternetLink"/>
                </w:rPr>
                <w:t xml:space="preserve">Early Results Press Release dated September 25,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September 28, 2026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665"/>
        <w:gridCol w:w="60"/>
        <w:gridCol w:w="47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pPr>
            <w:r>
              <w:rPr/>
              <w:t>Sabre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Rochelle Boas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Rochelle Boas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b/>
          <w:sz w:val="20"/>
        </w:rPr>
      </w:pPr>
      <w:bookmarkStart w:id="2" w:name="d435567dex41.htm"/>
      <w:bookmarkStart w:id="3" w:name="ksd435567dex41"/>
      <w:bookmarkEnd w:id="2"/>
      <w:bookmarkEnd w:id="3"/>
      <w:r>
        <w:rPr>
          <w:rFonts w:ascii="Times New Roman" w:hAnsi="Times New Roman"/>
          <w:b/>
          <w:sz w:val="20"/>
        </w:rPr>
        <w:t xml:space="preserve">Exhibit 4.1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SABRE FINANCIAL BORROWER, LLC </w:t>
      </w:r>
    </w:p>
    <w:p>
      <w:pPr>
        <w:pStyle w:val="TextBody"/>
        <w:bidi w:val="0"/>
        <w:spacing w:before="240" w:after="0"/>
        <w:jc w:val="center"/>
        <w:rPr>
          <w:rFonts w:ascii="Times New Roman" w:hAnsi="Times New Roman"/>
          <w:sz w:val="20"/>
        </w:rPr>
      </w:pPr>
      <w:r>
        <w:rPr>
          <w:rFonts w:ascii="Times New Roman" w:hAnsi="Times New Roman"/>
          <w:sz w:val="20"/>
        </w:rPr>
        <w:t xml:space="preserve">AND EACH OF THE GUARANTORS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9.875% SENIOR SECURED NOTES DUE 2032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28,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Trustee and Collateral Agent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2"/>
        <w:gridCol w:w="176"/>
        <w:gridCol w:w="7823"/>
        <w:gridCol w:w="176"/>
        <w:gridCol w:w="96"/>
        <w:gridCol w:w="419"/>
        <w:gridCol w:w="63"/>
      </w:tblGrid>
      <w:tr>
        <w:trPr/>
        <w:tc>
          <w:tcPr>
            <w:tcW w:w="1452"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82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i/>
              </w:rPr>
            </w:pPr>
            <w:r>
              <w:rPr>
                <w:i/>
              </w:rPr>
              <w:t>Page</w:t>
            </w:r>
          </w:p>
        </w:tc>
        <w:tc>
          <w:tcPr>
            <w:tcW w:w="63" w:type="dxa"/>
            <w:tcBorders/>
            <w:vAlign w:val="bottom"/>
          </w:tcPr>
          <w:p>
            <w:pPr>
              <w:pStyle w:val="TableContents"/>
              <w:bidi w:val="0"/>
              <w:spacing w:before="0" w:after="283"/>
              <w:jc w:val="left"/>
              <w:rPr/>
            </w:pPr>
            <w:r>
              <w:rPr/>
              <w:t> </w:t>
            </w:r>
          </w:p>
        </w:tc>
      </w:tr>
      <w:tr>
        <w:trPr/>
        <w:tc>
          <w:tcPr>
            <w:tcW w:w="9451" w:type="dxa"/>
            <w:gridSpan w:val="3"/>
            <w:tcBorders/>
          </w:tcPr>
          <w:p>
            <w:pPr>
              <w:pStyle w:val="TableContents"/>
              <w:bidi w:val="0"/>
              <w:spacing w:before="0" w:after="283"/>
              <w:jc w:val="center"/>
              <w:rPr/>
            </w:pPr>
            <w:r>
              <w:rPr/>
              <w:t>ARTICLE 1</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sz w:val="4"/>
                <w:szCs w:val="4"/>
              </w:rPr>
            </w:pPr>
            <w:r>
              <w:rPr>
                <w:sz w:val="4"/>
                <w:szCs w:val="4"/>
              </w:rPr>
            </w:r>
          </w:p>
        </w:tc>
        <w:tc>
          <w:tcPr>
            <w:tcW w:w="419"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9451" w:type="dxa"/>
            <w:gridSpan w:val="3"/>
            <w:tcBorders/>
          </w:tcPr>
          <w:p>
            <w:pPr>
              <w:pStyle w:val="TableContents"/>
              <w:bidi w:val="0"/>
              <w:spacing w:before="0" w:after="283"/>
              <w:jc w:val="center"/>
              <w:rPr/>
            </w:pPr>
            <w:r>
              <w:rPr/>
              <w:t>DEFINITIONS AND INCORPORATION BY REFERENCE</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sz w:val="4"/>
                <w:szCs w:val="4"/>
              </w:rPr>
            </w:pPr>
            <w:r>
              <w:rPr>
                <w:sz w:val="4"/>
                <w:szCs w:val="4"/>
              </w:rPr>
            </w:r>
          </w:p>
        </w:tc>
        <w:tc>
          <w:tcPr>
            <w:tcW w:w="419"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rHeight w:val="120" w:hRule="atLeast"/>
        </w:trPr>
        <w:tc>
          <w:tcPr>
            <w:tcW w:w="1452" w:type="dxa"/>
            <w:tcBorders/>
            <w:vAlign w:val="center"/>
          </w:tcPr>
          <w:p>
            <w:pPr>
              <w:pStyle w:val="TableContents"/>
              <w:bidi w:val="0"/>
              <w:spacing w:before="0" w:after="283"/>
              <w:jc w:val="left"/>
              <w:rPr>
                <w:sz w:val="4"/>
                <w:szCs w:val="4"/>
              </w:rPr>
            </w:pPr>
            <w:r>
              <w:rPr>
                <w:sz w:val="4"/>
                <w:szCs w:val="4"/>
              </w:rPr>
            </w:r>
          </w:p>
        </w:tc>
        <w:tc>
          <w:tcPr>
            <w:tcW w:w="7999"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283"/>
              <w:jc w:val="left"/>
              <w:rPr/>
            </w:pPr>
            <w:r>
              <w:rPr/>
              <w:t>Section 1.01</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Definitions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1.02</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Other Definitions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42</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1.03</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Rules of Construction</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43</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1.04</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Luxembourg Terms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43</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1.05</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Australian Terms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45</w:t>
            </w:r>
          </w:p>
        </w:tc>
        <w:tc>
          <w:tcPr>
            <w:tcW w:w="63" w:type="dxa"/>
            <w:tcBorders/>
          </w:tcPr>
          <w:p>
            <w:pPr>
              <w:pStyle w:val="TableContents"/>
              <w:bidi w:val="0"/>
              <w:spacing w:before="0" w:after="283"/>
              <w:jc w:val="left"/>
              <w:rPr/>
            </w:pPr>
            <w:r>
              <w:rPr/>
              <w:t> </w:t>
            </w:r>
          </w:p>
        </w:tc>
      </w:tr>
      <w:tr>
        <w:trPr>
          <w:trHeight w:val="120" w:hRule="atLeast"/>
        </w:trPr>
        <w:tc>
          <w:tcPr>
            <w:tcW w:w="9451" w:type="dxa"/>
            <w:gridSpan w:val="3"/>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9451" w:type="dxa"/>
            <w:gridSpan w:val="3"/>
            <w:tcBorders/>
          </w:tcPr>
          <w:p>
            <w:pPr>
              <w:pStyle w:val="TableContents"/>
              <w:bidi w:val="0"/>
              <w:spacing w:before="0" w:after="283"/>
              <w:jc w:val="center"/>
              <w:rPr/>
            </w:pPr>
            <w:r>
              <w:rPr/>
              <w:t>ARTICLE 2</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sz w:val="4"/>
                <w:szCs w:val="4"/>
              </w:rPr>
            </w:pPr>
            <w:r>
              <w:rPr>
                <w:sz w:val="4"/>
                <w:szCs w:val="4"/>
              </w:rPr>
            </w:r>
          </w:p>
        </w:tc>
        <w:tc>
          <w:tcPr>
            <w:tcW w:w="419"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9451" w:type="dxa"/>
            <w:gridSpan w:val="3"/>
            <w:tcBorders/>
          </w:tcPr>
          <w:p>
            <w:pPr>
              <w:pStyle w:val="TableContents"/>
              <w:bidi w:val="0"/>
              <w:spacing w:before="0" w:after="283"/>
              <w:jc w:val="center"/>
              <w:rPr/>
            </w:pPr>
            <w:r>
              <w:rPr/>
              <w:t>THE NOTES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sz w:val="4"/>
                <w:szCs w:val="4"/>
              </w:rPr>
            </w:pPr>
            <w:r>
              <w:rPr>
                <w:sz w:val="4"/>
                <w:szCs w:val="4"/>
              </w:rPr>
            </w:r>
          </w:p>
        </w:tc>
        <w:tc>
          <w:tcPr>
            <w:tcW w:w="419"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rHeight w:val="240" w:hRule="atLeast"/>
        </w:trPr>
        <w:tc>
          <w:tcPr>
            <w:tcW w:w="1452" w:type="dxa"/>
            <w:tcBorders/>
            <w:vAlign w:val="center"/>
          </w:tcPr>
          <w:p>
            <w:pPr>
              <w:pStyle w:val="TableContents"/>
              <w:bidi w:val="0"/>
              <w:spacing w:before="0" w:after="283"/>
              <w:jc w:val="left"/>
              <w:rPr>
                <w:sz w:val="4"/>
                <w:szCs w:val="4"/>
              </w:rPr>
            </w:pPr>
            <w:r>
              <w:rPr>
                <w:sz w:val="4"/>
                <w:szCs w:val="4"/>
              </w:rPr>
            </w:r>
          </w:p>
        </w:tc>
        <w:tc>
          <w:tcPr>
            <w:tcW w:w="7999"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283"/>
              <w:jc w:val="left"/>
              <w:rPr/>
            </w:pPr>
            <w:r>
              <w:rPr/>
              <w:t>Section 2.01</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Form and Dating</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45</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2.02</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Execution and Authentication</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46</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2.03</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Registrar and Paying Agent</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47</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2.04</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Paying Agent to Hold Money in Trust</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47</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2.05</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Holder Lists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47</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2.06</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Transfer and Exchange</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48</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2.07</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Replacement Notes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60</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2.08</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Outstanding Notes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60</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2.09</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Treasury Notes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61</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2.10</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Temporary Notes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61</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2.11</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Cancellation</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61</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2.12</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Defaulted Interest</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62</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2.13</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CUSIP Numbers and ISINs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62</w:t>
            </w:r>
          </w:p>
        </w:tc>
        <w:tc>
          <w:tcPr>
            <w:tcW w:w="63" w:type="dxa"/>
            <w:tcBorders/>
          </w:tcPr>
          <w:p>
            <w:pPr>
              <w:pStyle w:val="TableContents"/>
              <w:bidi w:val="0"/>
              <w:spacing w:before="0" w:after="283"/>
              <w:jc w:val="left"/>
              <w:rPr/>
            </w:pPr>
            <w:r>
              <w:rPr/>
              <w:t> </w:t>
            </w:r>
          </w:p>
        </w:tc>
      </w:tr>
      <w:tr>
        <w:trPr>
          <w:trHeight w:val="120" w:hRule="atLeast"/>
        </w:trPr>
        <w:tc>
          <w:tcPr>
            <w:tcW w:w="9451" w:type="dxa"/>
            <w:gridSpan w:val="3"/>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9451" w:type="dxa"/>
            <w:gridSpan w:val="3"/>
            <w:tcBorders/>
          </w:tcPr>
          <w:p>
            <w:pPr>
              <w:pStyle w:val="TableContents"/>
              <w:bidi w:val="0"/>
              <w:spacing w:before="0" w:after="283"/>
              <w:jc w:val="center"/>
              <w:rPr/>
            </w:pPr>
            <w:r>
              <w:rPr/>
              <w:t>ARTICLE 3</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sz w:val="4"/>
                <w:szCs w:val="4"/>
              </w:rPr>
            </w:pPr>
            <w:r>
              <w:rPr>
                <w:sz w:val="4"/>
                <w:szCs w:val="4"/>
              </w:rPr>
            </w:r>
          </w:p>
        </w:tc>
        <w:tc>
          <w:tcPr>
            <w:tcW w:w="419"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9451" w:type="dxa"/>
            <w:gridSpan w:val="3"/>
            <w:tcBorders/>
          </w:tcPr>
          <w:p>
            <w:pPr>
              <w:pStyle w:val="TableContents"/>
              <w:bidi w:val="0"/>
              <w:spacing w:before="0" w:after="283"/>
              <w:jc w:val="center"/>
              <w:rPr/>
            </w:pPr>
            <w:r>
              <w:rPr/>
              <w:t>REDEMPTION AND PREPAYMENT</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sz w:val="4"/>
                <w:szCs w:val="4"/>
              </w:rPr>
            </w:pPr>
            <w:r>
              <w:rPr>
                <w:sz w:val="4"/>
                <w:szCs w:val="4"/>
              </w:rPr>
            </w:r>
          </w:p>
        </w:tc>
        <w:tc>
          <w:tcPr>
            <w:tcW w:w="419"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rHeight w:val="120" w:hRule="atLeast"/>
        </w:trPr>
        <w:tc>
          <w:tcPr>
            <w:tcW w:w="1452" w:type="dxa"/>
            <w:tcBorders/>
            <w:vAlign w:val="center"/>
          </w:tcPr>
          <w:p>
            <w:pPr>
              <w:pStyle w:val="TableContents"/>
              <w:bidi w:val="0"/>
              <w:spacing w:before="0" w:after="283"/>
              <w:jc w:val="left"/>
              <w:rPr>
                <w:sz w:val="4"/>
                <w:szCs w:val="4"/>
              </w:rPr>
            </w:pPr>
            <w:r>
              <w:rPr>
                <w:sz w:val="4"/>
                <w:szCs w:val="4"/>
              </w:rPr>
            </w:r>
          </w:p>
        </w:tc>
        <w:tc>
          <w:tcPr>
            <w:tcW w:w="7999"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1452" w:type="dxa"/>
            <w:tcBorders/>
          </w:tcPr>
          <w:p>
            <w:pPr>
              <w:pStyle w:val="TableContents"/>
              <w:bidi w:val="0"/>
              <w:spacing w:before="0" w:after="283"/>
              <w:jc w:val="left"/>
              <w:rPr/>
            </w:pPr>
            <w:r>
              <w:rPr/>
              <w:t>Section 3.01</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Notices to Trustee</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62</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3.02</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Selection of Notes to Be Redeemed or Purchased</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62</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3.03</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Notice of Redemption</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63</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3.04</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Effect of Notice of Redemption</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64</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3.05</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Deposit of Redemption Price</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64</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3.06</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Notes Redeemed or Purchased in Part</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64</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3.07</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Optional Redemption</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64</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3.08</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Mandatory Redemption</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66</w:t>
            </w:r>
          </w:p>
        </w:tc>
        <w:tc>
          <w:tcPr>
            <w:tcW w:w="63" w:type="dxa"/>
            <w:tcBorders/>
          </w:tcPr>
          <w:p>
            <w:pPr>
              <w:pStyle w:val="TableContents"/>
              <w:bidi w:val="0"/>
              <w:spacing w:before="0" w:after="283"/>
              <w:jc w:val="left"/>
              <w:rPr/>
            </w:pPr>
            <w:r>
              <w:rPr/>
              <w:t> </w:t>
            </w:r>
          </w:p>
        </w:tc>
      </w:tr>
      <w:tr>
        <w:trPr/>
        <w:tc>
          <w:tcPr>
            <w:tcW w:w="1452" w:type="dxa"/>
            <w:tcBorders/>
          </w:tcPr>
          <w:p>
            <w:pPr>
              <w:pStyle w:val="TableContents"/>
              <w:bidi w:val="0"/>
              <w:spacing w:before="0" w:after="283"/>
              <w:jc w:val="left"/>
              <w:rPr/>
            </w:pPr>
            <w:r>
              <w:rPr/>
              <w:t>Section 3.09</w:t>
            </w:r>
          </w:p>
        </w:tc>
        <w:tc>
          <w:tcPr>
            <w:tcW w:w="176" w:type="dxa"/>
            <w:tcBorders/>
            <w:vAlign w:val="bottom"/>
          </w:tcPr>
          <w:p>
            <w:pPr>
              <w:pStyle w:val="TableContents"/>
              <w:bidi w:val="0"/>
              <w:spacing w:before="0" w:after="283"/>
              <w:jc w:val="left"/>
              <w:rPr/>
            </w:pPr>
            <w:r>
              <w:rPr/>
              <w:t>  </w:t>
            </w:r>
          </w:p>
        </w:tc>
        <w:tc>
          <w:tcPr>
            <w:tcW w:w="7823" w:type="dxa"/>
            <w:tcBorders/>
          </w:tcPr>
          <w:p>
            <w:pPr>
              <w:pStyle w:val="TableContents"/>
              <w:bidi w:val="0"/>
              <w:spacing w:before="0" w:after="283"/>
              <w:jc w:val="left"/>
              <w:rPr/>
            </w:pPr>
            <w:r>
              <w:rPr/>
              <w:t>Offer to Purchase by Application of Excess Proceeds</w:t>
            </w:r>
          </w:p>
        </w:tc>
        <w:tc>
          <w:tcPr>
            <w:tcW w:w="176"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66</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28"/>
        <w:gridCol w:w="125"/>
        <w:gridCol w:w="8343"/>
        <w:gridCol w:w="125"/>
        <w:gridCol w:w="384"/>
      </w:tblGrid>
      <w:tr>
        <w:trPr/>
        <w:tc>
          <w:tcPr>
            <w:tcW w:w="12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34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96" w:type="dxa"/>
            <w:gridSpan w:val="3"/>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283"/>
              <w:jc w:val="center"/>
              <w:rPr/>
            </w:pPr>
            <w:r>
              <w:rPr/>
              <w:t>ARTICLE 4</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283"/>
              <w:jc w:val="center"/>
              <w:rPr/>
            </w:pPr>
            <w:r>
              <w:rPr/>
              <w:t>COVENANTS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r>
      <w:tr>
        <w:trPr>
          <w:trHeight w:val="120" w:hRule="atLeast"/>
        </w:trPr>
        <w:tc>
          <w:tcPr>
            <w:tcW w:w="1228" w:type="dxa"/>
            <w:tcBorders/>
            <w:vAlign w:val="center"/>
          </w:tcPr>
          <w:p>
            <w:pPr>
              <w:pStyle w:val="TableContents"/>
              <w:bidi w:val="0"/>
              <w:spacing w:before="0" w:after="283"/>
              <w:jc w:val="left"/>
              <w:rPr>
                <w:sz w:val="4"/>
                <w:szCs w:val="4"/>
              </w:rPr>
            </w:pPr>
            <w:r>
              <w:rPr>
                <w:sz w:val="4"/>
                <w:szCs w:val="4"/>
              </w:rPr>
            </w:r>
          </w:p>
        </w:tc>
        <w:tc>
          <w:tcPr>
            <w:tcW w:w="8468"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r>
      <w:tr>
        <w:trPr/>
        <w:tc>
          <w:tcPr>
            <w:tcW w:w="1228" w:type="dxa"/>
            <w:tcBorders/>
          </w:tcPr>
          <w:p>
            <w:pPr>
              <w:pStyle w:val="TableContents"/>
              <w:bidi w:val="0"/>
              <w:spacing w:before="0" w:after="283"/>
              <w:jc w:val="left"/>
              <w:rPr/>
            </w:pPr>
            <w:r>
              <w:rPr/>
              <w:t>Section 4.01</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Payment of Notes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68</w:t>
            </w:r>
          </w:p>
        </w:tc>
      </w:tr>
      <w:tr>
        <w:trPr/>
        <w:tc>
          <w:tcPr>
            <w:tcW w:w="1228" w:type="dxa"/>
            <w:tcBorders/>
          </w:tcPr>
          <w:p>
            <w:pPr>
              <w:pStyle w:val="TableContents"/>
              <w:bidi w:val="0"/>
              <w:spacing w:before="0" w:after="283"/>
              <w:jc w:val="left"/>
              <w:rPr/>
            </w:pPr>
            <w:r>
              <w:rPr/>
              <w:t>Section 4.02</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Maintenance of Office or Agency</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68</w:t>
            </w:r>
          </w:p>
        </w:tc>
      </w:tr>
      <w:tr>
        <w:trPr/>
        <w:tc>
          <w:tcPr>
            <w:tcW w:w="1228" w:type="dxa"/>
            <w:tcBorders/>
          </w:tcPr>
          <w:p>
            <w:pPr>
              <w:pStyle w:val="TableContents"/>
              <w:bidi w:val="0"/>
              <w:spacing w:before="0" w:after="283"/>
              <w:jc w:val="left"/>
              <w:rPr/>
            </w:pPr>
            <w:r>
              <w:rPr/>
              <w:t>Section 4.03</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Reports and Other Information</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69</w:t>
            </w:r>
          </w:p>
        </w:tc>
      </w:tr>
      <w:tr>
        <w:trPr/>
        <w:tc>
          <w:tcPr>
            <w:tcW w:w="1228" w:type="dxa"/>
            <w:tcBorders/>
          </w:tcPr>
          <w:p>
            <w:pPr>
              <w:pStyle w:val="TableContents"/>
              <w:bidi w:val="0"/>
              <w:spacing w:before="0" w:after="283"/>
              <w:jc w:val="left"/>
              <w:rPr/>
            </w:pPr>
            <w:r>
              <w:rPr/>
              <w:t>Section 4.04</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Compliance Certificate</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72</w:t>
            </w:r>
          </w:p>
        </w:tc>
      </w:tr>
      <w:tr>
        <w:trPr/>
        <w:tc>
          <w:tcPr>
            <w:tcW w:w="1228" w:type="dxa"/>
            <w:tcBorders/>
          </w:tcPr>
          <w:p>
            <w:pPr>
              <w:pStyle w:val="TableContents"/>
              <w:bidi w:val="0"/>
              <w:spacing w:before="0" w:after="283"/>
              <w:jc w:val="left"/>
              <w:rPr/>
            </w:pPr>
            <w:r>
              <w:rPr/>
              <w:t>Section 4.05</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Taxes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73</w:t>
            </w:r>
          </w:p>
        </w:tc>
      </w:tr>
      <w:tr>
        <w:trPr/>
        <w:tc>
          <w:tcPr>
            <w:tcW w:w="1228" w:type="dxa"/>
            <w:tcBorders/>
          </w:tcPr>
          <w:p>
            <w:pPr>
              <w:pStyle w:val="TableContents"/>
              <w:bidi w:val="0"/>
              <w:spacing w:before="0" w:after="283"/>
              <w:jc w:val="left"/>
              <w:rPr/>
            </w:pPr>
            <w:r>
              <w:rPr/>
              <w:t>Section 4.06</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Stay, Extension and Usury Laws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73</w:t>
            </w:r>
          </w:p>
        </w:tc>
      </w:tr>
      <w:tr>
        <w:trPr/>
        <w:tc>
          <w:tcPr>
            <w:tcW w:w="1228" w:type="dxa"/>
            <w:tcBorders/>
          </w:tcPr>
          <w:p>
            <w:pPr>
              <w:pStyle w:val="TableContents"/>
              <w:bidi w:val="0"/>
              <w:spacing w:before="0" w:after="283"/>
              <w:jc w:val="left"/>
              <w:rPr/>
            </w:pPr>
            <w:r>
              <w:rPr/>
              <w:t>Section 4.07</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Limitation on Restricted Payments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73</w:t>
            </w:r>
          </w:p>
        </w:tc>
      </w:tr>
      <w:tr>
        <w:trPr/>
        <w:tc>
          <w:tcPr>
            <w:tcW w:w="1228" w:type="dxa"/>
            <w:tcBorders/>
          </w:tcPr>
          <w:p>
            <w:pPr>
              <w:pStyle w:val="TableContents"/>
              <w:bidi w:val="0"/>
              <w:spacing w:before="0" w:after="283"/>
              <w:jc w:val="left"/>
              <w:rPr/>
            </w:pPr>
            <w:r>
              <w:rPr/>
              <w:t>Section 4.08</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Dividend and Other Payment Restrictions Affecting Restricted Subsidiaries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79</w:t>
            </w:r>
          </w:p>
        </w:tc>
      </w:tr>
      <w:tr>
        <w:trPr/>
        <w:tc>
          <w:tcPr>
            <w:tcW w:w="1228" w:type="dxa"/>
            <w:tcBorders/>
          </w:tcPr>
          <w:p>
            <w:pPr>
              <w:pStyle w:val="TableContents"/>
              <w:bidi w:val="0"/>
              <w:spacing w:before="0" w:after="283"/>
              <w:jc w:val="left"/>
              <w:rPr/>
            </w:pPr>
            <w:r>
              <w:rPr/>
              <w:t>Section 4.09</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Limitation on Incurrence of Indebtedness and Issuance of Disqualified Stock and Preferred Stock</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81</w:t>
            </w:r>
          </w:p>
        </w:tc>
      </w:tr>
      <w:tr>
        <w:trPr/>
        <w:tc>
          <w:tcPr>
            <w:tcW w:w="1228" w:type="dxa"/>
            <w:tcBorders/>
          </w:tcPr>
          <w:p>
            <w:pPr>
              <w:pStyle w:val="TableContents"/>
              <w:bidi w:val="0"/>
              <w:spacing w:before="0" w:after="283"/>
              <w:jc w:val="left"/>
              <w:rPr/>
            </w:pPr>
            <w:r>
              <w:rPr/>
              <w:t>Section 4.10</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Asset Sales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87</w:t>
            </w:r>
          </w:p>
        </w:tc>
      </w:tr>
      <w:tr>
        <w:trPr/>
        <w:tc>
          <w:tcPr>
            <w:tcW w:w="1228" w:type="dxa"/>
            <w:tcBorders/>
          </w:tcPr>
          <w:p>
            <w:pPr>
              <w:pStyle w:val="TableContents"/>
              <w:bidi w:val="0"/>
              <w:spacing w:before="0" w:after="283"/>
              <w:jc w:val="left"/>
              <w:rPr/>
            </w:pPr>
            <w:r>
              <w:rPr/>
              <w:t>Section 4.11</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Transactions with Affiliates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90</w:t>
            </w:r>
          </w:p>
        </w:tc>
      </w:tr>
      <w:tr>
        <w:trPr/>
        <w:tc>
          <w:tcPr>
            <w:tcW w:w="1228" w:type="dxa"/>
            <w:tcBorders/>
          </w:tcPr>
          <w:p>
            <w:pPr>
              <w:pStyle w:val="TableContents"/>
              <w:bidi w:val="0"/>
              <w:spacing w:before="0" w:after="283"/>
              <w:jc w:val="left"/>
              <w:rPr/>
            </w:pPr>
            <w:r>
              <w:rPr/>
              <w:t>Section 4.12</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Liens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92</w:t>
            </w:r>
          </w:p>
        </w:tc>
      </w:tr>
      <w:tr>
        <w:trPr/>
        <w:tc>
          <w:tcPr>
            <w:tcW w:w="1228" w:type="dxa"/>
            <w:tcBorders/>
          </w:tcPr>
          <w:p>
            <w:pPr>
              <w:pStyle w:val="TableContents"/>
              <w:bidi w:val="0"/>
              <w:spacing w:before="0" w:after="283"/>
              <w:jc w:val="left"/>
              <w:rPr/>
            </w:pPr>
            <w:r>
              <w:rPr/>
              <w:t>Section 4.13</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Limitation on Activities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93</w:t>
            </w:r>
          </w:p>
        </w:tc>
      </w:tr>
      <w:tr>
        <w:trPr/>
        <w:tc>
          <w:tcPr>
            <w:tcW w:w="1228" w:type="dxa"/>
            <w:tcBorders/>
          </w:tcPr>
          <w:p>
            <w:pPr>
              <w:pStyle w:val="TableContents"/>
              <w:bidi w:val="0"/>
              <w:spacing w:before="0" w:after="283"/>
              <w:jc w:val="left"/>
              <w:rPr/>
            </w:pPr>
            <w:r>
              <w:rPr/>
              <w:t>Section 4.14</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Corporate Existence</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94</w:t>
            </w:r>
          </w:p>
        </w:tc>
      </w:tr>
      <w:tr>
        <w:trPr/>
        <w:tc>
          <w:tcPr>
            <w:tcW w:w="1228" w:type="dxa"/>
            <w:tcBorders/>
          </w:tcPr>
          <w:p>
            <w:pPr>
              <w:pStyle w:val="TableContents"/>
              <w:bidi w:val="0"/>
              <w:spacing w:before="0" w:after="283"/>
              <w:jc w:val="left"/>
              <w:rPr/>
            </w:pPr>
            <w:r>
              <w:rPr/>
              <w:t>Section 4.15</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Offer to Repurchase Upon Change of Control</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94</w:t>
            </w:r>
          </w:p>
        </w:tc>
      </w:tr>
      <w:tr>
        <w:trPr/>
        <w:tc>
          <w:tcPr>
            <w:tcW w:w="1228" w:type="dxa"/>
            <w:tcBorders/>
          </w:tcPr>
          <w:p>
            <w:pPr>
              <w:pStyle w:val="TableContents"/>
              <w:bidi w:val="0"/>
              <w:spacing w:before="0" w:after="283"/>
              <w:jc w:val="left"/>
              <w:rPr/>
            </w:pPr>
            <w:r>
              <w:rPr/>
              <w:t>Section 4.16</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Guarantor Coverage Test</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96</w:t>
            </w:r>
          </w:p>
        </w:tc>
      </w:tr>
      <w:tr>
        <w:trPr/>
        <w:tc>
          <w:tcPr>
            <w:tcW w:w="1228" w:type="dxa"/>
            <w:tcBorders/>
          </w:tcPr>
          <w:p>
            <w:pPr>
              <w:pStyle w:val="TableContents"/>
              <w:bidi w:val="0"/>
              <w:spacing w:before="0" w:after="283"/>
              <w:jc w:val="left"/>
              <w:rPr/>
            </w:pPr>
            <w:r>
              <w:rPr/>
              <w:t>Section 4.17</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Future Guarantors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97</w:t>
            </w:r>
          </w:p>
        </w:tc>
      </w:tr>
      <w:tr>
        <w:trPr/>
        <w:tc>
          <w:tcPr>
            <w:tcW w:w="1228" w:type="dxa"/>
            <w:tcBorders/>
          </w:tcPr>
          <w:p>
            <w:pPr>
              <w:pStyle w:val="TableContents"/>
              <w:bidi w:val="0"/>
              <w:spacing w:before="0" w:after="283"/>
              <w:jc w:val="left"/>
              <w:rPr/>
            </w:pPr>
            <w:r>
              <w:rPr/>
              <w:t>Section 4.18</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New Intercompany Loan Rights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98</w:t>
            </w:r>
          </w:p>
        </w:tc>
      </w:tr>
      <w:tr>
        <w:trPr>
          <w:trHeight w:val="120" w:hRule="atLeast"/>
        </w:trPr>
        <w:tc>
          <w:tcPr>
            <w:tcW w:w="9696" w:type="dxa"/>
            <w:gridSpan w:val="3"/>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283"/>
              <w:jc w:val="center"/>
              <w:rPr/>
            </w:pPr>
            <w:r>
              <w:rPr/>
              <w:t>ARTICLE 5</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283"/>
              <w:jc w:val="center"/>
              <w:rPr/>
            </w:pPr>
            <w:r>
              <w:rPr/>
              <w:t>SUCCESSORS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r>
      <w:tr>
        <w:trPr>
          <w:trHeight w:val="120" w:hRule="atLeast"/>
        </w:trPr>
        <w:tc>
          <w:tcPr>
            <w:tcW w:w="1228" w:type="dxa"/>
            <w:tcBorders/>
            <w:vAlign w:val="center"/>
          </w:tcPr>
          <w:p>
            <w:pPr>
              <w:pStyle w:val="TableContents"/>
              <w:bidi w:val="0"/>
              <w:spacing w:before="0" w:after="283"/>
              <w:jc w:val="left"/>
              <w:rPr>
                <w:sz w:val="4"/>
                <w:szCs w:val="4"/>
              </w:rPr>
            </w:pPr>
            <w:r>
              <w:rPr>
                <w:sz w:val="4"/>
                <w:szCs w:val="4"/>
              </w:rPr>
            </w:r>
          </w:p>
        </w:tc>
        <w:tc>
          <w:tcPr>
            <w:tcW w:w="8468"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r>
      <w:tr>
        <w:trPr/>
        <w:tc>
          <w:tcPr>
            <w:tcW w:w="1228" w:type="dxa"/>
            <w:tcBorders/>
          </w:tcPr>
          <w:p>
            <w:pPr>
              <w:pStyle w:val="TableContents"/>
              <w:bidi w:val="0"/>
              <w:spacing w:before="0" w:after="283"/>
              <w:jc w:val="left"/>
              <w:rPr/>
            </w:pPr>
            <w:r>
              <w:rPr/>
              <w:t>Section 5.01</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Merger, Consolidation or Sale of All or Substantially All Assets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98</w:t>
            </w:r>
          </w:p>
        </w:tc>
      </w:tr>
      <w:tr>
        <w:trPr/>
        <w:tc>
          <w:tcPr>
            <w:tcW w:w="1228" w:type="dxa"/>
            <w:tcBorders/>
          </w:tcPr>
          <w:p>
            <w:pPr>
              <w:pStyle w:val="TableContents"/>
              <w:bidi w:val="0"/>
              <w:spacing w:before="0" w:after="283"/>
              <w:jc w:val="left"/>
              <w:rPr/>
            </w:pPr>
            <w:r>
              <w:rPr/>
              <w:t>Section 5.02</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Successor Corporation Substituted</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99</w:t>
            </w:r>
          </w:p>
        </w:tc>
      </w:tr>
      <w:tr>
        <w:trPr>
          <w:trHeight w:val="120" w:hRule="atLeast"/>
        </w:trPr>
        <w:tc>
          <w:tcPr>
            <w:tcW w:w="9696" w:type="dxa"/>
            <w:gridSpan w:val="3"/>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283"/>
              <w:jc w:val="center"/>
              <w:rPr/>
            </w:pPr>
            <w:r>
              <w:rPr/>
              <w:t>ARTICLE 6</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r>
      <w:tr>
        <w:trPr/>
        <w:tc>
          <w:tcPr>
            <w:tcW w:w="9696" w:type="dxa"/>
            <w:gridSpan w:val="3"/>
            <w:tcBorders/>
          </w:tcPr>
          <w:p>
            <w:pPr>
              <w:pStyle w:val="TableContents"/>
              <w:bidi w:val="0"/>
              <w:spacing w:before="0" w:after="283"/>
              <w:jc w:val="center"/>
              <w:rPr/>
            </w:pPr>
            <w:r>
              <w:rPr/>
              <w:t>DEFAULTS AND REMEDIES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r>
      <w:tr>
        <w:trPr>
          <w:trHeight w:val="120" w:hRule="atLeast"/>
        </w:trPr>
        <w:tc>
          <w:tcPr>
            <w:tcW w:w="1228" w:type="dxa"/>
            <w:tcBorders/>
            <w:vAlign w:val="center"/>
          </w:tcPr>
          <w:p>
            <w:pPr>
              <w:pStyle w:val="TableContents"/>
              <w:bidi w:val="0"/>
              <w:spacing w:before="0" w:after="283"/>
              <w:jc w:val="left"/>
              <w:rPr>
                <w:sz w:val="4"/>
                <w:szCs w:val="4"/>
              </w:rPr>
            </w:pPr>
            <w:r>
              <w:rPr>
                <w:sz w:val="4"/>
                <w:szCs w:val="4"/>
              </w:rPr>
            </w:r>
          </w:p>
        </w:tc>
        <w:tc>
          <w:tcPr>
            <w:tcW w:w="8468"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r>
      <w:tr>
        <w:trPr/>
        <w:tc>
          <w:tcPr>
            <w:tcW w:w="1228" w:type="dxa"/>
            <w:tcBorders/>
          </w:tcPr>
          <w:p>
            <w:pPr>
              <w:pStyle w:val="TableContents"/>
              <w:bidi w:val="0"/>
              <w:spacing w:before="0" w:after="283"/>
              <w:jc w:val="left"/>
              <w:rPr/>
            </w:pPr>
            <w:r>
              <w:rPr/>
              <w:t>Section 6.01</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Events of Default</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99</w:t>
            </w:r>
          </w:p>
        </w:tc>
      </w:tr>
      <w:tr>
        <w:trPr/>
        <w:tc>
          <w:tcPr>
            <w:tcW w:w="1228" w:type="dxa"/>
            <w:tcBorders/>
          </w:tcPr>
          <w:p>
            <w:pPr>
              <w:pStyle w:val="TableContents"/>
              <w:bidi w:val="0"/>
              <w:spacing w:before="0" w:after="283"/>
              <w:jc w:val="left"/>
              <w:rPr/>
            </w:pPr>
            <w:r>
              <w:rPr/>
              <w:t>Section 6.02</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Acceleration</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102</w:t>
            </w:r>
          </w:p>
        </w:tc>
      </w:tr>
      <w:tr>
        <w:trPr/>
        <w:tc>
          <w:tcPr>
            <w:tcW w:w="1228" w:type="dxa"/>
            <w:tcBorders/>
          </w:tcPr>
          <w:p>
            <w:pPr>
              <w:pStyle w:val="TableContents"/>
              <w:bidi w:val="0"/>
              <w:spacing w:before="0" w:after="283"/>
              <w:jc w:val="left"/>
              <w:rPr/>
            </w:pPr>
            <w:r>
              <w:rPr/>
              <w:t>Section 6.03</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Other Remedies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103</w:t>
            </w:r>
          </w:p>
        </w:tc>
      </w:tr>
      <w:tr>
        <w:trPr/>
        <w:tc>
          <w:tcPr>
            <w:tcW w:w="1228" w:type="dxa"/>
            <w:tcBorders/>
          </w:tcPr>
          <w:p>
            <w:pPr>
              <w:pStyle w:val="TableContents"/>
              <w:bidi w:val="0"/>
              <w:spacing w:before="0" w:after="283"/>
              <w:jc w:val="left"/>
              <w:rPr/>
            </w:pPr>
            <w:r>
              <w:rPr/>
              <w:t>Section 6.04</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Waiver of Past Defaults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103</w:t>
            </w:r>
          </w:p>
        </w:tc>
      </w:tr>
      <w:tr>
        <w:trPr/>
        <w:tc>
          <w:tcPr>
            <w:tcW w:w="1228" w:type="dxa"/>
            <w:tcBorders/>
          </w:tcPr>
          <w:p>
            <w:pPr>
              <w:pStyle w:val="TableContents"/>
              <w:bidi w:val="0"/>
              <w:spacing w:before="0" w:after="283"/>
              <w:jc w:val="left"/>
              <w:rPr/>
            </w:pPr>
            <w:r>
              <w:rPr/>
              <w:t>Section 6.05</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Control by Majority</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103</w:t>
            </w:r>
          </w:p>
        </w:tc>
      </w:tr>
      <w:tr>
        <w:trPr/>
        <w:tc>
          <w:tcPr>
            <w:tcW w:w="1228" w:type="dxa"/>
            <w:tcBorders/>
          </w:tcPr>
          <w:p>
            <w:pPr>
              <w:pStyle w:val="TableContents"/>
              <w:bidi w:val="0"/>
              <w:spacing w:before="0" w:after="283"/>
              <w:jc w:val="left"/>
              <w:rPr/>
            </w:pPr>
            <w:r>
              <w:rPr/>
              <w:t>Section 6.06</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Limitation on Suits</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104</w:t>
            </w:r>
          </w:p>
        </w:tc>
      </w:tr>
      <w:tr>
        <w:trPr/>
        <w:tc>
          <w:tcPr>
            <w:tcW w:w="1228" w:type="dxa"/>
            <w:tcBorders/>
          </w:tcPr>
          <w:p>
            <w:pPr>
              <w:pStyle w:val="TableContents"/>
              <w:bidi w:val="0"/>
              <w:spacing w:before="0" w:after="283"/>
              <w:jc w:val="left"/>
              <w:rPr/>
            </w:pPr>
            <w:r>
              <w:rPr/>
              <w:t>Section 6.07</w:t>
            </w:r>
          </w:p>
        </w:tc>
        <w:tc>
          <w:tcPr>
            <w:tcW w:w="125" w:type="dxa"/>
            <w:tcBorders/>
            <w:vAlign w:val="bottom"/>
          </w:tcPr>
          <w:p>
            <w:pPr>
              <w:pStyle w:val="TableContents"/>
              <w:bidi w:val="0"/>
              <w:spacing w:before="0" w:after="283"/>
              <w:jc w:val="left"/>
              <w:rPr/>
            </w:pPr>
            <w:r>
              <w:rPr/>
              <w:t>  </w:t>
            </w:r>
          </w:p>
        </w:tc>
        <w:tc>
          <w:tcPr>
            <w:tcW w:w="8343" w:type="dxa"/>
            <w:tcBorders/>
          </w:tcPr>
          <w:p>
            <w:pPr>
              <w:pStyle w:val="TableContents"/>
              <w:bidi w:val="0"/>
              <w:spacing w:before="0" w:after="283"/>
              <w:jc w:val="left"/>
              <w:rPr/>
            </w:pPr>
            <w:r>
              <w:rPr/>
              <w:t>Rights of Holders of Notes to Receive Payment</w:t>
            </w:r>
          </w:p>
        </w:tc>
        <w:tc>
          <w:tcPr>
            <w:tcW w:w="125"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pPr>
            <w:r>
              <w:rPr/>
              <w:t>104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37"/>
        <w:gridCol w:w="127"/>
        <w:gridCol w:w="8325"/>
        <w:gridCol w:w="127"/>
        <w:gridCol w:w="389"/>
      </w:tblGrid>
      <w:tr>
        <w:trPr/>
        <w:tc>
          <w:tcPr>
            <w:tcW w:w="123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6.08</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Collection Suit by Trustee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105</w:t>
            </w:r>
          </w:p>
        </w:tc>
      </w:tr>
      <w:tr>
        <w:trPr/>
        <w:tc>
          <w:tcPr>
            <w:tcW w:w="1237" w:type="dxa"/>
            <w:tcBorders/>
          </w:tcPr>
          <w:p>
            <w:pPr>
              <w:pStyle w:val="TableContents"/>
              <w:bidi w:val="0"/>
              <w:spacing w:before="0" w:after="283"/>
              <w:jc w:val="left"/>
              <w:rPr/>
            </w:pPr>
            <w:r>
              <w:rPr/>
              <w:t>Section 6.09</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Trustee May File Proofs of Claim</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105</w:t>
            </w:r>
          </w:p>
        </w:tc>
      </w:tr>
      <w:tr>
        <w:trPr/>
        <w:tc>
          <w:tcPr>
            <w:tcW w:w="1237" w:type="dxa"/>
            <w:tcBorders/>
          </w:tcPr>
          <w:p>
            <w:pPr>
              <w:pStyle w:val="TableContents"/>
              <w:bidi w:val="0"/>
              <w:spacing w:before="0" w:after="283"/>
              <w:jc w:val="left"/>
              <w:rPr/>
            </w:pPr>
            <w:r>
              <w:rPr/>
              <w:t>Section 6.10</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Priorities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105</w:t>
            </w:r>
          </w:p>
        </w:tc>
      </w:tr>
      <w:tr>
        <w:trPr/>
        <w:tc>
          <w:tcPr>
            <w:tcW w:w="1237" w:type="dxa"/>
            <w:tcBorders/>
          </w:tcPr>
          <w:p>
            <w:pPr>
              <w:pStyle w:val="TableContents"/>
              <w:bidi w:val="0"/>
              <w:spacing w:before="0" w:after="283"/>
              <w:jc w:val="left"/>
              <w:rPr/>
            </w:pPr>
            <w:r>
              <w:rPr/>
              <w:t>Section 6.11</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Undertaking for Costs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106</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center"/>
              <w:rPr/>
            </w:pPr>
            <w:r>
              <w:rPr/>
              <w:t>ARTICLE 7</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center"/>
              <w:rPr/>
            </w:pPr>
            <w:r>
              <w:rPr/>
              <w:t>TRUSTEE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r>
      <w:tr>
        <w:trPr>
          <w:trHeight w:val="120" w:hRule="atLeast"/>
        </w:trPr>
        <w:tc>
          <w:tcPr>
            <w:tcW w:w="1237" w:type="dxa"/>
            <w:tcBorders/>
            <w:vAlign w:val="center"/>
          </w:tcPr>
          <w:p>
            <w:pPr>
              <w:pStyle w:val="TableContents"/>
              <w:bidi w:val="0"/>
              <w:spacing w:before="0" w:after="283"/>
              <w:jc w:val="left"/>
              <w:rPr>
                <w:sz w:val="4"/>
                <w:szCs w:val="4"/>
              </w:rPr>
            </w:pPr>
            <w:r>
              <w:rPr>
                <w:sz w:val="4"/>
                <w:szCs w:val="4"/>
              </w:rPr>
            </w:r>
          </w:p>
        </w:tc>
        <w:tc>
          <w:tcPr>
            <w:tcW w:w="8452"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7.01</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Duties of Trustee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106</w:t>
            </w:r>
          </w:p>
        </w:tc>
      </w:tr>
      <w:tr>
        <w:trPr/>
        <w:tc>
          <w:tcPr>
            <w:tcW w:w="1237" w:type="dxa"/>
            <w:tcBorders/>
          </w:tcPr>
          <w:p>
            <w:pPr>
              <w:pStyle w:val="TableContents"/>
              <w:bidi w:val="0"/>
              <w:spacing w:before="0" w:after="283"/>
              <w:jc w:val="left"/>
              <w:rPr/>
            </w:pPr>
            <w:r>
              <w:rPr/>
              <w:t>Section 7.02</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Rights of Trustee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107</w:t>
            </w:r>
          </w:p>
        </w:tc>
      </w:tr>
      <w:tr>
        <w:trPr/>
        <w:tc>
          <w:tcPr>
            <w:tcW w:w="1237" w:type="dxa"/>
            <w:tcBorders/>
          </w:tcPr>
          <w:p>
            <w:pPr>
              <w:pStyle w:val="TableContents"/>
              <w:bidi w:val="0"/>
              <w:spacing w:before="0" w:after="283"/>
              <w:jc w:val="left"/>
              <w:rPr/>
            </w:pPr>
            <w:r>
              <w:rPr/>
              <w:t>Section 7.03</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Individual Rights of Trustee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108</w:t>
            </w:r>
          </w:p>
        </w:tc>
      </w:tr>
      <w:tr>
        <w:trPr/>
        <w:tc>
          <w:tcPr>
            <w:tcW w:w="1237" w:type="dxa"/>
            <w:tcBorders/>
          </w:tcPr>
          <w:p>
            <w:pPr>
              <w:pStyle w:val="TableContents"/>
              <w:bidi w:val="0"/>
              <w:spacing w:before="0" w:after="283"/>
              <w:jc w:val="left"/>
              <w:rPr/>
            </w:pPr>
            <w:r>
              <w:rPr/>
              <w:t>Section 7.04</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Trustee’s Disclaimer</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108</w:t>
            </w:r>
          </w:p>
        </w:tc>
      </w:tr>
      <w:tr>
        <w:trPr/>
        <w:tc>
          <w:tcPr>
            <w:tcW w:w="1237" w:type="dxa"/>
            <w:tcBorders/>
          </w:tcPr>
          <w:p>
            <w:pPr>
              <w:pStyle w:val="TableContents"/>
              <w:bidi w:val="0"/>
              <w:spacing w:before="0" w:after="283"/>
              <w:jc w:val="left"/>
              <w:rPr/>
            </w:pPr>
            <w:r>
              <w:rPr/>
              <w:t>Section 7.05</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Notice of Defaults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109</w:t>
            </w:r>
          </w:p>
        </w:tc>
      </w:tr>
      <w:tr>
        <w:trPr/>
        <w:tc>
          <w:tcPr>
            <w:tcW w:w="1237" w:type="dxa"/>
            <w:tcBorders/>
          </w:tcPr>
          <w:p>
            <w:pPr>
              <w:pStyle w:val="TableContents"/>
              <w:bidi w:val="0"/>
              <w:spacing w:before="0" w:after="283"/>
              <w:jc w:val="left"/>
              <w:rPr/>
            </w:pPr>
            <w:r>
              <w:rPr/>
              <w:t>Section 7.06</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Compensation and Indemnity</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109</w:t>
            </w:r>
          </w:p>
        </w:tc>
      </w:tr>
      <w:tr>
        <w:trPr/>
        <w:tc>
          <w:tcPr>
            <w:tcW w:w="1237" w:type="dxa"/>
            <w:tcBorders/>
          </w:tcPr>
          <w:p>
            <w:pPr>
              <w:pStyle w:val="TableContents"/>
              <w:bidi w:val="0"/>
              <w:spacing w:before="0" w:after="283"/>
              <w:jc w:val="left"/>
              <w:rPr/>
            </w:pPr>
            <w:r>
              <w:rPr/>
              <w:t>Section 7.07</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Replacement of Trustee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110</w:t>
            </w:r>
          </w:p>
        </w:tc>
      </w:tr>
      <w:tr>
        <w:trPr/>
        <w:tc>
          <w:tcPr>
            <w:tcW w:w="1237" w:type="dxa"/>
            <w:tcBorders/>
          </w:tcPr>
          <w:p>
            <w:pPr>
              <w:pStyle w:val="TableContents"/>
              <w:bidi w:val="0"/>
              <w:spacing w:before="0" w:after="283"/>
              <w:jc w:val="left"/>
              <w:rPr/>
            </w:pPr>
            <w:r>
              <w:rPr/>
              <w:t>Section 7.08</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Successor Trustee by Merger, etc.</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111</w:t>
            </w:r>
          </w:p>
        </w:tc>
      </w:tr>
      <w:tr>
        <w:trPr/>
        <w:tc>
          <w:tcPr>
            <w:tcW w:w="1237" w:type="dxa"/>
            <w:tcBorders/>
          </w:tcPr>
          <w:p>
            <w:pPr>
              <w:pStyle w:val="TableContents"/>
              <w:bidi w:val="0"/>
              <w:spacing w:before="0" w:after="283"/>
              <w:jc w:val="left"/>
              <w:rPr/>
            </w:pPr>
            <w:r>
              <w:rPr/>
              <w:t>Section 7.09</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Eligibility; Disqualification</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111</w:t>
            </w:r>
          </w:p>
        </w:tc>
      </w:tr>
      <w:tr>
        <w:trPr/>
        <w:tc>
          <w:tcPr>
            <w:tcW w:w="1237" w:type="dxa"/>
            <w:tcBorders/>
          </w:tcPr>
          <w:p>
            <w:pPr>
              <w:pStyle w:val="TableContents"/>
              <w:bidi w:val="0"/>
              <w:spacing w:before="0" w:after="283"/>
              <w:jc w:val="left"/>
              <w:rPr/>
            </w:pPr>
            <w:r>
              <w:rPr/>
              <w:t>Section 7.10</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New Intercompany Loan Agreement; Holder Direction Rights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111</w:t>
            </w:r>
          </w:p>
        </w:tc>
      </w:tr>
      <w:tr>
        <w:trPr/>
        <w:tc>
          <w:tcPr>
            <w:tcW w:w="1237" w:type="dxa"/>
            <w:tcBorders/>
          </w:tcPr>
          <w:p>
            <w:pPr>
              <w:pStyle w:val="TableContents"/>
              <w:bidi w:val="0"/>
              <w:spacing w:before="0" w:after="283"/>
              <w:jc w:val="left"/>
              <w:rPr/>
            </w:pPr>
            <w:r>
              <w:rPr/>
              <w:t>Section 7.11</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Security Documents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112</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center"/>
              <w:rPr/>
            </w:pPr>
            <w:r>
              <w:rPr/>
              <w:t>ARTICLE 8</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center"/>
              <w:rPr/>
            </w:pPr>
            <w:r>
              <w:rPr/>
              <w:t>LEGAL DEFEASANCE AND COVENANT DEFEASANCE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r>
      <w:tr>
        <w:trPr>
          <w:trHeight w:val="120" w:hRule="atLeast"/>
        </w:trPr>
        <w:tc>
          <w:tcPr>
            <w:tcW w:w="1237" w:type="dxa"/>
            <w:tcBorders/>
            <w:vAlign w:val="center"/>
          </w:tcPr>
          <w:p>
            <w:pPr>
              <w:pStyle w:val="TableContents"/>
              <w:bidi w:val="0"/>
              <w:spacing w:before="0" w:after="283"/>
              <w:jc w:val="left"/>
              <w:rPr>
                <w:sz w:val="4"/>
                <w:szCs w:val="4"/>
              </w:rPr>
            </w:pPr>
            <w:r>
              <w:rPr>
                <w:sz w:val="4"/>
                <w:szCs w:val="4"/>
              </w:rPr>
            </w:r>
          </w:p>
        </w:tc>
        <w:tc>
          <w:tcPr>
            <w:tcW w:w="8452"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8.01</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Option to Effect Legal Defeasance or Covenant Defeasance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113</w:t>
            </w:r>
          </w:p>
        </w:tc>
      </w:tr>
      <w:tr>
        <w:trPr/>
        <w:tc>
          <w:tcPr>
            <w:tcW w:w="1237" w:type="dxa"/>
            <w:tcBorders/>
          </w:tcPr>
          <w:p>
            <w:pPr>
              <w:pStyle w:val="TableContents"/>
              <w:bidi w:val="0"/>
              <w:spacing w:before="0" w:after="283"/>
              <w:jc w:val="left"/>
              <w:rPr/>
            </w:pPr>
            <w:r>
              <w:rPr/>
              <w:t>Section 8.02</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Legal Defeasance and Discharge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113</w:t>
            </w:r>
          </w:p>
        </w:tc>
      </w:tr>
      <w:tr>
        <w:trPr/>
        <w:tc>
          <w:tcPr>
            <w:tcW w:w="1237" w:type="dxa"/>
            <w:tcBorders/>
          </w:tcPr>
          <w:p>
            <w:pPr>
              <w:pStyle w:val="TableContents"/>
              <w:bidi w:val="0"/>
              <w:spacing w:before="0" w:after="283"/>
              <w:jc w:val="left"/>
              <w:rPr/>
            </w:pPr>
            <w:r>
              <w:rPr/>
              <w:t>Section 8.03</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Covenant Defeasance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114</w:t>
            </w:r>
          </w:p>
        </w:tc>
      </w:tr>
      <w:tr>
        <w:trPr/>
        <w:tc>
          <w:tcPr>
            <w:tcW w:w="1237" w:type="dxa"/>
            <w:tcBorders/>
          </w:tcPr>
          <w:p>
            <w:pPr>
              <w:pStyle w:val="TableContents"/>
              <w:bidi w:val="0"/>
              <w:spacing w:before="0" w:after="283"/>
              <w:jc w:val="left"/>
              <w:rPr/>
            </w:pPr>
            <w:r>
              <w:rPr/>
              <w:t>Section 8.04</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Conditions to Legal or Covenant Defeasance</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114</w:t>
            </w:r>
          </w:p>
        </w:tc>
      </w:tr>
      <w:tr>
        <w:trPr/>
        <w:tc>
          <w:tcPr>
            <w:tcW w:w="1237" w:type="dxa"/>
            <w:tcBorders/>
          </w:tcPr>
          <w:p>
            <w:pPr>
              <w:pStyle w:val="TableContents"/>
              <w:bidi w:val="0"/>
              <w:spacing w:before="0" w:after="283"/>
              <w:jc w:val="left"/>
              <w:rPr/>
            </w:pPr>
            <w:r>
              <w:rPr/>
              <w:t>Section 8.05</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Deposited Money and Government Securities to be Held in Trust; Other Miscellaneous Provisions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116</w:t>
            </w:r>
          </w:p>
        </w:tc>
      </w:tr>
      <w:tr>
        <w:trPr/>
        <w:tc>
          <w:tcPr>
            <w:tcW w:w="1237" w:type="dxa"/>
            <w:tcBorders/>
          </w:tcPr>
          <w:p>
            <w:pPr>
              <w:pStyle w:val="TableContents"/>
              <w:bidi w:val="0"/>
              <w:spacing w:before="0" w:after="283"/>
              <w:jc w:val="left"/>
              <w:rPr/>
            </w:pPr>
            <w:r>
              <w:rPr/>
              <w:t>Section 8.06</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Repayment to Company</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116</w:t>
            </w:r>
          </w:p>
        </w:tc>
      </w:tr>
      <w:tr>
        <w:trPr/>
        <w:tc>
          <w:tcPr>
            <w:tcW w:w="1237" w:type="dxa"/>
            <w:tcBorders/>
          </w:tcPr>
          <w:p>
            <w:pPr>
              <w:pStyle w:val="TableContents"/>
              <w:bidi w:val="0"/>
              <w:spacing w:before="0" w:after="283"/>
              <w:jc w:val="left"/>
              <w:rPr/>
            </w:pPr>
            <w:r>
              <w:rPr/>
              <w:t>Section 8.07</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Reinstatement</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116</w:t>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center"/>
              <w:rPr/>
            </w:pPr>
            <w:r>
              <w:rPr/>
              <w:t>ARTICLE 9</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283"/>
              <w:jc w:val="center"/>
              <w:rPr/>
            </w:pPr>
            <w:r>
              <w:rPr/>
              <w:t>AMENDMENT, SUPPLEMENT AND WAIVER</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r>
      <w:tr>
        <w:trPr>
          <w:trHeight w:val="120" w:hRule="atLeast"/>
        </w:trPr>
        <w:tc>
          <w:tcPr>
            <w:tcW w:w="1237" w:type="dxa"/>
            <w:tcBorders/>
            <w:vAlign w:val="center"/>
          </w:tcPr>
          <w:p>
            <w:pPr>
              <w:pStyle w:val="TableContents"/>
              <w:bidi w:val="0"/>
              <w:spacing w:before="0" w:after="283"/>
              <w:jc w:val="left"/>
              <w:rPr>
                <w:sz w:val="4"/>
                <w:szCs w:val="4"/>
              </w:rPr>
            </w:pPr>
            <w:r>
              <w:rPr>
                <w:sz w:val="4"/>
                <w:szCs w:val="4"/>
              </w:rPr>
            </w:r>
          </w:p>
        </w:tc>
        <w:tc>
          <w:tcPr>
            <w:tcW w:w="8452"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9.01</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Without Consent of Holders of Notes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117</w:t>
            </w:r>
          </w:p>
        </w:tc>
      </w:tr>
      <w:tr>
        <w:trPr/>
        <w:tc>
          <w:tcPr>
            <w:tcW w:w="1237" w:type="dxa"/>
            <w:tcBorders/>
          </w:tcPr>
          <w:p>
            <w:pPr>
              <w:pStyle w:val="TableContents"/>
              <w:bidi w:val="0"/>
              <w:spacing w:before="0" w:after="283"/>
              <w:jc w:val="left"/>
              <w:rPr/>
            </w:pPr>
            <w:r>
              <w:rPr/>
              <w:t>Section 9.02</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With Consent of Holders of Notes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118</w:t>
            </w:r>
          </w:p>
        </w:tc>
      </w:tr>
      <w:tr>
        <w:trPr/>
        <w:tc>
          <w:tcPr>
            <w:tcW w:w="1237" w:type="dxa"/>
            <w:tcBorders/>
          </w:tcPr>
          <w:p>
            <w:pPr>
              <w:pStyle w:val="TableContents"/>
              <w:bidi w:val="0"/>
              <w:spacing w:before="0" w:after="283"/>
              <w:jc w:val="left"/>
              <w:rPr/>
            </w:pPr>
            <w:r>
              <w:rPr/>
              <w:t>Section 9.03</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Revocation and Effect of Consents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121</w:t>
            </w:r>
          </w:p>
        </w:tc>
      </w:tr>
      <w:tr>
        <w:trPr/>
        <w:tc>
          <w:tcPr>
            <w:tcW w:w="1237" w:type="dxa"/>
            <w:tcBorders/>
          </w:tcPr>
          <w:p>
            <w:pPr>
              <w:pStyle w:val="TableContents"/>
              <w:bidi w:val="0"/>
              <w:spacing w:before="0" w:after="283"/>
              <w:jc w:val="left"/>
              <w:rPr/>
            </w:pPr>
            <w:r>
              <w:rPr/>
              <w:t>Section 9.04</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Notation on or Exchange of Notes</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121</w:t>
            </w:r>
          </w:p>
        </w:tc>
      </w:tr>
      <w:tr>
        <w:trPr/>
        <w:tc>
          <w:tcPr>
            <w:tcW w:w="1237" w:type="dxa"/>
            <w:tcBorders/>
          </w:tcPr>
          <w:p>
            <w:pPr>
              <w:pStyle w:val="TableContents"/>
              <w:bidi w:val="0"/>
              <w:spacing w:before="0" w:after="283"/>
              <w:jc w:val="left"/>
              <w:rPr/>
            </w:pPr>
            <w:r>
              <w:rPr/>
              <w:t>Section 9.05</w:t>
            </w:r>
          </w:p>
        </w:tc>
        <w:tc>
          <w:tcPr>
            <w:tcW w:w="127" w:type="dxa"/>
            <w:tcBorders/>
            <w:vAlign w:val="bottom"/>
          </w:tcPr>
          <w:p>
            <w:pPr>
              <w:pStyle w:val="TableContents"/>
              <w:bidi w:val="0"/>
              <w:spacing w:before="0" w:after="283"/>
              <w:jc w:val="left"/>
              <w:rPr/>
            </w:pPr>
            <w:r>
              <w:rPr/>
              <w:t>  </w:t>
            </w:r>
          </w:p>
        </w:tc>
        <w:tc>
          <w:tcPr>
            <w:tcW w:w="8325" w:type="dxa"/>
            <w:tcBorders/>
          </w:tcPr>
          <w:p>
            <w:pPr>
              <w:pStyle w:val="TableContents"/>
              <w:bidi w:val="0"/>
              <w:spacing w:before="0" w:after="283"/>
              <w:jc w:val="left"/>
              <w:rPr/>
            </w:pPr>
            <w:r>
              <w:rPr/>
              <w:t>Trustee to Sign Amendments, etc.</w:t>
            </w:r>
          </w:p>
        </w:tc>
        <w:tc>
          <w:tcPr>
            <w:tcW w:w="127"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pPr>
            <w:r>
              <w:rPr/>
              <w:t>121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37"/>
        <w:gridCol w:w="127"/>
        <w:gridCol w:w="8323"/>
        <w:gridCol w:w="127"/>
        <w:gridCol w:w="391"/>
      </w:tblGrid>
      <w:tr>
        <w:trPr/>
        <w:tc>
          <w:tcPr>
            <w:tcW w:w="123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3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2"/>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ARTICLE 10</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COLLATERAL AND SECURITY</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rHeight w:val="120" w:hRule="atLeast"/>
        </w:trPr>
        <w:tc>
          <w:tcPr>
            <w:tcW w:w="1237" w:type="dxa"/>
            <w:tcBorders/>
            <w:vAlign w:val="center"/>
          </w:tcPr>
          <w:p>
            <w:pPr>
              <w:pStyle w:val="TableContents"/>
              <w:bidi w:val="0"/>
              <w:spacing w:before="0" w:after="283"/>
              <w:jc w:val="left"/>
              <w:rPr>
                <w:sz w:val="4"/>
                <w:szCs w:val="4"/>
              </w:rPr>
            </w:pPr>
            <w:r>
              <w:rPr>
                <w:sz w:val="4"/>
                <w:szCs w:val="4"/>
              </w:rPr>
            </w:r>
          </w:p>
        </w:tc>
        <w:tc>
          <w:tcPr>
            <w:tcW w:w="8450" w:type="dxa"/>
            <w:gridSpan w:val="2"/>
            <w:tcBorders/>
            <w:vAlign w:val="center"/>
          </w:tcPr>
          <w:p>
            <w:pPr>
              <w:pStyle w:val="TableContents"/>
              <w:bidi w:val="0"/>
              <w:spacing w:before="0" w:after="283"/>
              <w:jc w:val="left"/>
              <w:rPr>
                <w:sz w:val="4"/>
                <w:szCs w:val="4"/>
              </w:rPr>
            </w:pPr>
            <w:r>
              <w:rPr>
                <w:sz w:val="4"/>
                <w:szCs w:val="4"/>
              </w:rPr>
            </w:r>
          </w:p>
        </w:tc>
        <w:tc>
          <w:tcPr>
            <w:tcW w:w="518"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10.01</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Security Interest</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121</w:t>
            </w:r>
          </w:p>
        </w:tc>
      </w:tr>
      <w:tr>
        <w:trPr/>
        <w:tc>
          <w:tcPr>
            <w:tcW w:w="1237" w:type="dxa"/>
            <w:tcBorders/>
          </w:tcPr>
          <w:p>
            <w:pPr>
              <w:pStyle w:val="TableContents"/>
              <w:bidi w:val="0"/>
              <w:spacing w:before="0" w:after="283"/>
              <w:jc w:val="left"/>
              <w:rPr/>
            </w:pPr>
            <w:r>
              <w:rPr/>
              <w:t>Section 10.02</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Certain Collateral Matters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122</w:t>
            </w:r>
          </w:p>
        </w:tc>
      </w:tr>
      <w:tr>
        <w:trPr/>
        <w:tc>
          <w:tcPr>
            <w:tcW w:w="1237" w:type="dxa"/>
            <w:tcBorders/>
          </w:tcPr>
          <w:p>
            <w:pPr>
              <w:pStyle w:val="TableContents"/>
              <w:bidi w:val="0"/>
              <w:spacing w:before="0" w:after="283"/>
              <w:jc w:val="left"/>
              <w:rPr/>
            </w:pPr>
            <w:r>
              <w:rPr/>
              <w:t>Section 10.03</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After-Acquired Property</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123</w:t>
            </w:r>
          </w:p>
        </w:tc>
      </w:tr>
      <w:tr>
        <w:trPr/>
        <w:tc>
          <w:tcPr>
            <w:tcW w:w="1237" w:type="dxa"/>
            <w:tcBorders/>
          </w:tcPr>
          <w:p>
            <w:pPr>
              <w:pStyle w:val="TableContents"/>
              <w:bidi w:val="0"/>
              <w:spacing w:before="0" w:after="283"/>
              <w:jc w:val="left"/>
              <w:rPr/>
            </w:pPr>
            <w:r>
              <w:rPr/>
              <w:t>Section 10.04</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Release of Collateral</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123</w:t>
            </w:r>
          </w:p>
        </w:tc>
      </w:tr>
      <w:tr>
        <w:trPr/>
        <w:tc>
          <w:tcPr>
            <w:tcW w:w="1237" w:type="dxa"/>
            <w:tcBorders/>
          </w:tcPr>
          <w:p>
            <w:pPr>
              <w:pStyle w:val="TableContents"/>
              <w:bidi w:val="0"/>
              <w:spacing w:before="0" w:after="283"/>
              <w:jc w:val="left"/>
              <w:rPr/>
            </w:pPr>
            <w:r>
              <w:rPr/>
              <w:t>Section 10.05</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Authorization of Actions to Be Taken by the Trustee Under the Security Documents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124</w:t>
            </w:r>
          </w:p>
        </w:tc>
      </w:tr>
      <w:tr>
        <w:trPr/>
        <w:tc>
          <w:tcPr>
            <w:tcW w:w="1237" w:type="dxa"/>
            <w:tcBorders/>
          </w:tcPr>
          <w:p>
            <w:pPr>
              <w:pStyle w:val="TableContents"/>
              <w:bidi w:val="0"/>
              <w:spacing w:before="0" w:after="283"/>
              <w:jc w:val="left"/>
              <w:rPr/>
            </w:pPr>
            <w:r>
              <w:rPr/>
              <w:t>Section 10.06</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Authorization of Receipt of Funds by the Trustee Under the Security Documents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125</w:t>
            </w:r>
          </w:p>
        </w:tc>
      </w:tr>
      <w:tr>
        <w:trPr/>
        <w:tc>
          <w:tcPr>
            <w:tcW w:w="1237" w:type="dxa"/>
            <w:tcBorders/>
          </w:tcPr>
          <w:p>
            <w:pPr>
              <w:pStyle w:val="TableContents"/>
              <w:bidi w:val="0"/>
              <w:spacing w:before="0" w:after="283"/>
              <w:jc w:val="left"/>
              <w:rPr/>
            </w:pPr>
            <w:r>
              <w:rPr/>
              <w:t>Section 10.07</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Termination of Security Interest</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125</w:t>
            </w:r>
          </w:p>
        </w:tc>
      </w:tr>
      <w:tr>
        <w:trPr/>
        <w:tc>
          <w:tcPr>
            <w:tcW w:w="1237" w:type="dxa"/>
            <w:tcBorders/>
          </w:tcPr>
          <w:p>
            <w:pPr>
              <w:pStyle w:val="TableContents"/>
              <w:bidi w:val="0"/>
              <w:spacing w:before="0" w:after="283"/>
              <w:jc w:val="left"/>
              <w:rPr/>
            </w:pPr>
            <w:r>
              <w:rPr/>
              <w:t>Section 10.08</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The Collateral Agent</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126</w:t>
            </w:r>
          </w:p>
        </w:tc>
      </w:tr>
      <w:tr>
        <w:trPr/>
        <w:tc>
          <w:tcPr>
            <w:tcW w:w="1237" w:type="dxa"/>
            <w:tcBorders/>
          </w:tcPr>
          <w:p>
            <w:pPr>
              <w:pStyle w:val="TableContents"/>
              <w:bidi w:val="0"/>
              <w:spacing w:before="0" w:after="283"/>
              <w:jc w:val="left"/>
              <w:rPr/>
            </w:pPr>
            <w:r>
              <w:rPr/>
              <w:t>Section 10.09</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Australian Security Trustee</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131</w:t>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2"/>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ARTICLE 11</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GUARANTEES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rHeight w:val="120" w:hRule="atLeast"/>
        </w:trPr>
        <w:tc>
          <w:tcPr>
            <w:tcW w:w="1237" w:type="dxa"/>
            <w:tcBorders/>
            <w:vAlign w:val="center"/>
          </w:tcPr>
          <w:p>
            <w:pPr>
              <w:pStyle w:val="TableContents"/>
              <w:bidi w:val="0"/>
              <w:spacing w:before="0" w:after="283"/>
              <w:jc w:val="left"/>
              <w:rPr>
                <w:sz w:val="4"/>
                <w:szCs w:val="4"/>
              </w:rPr>
            </w:pPr>
            <w:r>
              <w:rPr>
                <w:sz w:val="4"/>
                <w:szCs w:val="4"/>
              </w:rPr>
            </w:r>
          </w:p>
        </w:tc>
        <w:tc>
          <w:tcPr>
            <w:tcW w:w="8450" w:type="dxa"/>
            <w:gridSpan w:val="2"/>
            <w:tcBorders/>
            <w:vAlign w:val="center"/>
          </w:tcPr>
          <w:p>
            <w:pPr>
              <w:pStyle w:val="TableContents"/>
              <w:bidi w:val="0"/>
              <w:spacing w:before="0" w:after="283"/>
              <w:jc w:val="left"/>
              <w:rPr>
                <w:sz w:val="4"/>
                <w:szCs w:val="4"/>
              </w:rPr>
            </w:pPr>
            <w:r>
              <w:rPr>
                <w:sz w:val="4"/>
                <w:szCs w:val="4"/>
              </w:rPr>
            </w:r>
          </w:p>
        </w:tc>
        <w:tc>
          <w:tcPr>
            <w:tcW w:w="518"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11.01</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Guarantee</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132</w:t>
            </w:r>
          </w:p>
        </w:tc>
      </w:tr>
      <w:tr>
        <w:trPr/>
        <w:tc>
          <w:tcPr>
            <w:tcW w:w="1237" w:type="dxa"/>
            <w:tcBorders/>
          </w:tcPr>
          <w:p>
            <w:pPr>
              <w:pStyle w:val="TableContents"/>
              <w:bidi w:val="0"/>
              <w:spacing w:before="0" w:after="283"/>
              <w:jc w:val="left"/>
              <w:rPr/>
            </w:pPr>
            <w:r>
              <w:rPr/>
              <w:t>Section 11.02</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Limitation on Guarantor Liability</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133</w:t>
            </w:r>
          </w:p>
        </w:tc>
      </w:tr>
      <w:tr>
        <w:trPr/>
        <w:tc>
          <w:tcPr>
            <w:tcW w:w="1237" w:type="dxa"/>
            <w:tcBorders/>
          </w:tcPr>
          <w:p>
            <w:pPr>
              <w:pStyle w:val="TableContents"/>
              <w:bidi w:val="0"/>
              <w:spacing w:before="0" w:after="283"/>
              <w:jc w:val="left"/>
              <w:rPr/>
            </w:pPr>
            <w:r>
              <w:rPr/>
              <w:t>Section 11.03</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Guarantee Limitation – England</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133</w:t>
            </w:r>
          </w:p>
        </w:tc>
      </w:tr>
      <w:tr>
        <w:trPr/>
        <w:tc>
          <w:tcPr>
            <w:tcW w:w="1237" w:type="dxa"/>
            <w:tcBorders/>
          </w:tcPr>
          <w:p>
            <w:pPr>
              <w:pStyle w:val="TableContents"/>
              <w:bidi w:val="0"/>
              <w:spacing w:before="0" w:after="283"/>
              <w:jc w:val="left"/>
              <w:rPr/>
            </w:pPr>
            <w:r>
              <w:rPr/>
              <w:t>Section 11.04</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Guarantee Limitation – Singapore</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134</w:t>
            </w:r>
          </w:p>
        </w:tc>
      </w:tr>
      <w:tr>
        <w:trPr/>
        <w:tc>
          <w:tcPr>
            <w:tcW w:w="1237" w:type="dxa"/>
            <w:tcBorders/>
          </w:tcPr>
          <w:p>
            <w:pPr>
              <w:pStyle w:val="TableContents"/>
              <w:bidi w:val="0"/>
              <w:spacing w:before="0" w:after="283"/>
              <w:jc w:val="left"/>
              <w:rPr/>
            </w:pPr>
            <w:r>
              <w:rPr/>
              <w:t>Section 11.05</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Guarantee Limitation – Australia</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134</w:t>
            </w:r>
          </w:p>
        </w:tc>
      </w:tr>
      <w:tr>
        <w:trPr/>
        <w:tc>
          <w:tcPr>
            <w:tcW w:w="1237" w:type="dxa"/>
            <w:tcBorders/>
          </w:tcPr>
          <w:p>
            <w:pPr>
              <w:pStyle w:val="TableContents"/>
              <w:bidi w:val="0"/>
              <w:spacing w:before="0" w:after="283"/>
              <w:jc w:val="left"/>
              <w:rPr/>
            </w:pPr>
            <w:r>
              <w:rPr/>
              <w:t>Section 11.06</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Guarantee Limitation – Luxembourg</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134</w:t>
            </w:r>
          </w:p>
        </w:tc>
      </w:tr>
      <w:tr>
        <w:trPr/>
        <w:tc>
          <w:tcPr>
            <w:tcW w:w="1237" w:type="dxa"/>
            <w:tcBorders/>
          </w:tcPr>
          <w:p>
            <w:pPr>
              <w:pStyle w:val="TableContents"/>
              <w:bidi w:val="0"/>
              <w:spacing w:before="0" w:after="283"/>
              <w:jc w:val="left"/>
              <w:rPr/>
            </w:pPr>
            <w:r>
              <w:rPr/>
              <w:t>Section 11.07</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Guarantee Limitation – Poland</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135</w:t>
            </w:r>
          </w:p>
        </w:tc>
      </w:tr>
      <w:tr>
        <w:trPr/>
        <w:tc>
          <w:tcPr>
            <w:tcW w:w="1237" w:type="dxa"/>
            <w:tcBorders/>
          </w:tcPr>
          <w:p>
            <w:pPr>
              <w:pStyle w:val="TableContents"/>
              <w:bidi w:val="0"/>
              <w:spacing w:before="0" w:after="283"/>
              <w:jc w:val="left"/>
              <w:rPr/>
            </w:pPr>
            <w:r>
              <w:rPr/>
              <w:t>Section 11.08</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Execution and Delivery of Guarantee</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135</w:t>
            </w:r>
          </w:p>
        </w:tc>
      </w:tr>
      <w:tr>
        <w:trPr/>
        <w:tc>
          <w:tcPr>
            <w:tcW w:w="1237" w:type="dxa"/>
            <w:tcBorders/>
          </w:tcPr>
          <w:p>
            <w:pPr>
              <w:pStyle w:val="TableContents"/>
              <w:bidi w:val="0"/>
              <w:spacing w:before="0" w:after="283"/>
              <w:jc w:val="left"/>
              <w:rPr/>
            </w:pPr>
            <w:r>
              <w:rPr/>
              <w:t>Section 11.09</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Guarantors May Consolidate, etc., on Certain Terms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136</w:t>
            </w:r>
          </w:p>
        </w:tc>
      </w:tr>
      <w:tr>
        <w:trPr/>
        <w:tc>
          <w:tcPr>
            <w:tcW w:w="1237" w:type="dxa"/>
            <w:tcBorders/>
          </w:tcPr>
          <w:p>
            <w:pPr>
              <w:pStyle w:val="TableContents"/>
              <w:bidi w:val="0"/>
              <w:spacing w:before="0" w:after="283"/>
              <w:jc w:val="left"/>
              <w:rPr/>
            </w:pPr>
            <w:r>
              <w:rPr/>
              <w:t>Section 11.10</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Releases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137</w:t>
            </w:r>
          </w:p>
        </w:tc>
      </w:tr>
      <w:tr>
        <w:trPr/>
        <w:tc>
          <w:tcPr>
            <w:tcW w:w="1237" w:type="dxa"/>
            <w:tcBorders/>
          </w:tcPr>
          <w:p>
            <w:pPr>
              <w:pStyle w:val="TableContents"/>
              <w:bidi w:val="0"/>
              <w:spacing w:before="0" w:after="283"/>
              <w:jc w:val="left"/>
              <w:rPr/>
            </w:pPr>
            <w:r>
              <w:rPr/>
              <w:t>Section 11.11</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Limitation on Guarantor Liability – Iceland</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138</w:t>
            </w:r>
          </w:p>
        </w:tc>
      </w:tr>
      <w:tr>
        <w:trPr/>
        <w:tc>
          <w:tcPr>
            <w:tcW w:w="1237" w:type="dxa"/>
            <w:tcBorders/>
          </w:tcPr>
          <w:p>
            <w:pPr>
              <w:pStyle w:val="TableContents"/>
              <w:bidi w:val="0"/>
              <w:spacing w:before="0" w:after="283"/>
              <w:jc w:val="left"/>
              <w:rPr/>
            </w:pPr>
            <w:r>
              <w:rPr/>
              <w:t>Section 11.12</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Sabre Foreign Guarantor Aggregate Liability Cap</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139</w:t>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2"/>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ARTICLE 12</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SATISFACTION AND DISCHARGE SECTION</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12.01</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Satisfaction and Discharge</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139</w:t>
            </w:r>
          </w:p>
        </w:tc>
      </w:tr>
      <w:tr>
        <w:trPr/>
        <w:tc>
          <w:tcPr>
            <w:tcW w:w="1237" w:type="dxa"/>
            <w:tcBorders/>
          </w:tcPr>
          <w:p>
            <w:pPr>
              <w:pStyle w:val="TableContents"/>
              <w:bidi w:val="0"/>
              <w:spacing w:before="0" w:after="283"/>
              <w:jc w:val="left"/>
              <w:rPr/>
            </w:pPr>
            <w:r>
              <w:rPr/>
              <w:t>Section 12.02</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Application of Trust Money</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140</w:t>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2"/>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ARTICLE 13</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283"/>
              <w:jc w:val="center"/>
              <w:rPr/>
            </w:pPr>
            <w:r>
              <w:rPr/>
              <w:t>MISCELLANEOUS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r>
      <w:tr>
        <w:trPr>
          <w:trHeight w:val="120" w:hRule="atLeast"/>
        </w:trPr>
        <w:tc>
          <w:tcPr>
            <w:tcW w:w="1237" w:type="dxa"/>
            <w:tcBorders/>
            <w:vAlign w:val="center"/>
          </w:tcPr>
          <w:p>
            <w:pPr>
              <w:pStyle w:val="TableContents"/>
              <w:bidi w:val="0"/>
              <w:spacing w:before="0" w:after="283"/>
              <w:jc w:val="left"/>
              <w:rPr>
                <w:sz w:val="4"/>
                <w:szCs w:val="4"/>
              </w:rPr>
            </w:pPr>
            <w:r>
              <w:rPr>
                <w:sz w:val="4"/>
                <w:szCs w:val="4"/>
              </w:rPr>
            </w:r>
          </w:p>
        </w:tc>
        <w:tc>
          <w:tcPr>
            <w:tcW w:w="8450" w:type="dxa"/>
            <w:gridSpan w:val="2"/>
            <w:tcBorders/>
            <w:vAlign w:val="center"/>
          </w:tcPr>
          <w:p>
            <w:pPr>
              <w:pStyle w:val="TableContents"/>
              <w:bidi w:val="0"/>
              <w:spacing w:before="0" w:after="283"/>
              <w:jc w:val="left"/>
              <w:rPr>
                <w:sz w:val="4"/>
                <w:szCs w:val="4"/>
              </w:rPr>
            </w:pPr>
            <w:r>
              <w:rPr>
                <w:sz w:val="4"/>
                <w:szCs w:val="4"/>
              </w:rPr>
            </w:r>
          </w:p>
        </w:tc>
        <w:tc>
          <w:tcPr>
            <w:tcW w:w="518" w:type="dxa"/>
            <w:gridSpan w:val="2"/>
            <w:tcBorders/>
            <w:vAlign w:val="center"/>
          </w:tcPr>
          <w:p>
            <w:pPr>
              <w:pStyle w:val="TableContents"/>
              <w:bidi w:val="0"/>
              <w:spacing w:before="0" w:after="283"/>
              <w:jc w:val="left"/>
              <w:rPr>
                <w:sz w:val="4"/>
                <w:szCs w:val="4"/>
              </w:rPr>
            </w:pPr>
            <w:r>
              <w:rPr>
                <w:sz w:val="4"/>
                <w:szCs w:val="4"/>
              </w:rPr>
            </w:r>
          </w:p>
        </w:tc>
      </w:tr>
      <w:tr>
        <w:trPr/>
        <w:tc>
          <w:tcPr>
            <w:tcW w:w="1237" w:type="dxa"/>
            <w:tcBorders/>
          </w:tcPr>
          <w:p>
            <w:pPr>
              <w:pStyle w:val="TableContents"/>
              <w:bidi w:val="0"/>
              <w:spacing w:before="0" w:after="283"/>
              <w:jc w:val="left"/>
              <w:rPr/>
            </w:pPr>
            <w:r>
              <w:rPr/>
              <w:t>Section 13.01</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Notices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141</w:t>
            </w:r>
          </w:p>
        </w:tc>
      </w:tr>
      <w:tr>
        <w:trPr/>
        <w:tc>
          <w:tcPr>
            <w:tcW w:w="1237" w:type="dxa"/>
            <w:tcBorders/>
          </w:tcPr>
          <w:p>
            <w:pPr>
              <w:pStyle w:val="TableContents"/>
              <w:bidi w:val="0"/>
              <w:spacing w:before="0" w:after="283"/>
              <w:jc w:val="left"/>
              <w:rPr/>
            </w:pPr>
            <w:r>
              <w:rPr/>
              <w:t>Section 13.02</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Communication by Holders of Notes with Other Holders of Notes</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142</w:t>
            </w:r>
          </w:p>
        </w:tc>
      </w:tr>
      <w:tr>
        <w:trPr/>
        <w:tc>
          <w:tcPr>
            <w:tcW w:w="1237" w:type="dxa"/>
            <w:tcBorders/>
          </w:tcPr>
          <w:p>
            <w:pPr>
              <w:pStyle w:val="TableContents"/>
              <w:bidi w:val="0"/>
              <w:spacing w:before="0" w:after="283"/>
              <w:jc w:val="left"/>
              <w:rPr/>
            </w:pPr>
            <w:r>
              <w:rPr/>
              <w:t>Section 13.03</w:t>
            </w:r>
          </w:p>
        </w:tc>
        <w:tc>
          <w:tcPr>
            <w:tcW w:w="127" w:type="dxa"/>
            <w:tcBorders/>
            <w:vAlign w:val="bottom"/>
          </w:tcPr>
          <w:p>
            <w:pPr>
              <w:pStyle w:val="TableContents"/>
              <w:bidi w:val="0"/>
              <w:spacing w:before="0" w:after="283"/>
              <w:jc w:val="left"/>
              <w:rPr/>
            </w:pPr>
            <w:r>
              <w:rPr/>
              <w:t>  </w:t>
            </w:r>
          </w:p>
        </w:tc>
        <w:tc>
          <w:tcPr>
            <w:tcW w:w="8323" w:type="dxa"/>
            <w:tcBorders/>
          </w:tcPr>
          <w:p>
            <w:pPr>
              <w:pStyle w:val="TableContents"/>
              <w:bidi w:val="0"/>
              <w:spacing w:before="0" w:after="283"/>
              <w:jc w:val="left"/>
              <w:rPr/>
            </w:pPr>
            <w:r>
              <w:rPr/>
              <w:t>Certificate and Opinion as to Conditions Precedent</w:t>
            </w:r>
          </w:p>
        </w:tc>
        <w:tc>
          <w:tcPr>
            <w:tcW w:w="12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pPr>
            <w:r>
              <w:rPr/>
              <w:t>142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42"/>
        <w:gridCol w:w="127"/>
        <w:gridCol w:w="8316"/>
        <w:gridCol w:w="127"/>
        <w:gridCol w:w="393"/>
      </w:tblGrid>
      <w:tr>
        <w:trPr/>
        <w:tc>
          <w:tcPr>
            <w:tcW w:w="12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31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242" w:type="dxa"/>
            <w:tcBorders/>
          </w:tcPr>
          <w:p>
            <w:pPr>
              <w:pStyle w:val="TableContents"/>
              <w:bidi w:val="0"/>
              <w:spacing w:before="0" w:after="283"/>
              <w:jc w:val="left"/>
              <w:rPr/>
            </w:pPr>
            <w:r>
              <w:rPr/>
              <w:t>Section 13.04</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Statements Required in Certificate or Opinion</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142</w:t>
            </w:r>
          </w:p>
        </w:tc>
      </w:tr>
      <w:tr>
        <w:trPr/>
        <w:tc>
          <w:tcPr>
            <w:tcW w:w="1242" w:type="dxa"/>
            <w:tcBorders/>
          </w:tcPr>
          <w:p>
            <w:pPr>
              <w:pStyle w:val="TableContents"/>
              <w:bidi w:val="0"/>
              <w:spacing w:before="0" w:after="283"/>
              <w:jc w:val="left"/>
              <w:rPr/>
            </w:pPr>
            <w:r>
              <w:rPr/>
              <w:t>Section 13.05</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Rules by Trustee and Agents</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143</w:t>
            </w:r>
          </w:p>
        </w:tc>
      </w:tr>
      <w:tr>
        <w:trPr/>
        <w:tc>
          <w:tcPr>
            <w:tcW w:w="1242" w:type="dxa"/>
            <w:tcBorders/>
          </w:tcPr>
          <w:p>
            <w:pPr>
              <w:pStyle w:val="TableContents"/>
              <w:bidi w:val="0"/>
              <w:spacing w:before="0" w:after="283"/>
              <w:jc w:val="left"/>
              <w:rPr/>
            </w:pPr>
            <w:r>
              <w:rPr/>
              <w:t>Section 13.06</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No Personal Liability of Directors, Officers, Employees and Stockholders</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143</w:t>
            </w:r>
          </w:p>
        </w:tc>
      </w:tr>
      <w:tr>
        <w:trPr/>
        <w:tc>
          <w:tcPr>
            <w:tcW w:w="1242" w:type="dxa"/>
            <w:tcBorders/>
          </w:tcPr>
          <w:p>
            <w:pPr>
              <w:pStyle w:val="TableContents"/>
              <w:bidi w:val="0"/>
              <w:spacing w:before="0" w:after="283"/>
              <w:jc w:val="left"/>
              <w:rPr/>
            </w:pPr>
            <w:r>
              <w:rPr/>
              <w:t>Section 13.07</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Governing Law; Waiver of Jury Trial; Consent to Jurisdiction</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143</w:t>
            </w:r>
          </w:p>
        </w:tc>
      </w:tr>
      <w:tr>
        <w:trPr/>
        <w:tc>
          <w:tcPr>
            <w:tcW w:w="1242" w:type="dxa"/>
            <w:tcBorders/>
          </w:tcPr>
          <w:p>
            <w:pPr>
              <w:pStyle w:val="TableContents"/>
              <w:bidi w:val="0"/>
              <w:spacing w:before="0" w:after="283"/>
              <w:jc w:val="left"/>
              <w:rPr/>
            </w:pPr>
            <w:r>
              <w:rPr/>
              <w:t>Section 13.08</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No Adverse Interpretation of Other Agreements</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144</w:t>
            </w:r>
          </w:p>
        </w:tc>
      </w:tr>
      <w:tr>
        <w:trPr/>
        <w:tc>
          <w:tcPr>
            <w:tcW w:w="1242" w:type="dxa"/>
            <w:tcBorders/>
          </w:tcPr>
          <w:p>
            <w:pPr>
              <w:pStyle w:val="TableContents"/>
              <w:bidi w:val="0"/>
              <w:spacing w:before="0" w:after="283"/>
              <w:jc w:val="left"/>
              <w:rPr/>
            </w:pPr>
            <w:r>
              <w:rPr/>
              <w:t>Section 13.09</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Successors</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144</w:t>
            </w:r>
          </w:p>
        </w:tc>
      </w:tr>
      <w:tr>
        <w:trPr/>
        <w:tc>
          <w:tcPr>
            <w:tcW w:w="1242" w:type="dxa"/>
            <w:tcBorders/>
          </w:tcPr>
          <w:p>
            <w:pPr>
              <w:pStyle w:val="TableContents"/>
              <w:bidi w:val="0"/>
              <w:spacing w:before="0" w:after="283"/>
              <w:jc w:val="left"/>
              <w:rPr/>
            </w:pPr>
            <w:r>
              <w:rPr/>
              <w:t>Section 13.10</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Severability</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144</w:t>
            </w:r>
          </w:p>
        </w:tc>
      </w:tr>
      <w:tr>
        <w:trPr/>
        <w:tc>
          <w:tcPr>
            <w:tcW w:w="1242" w:type="dxa"/>
            <w:tcBorders/>
          </w:tcPr>
          <w:p>
            <w:pPr>
              <w:pStyle w:val="TableContents"/>
              <w:bidi w:val="0"/>
              <w:spacing w:before="0" w:after="283"/>
              <w:jc w:val="left"/>
              <w:rPr/>
            </w:pPr>
            <w:r>
              <w:rPr/>
              <w:t>Section 13.11</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Counterpart Originals</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144</w:t>
            </w:r>
          </w:p>
        </w:tc>
      </w:tr>
      <w:tr>
        <w:trPr/>
        <w:tc>
          <w:tcPr>
            <w:tcW w:w="1242" w:type="dxa"/>
            <w:tcBorders/>
          </w:tcPr>
          <w:p>
            <w:pPr>
              <w:pStyle w:val="TableContents"/>
              <w:bidi w:val="0"/>
              <w:spacing w:before="0" w:after="283"/>
              <w:jc w:val="left"/>
              <w:rPr/>
            </w:pPr>
            <w:r>
              <w:rPr/>
              <w:t>Section 13.12</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Table of Contents, Headings, etc.</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145</w:t>
            </w:r>
          </w:p>
        </w:tc>
      </w:tr>
      <w:tr>
        <w:trPr/>
        <w:tc>
          <w:tcPr>
            <w:tcW w:w="1242" w:type="dxa"/>
            <w:tcBorders/>
          </w:tcPr>
          <w:p>
            <w:pPr>
              <w:pStyle w:val="TableContents"/>
              <w:bidi w:val="0"/>
              <w:spacing w:before="0" w:after="283"/>
              <w:jc w:val="left"/>
              <w:rPr/>
            </w:pPr>
            <w:r>
              <w:rPr/>
              <w:t>Section 13.13</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Force Majeure</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145</w:t>
            </w:r>
          </w:p>
        </w:tc>
      </w:tr>
      <w:tr>
        <w:trPr/>
        <w:tc>
          <w:tcPr>
            <w:tcW w:w="1242" w:type="dxa"/>
            <w:tcBorders/>
          </w:tcPr>
          <w:p>
            <w:pPr>
              <w:pStyle w:val="TableContents"/>
              <w:bidi w:val="0"/>
              <w:spacing w:before="0" w:after="283"/>
              <w:jc w:val="left"/>
              <w:rPr/>
            </w:pPr>
            <w:r>
              <w:rPr/>
              <w:t>Section 13.14</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U.S.A. Patriot Act</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145</w:t>
            </w:r>
          </w:p>
        </w:tc>
      </w:tr>
      <w:tr>
        <w:trPr/>
        <w:tc>
          <w:tcPr>
            <w:tcW w:w="1242" w:type="dxa"/>
            <w:tcBorders/>
          </w:tcPr>
          <w:p>
            <w:pPr>
              <w:pStyle w:val="TableContents"/>
              <w:bidi w:val="0"/>
              <w:spacing w:before="0" w:after="283"/>
              <w:jc w:val="left"/>
              <w:rPr/>
            </w:pPr>
            <w:r>
              <w:rPr/>
              <w:t>Section 13.15</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Copies of Transaction Documents</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145</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2"/>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283"/>
              <w:jc w:val="center"/>
              <w:rPr/>
            </w:pPr>
            <w:r>
              <w:rPr/>
              <w:t>ARTICLE 14</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283"/>
              <w:jc w:val="center"/>
              <w:rPr/>
            </w:pPr>
            <w:r>
              <w:rPr/>
              <w:t>PARALLEL DEBT</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r>
      <w:tr>
        <w:trPr>
          <w:trHeight w:val="120" w:hRule="atLeast"/>
        </w:trPr>
        <w:tc>
          <w:tcPr>
            <w:tcW w:w="1242" w:type="dxa"/>
            <w:tcBorders/>
            <w:vAlign w:val="center"/>
          </w:tcPr>
          <w:p>
            <w:pPr>
              <w:pStyle w:val="TableContents"/>
              <w:bidi w:val="0"/>
              <w:spacing w:before="0" w:after="283"/>
              <w:jc w:val="left"/>
              <w:rPr>
                <w:sz w:val="4"/>
                <w:szCs w:val="4"/>
              </w:rPr>
            </w:pPr>
            <w:r>
              <w:rPr>
                <w:sz w:val="4"/>
                <w:szCs w:val="4"/>
              </w:rPr>
            </w:r>
          </w:p>
        </w:tc>
        <w:tc>
          <w:tcPr>
            <w:tcW w:w="8443" w:type="dxa"/>
            <w:gridSpan w:val="2"/>
            <w:tcBorders/>
            <w:vAlign w:val="center"/>
          </w:tcPr>
          <w:p>
            <w:pPr>
              <w:pStyle w:val="TableContents"/>
              <w:bidi w:val="0"/>
              <w:spacing w:before="0" w:after="283"/>
              <w:jc w:val="left"/>
              <w:rPr>
                <w:sz w:val="4"/>
                <w:szCs w:val="4"/>
              </w:rPr>
            </w:pPr>
            <w:r>
              <w:rPr>
                <w:sz w:val="4"/>
                <w:szCs w:val="4"/>
              </w:rPr>
            </w:r>
          </w:p>
        </w:tc>
        <w:tc>
          <w:tcPr>
            <w:tcW w:w="520" w:type="dxa"/>
            <w:gridSpan w:val="2"/>
            <w:tcBorders/>
            <w:vAlign w:val="center"/>
          </w:tcPr>
          <w:p>
            <w:pPr>
              <w:pStyle w:val="TableContents"/>
              <w:bidi w:val="0"/>
              <w:spacing w:before="0" w:after="283"/>
              <w:jc w:val="left"/>
              <w:rPr>
                <w:sz w:val="4"/>
                <w:szCs w:val="4"/>
              </w:rPr>
            </w:pPr>
            <w:r>
              <w:rPr>
                <w:sz w:val="4"/>
                <w:szCs w:val="4"/>
              </w:rPr>
            </w:r>
          </w:p>
        </w:tc>
      </w:tr>
      <w:tr>
        <w:trPr/>
        <w:tc>
          <w:tcPr>
            <w:tcW w:w="1242" w:type="dxa"/>
            <w:tcBorders/>
          </w:tcPr>
          <w:p>
            <w:pPr>
              <w:pStyle w:val="TableContents"/>
              <w:bidi w:val="0"/>
              <w:spacing w:before="0" w:after="283"/>
              <w:jc w:val="left"/>
              <w:rPr/>
            </w:pPr>
            <w:r>
              <w:rPr/>
              <w:t>Section 14.01</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Purpose; Governing Law</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145</w:t>
            </w:r>
          </w:p>
        </w:tc>
      </w:tr>
      <w:tr>
        <w:trPr/>
        <w:tc>
          <w:tcPr>
            <w:tcW w:w="1242" w:type="dxa"/>
            <w:tcBorders/>
          </w:tcPr>
          <w:p>
            <w:pPr>
              <w:pStyle w:val="TableContents"/>
              <w:bidi w:val="0"/>
              <w:spacing w:before="0" w:after="283"/>
              <w:jc w:val="left"/>
              <w:rPr/>
            </w:pPr>
            <w:r>
              <w:rPr/>
              <w:t>Section 14.02</w:t>
            </w:r>
          </w:p>
        </w:tc>
        <w:tc>
          <w:tcPr>
            <w:tcW w:w="127" w:type="dxa"/>
            <w:tcBorders/>
            <w:vAlign w:val="bottom"/>
          </w:tcPr>
          <w:p>
            <w:pPr>
              <w:pStyle w:val="TableContents"/>
              <w:bidi w:val="0"/>
              <w:spacing w:before="0" w:after="283"/>
              <w:jc w:val="left"/>
              <w:rPr/>
            </w:pPr>
            <w:r>
              <w:rPr/>
              <w:t>  </w:t>
            </w:r>
          </w:p>
        </w:tc>
        <w:tc>
          <w:tcPr>
            <w:tcW w:w="8316" w:type="dxa"/>
            <w:tcBorders/>
          </w:tcPr>
          <w:p>
            <w:pPr>
              <w:pStyle w:val="TableContents"/>
              <w:bidi w:val="0"/>
              <w:spacing w:before="0" w:after="283"/>
              <w:jc w:val="left"/>
              <w:rPr/>
            </w:pPr>
            <w:r>
              <w:rPr/>
              <w:t>Additional Parallel Debt Provisions</w:t>
            </w:r>
          </w:p>
        </w:tc>
        <w:tc>
          <w:tcPr>
            <w:tcW w:w="127"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146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17"/>
        <w:gridCol w:w="123"/>
        <w:gridCol w:w="8865"/>
      </w:tblGrid>
      <w:tr>
        <w:trPr/>
        <w:tc>
          <w:tcPr>
            <w:tcW w:w="12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8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EXHIBITS</w:t>
            </w:r>
          </w:p>
        </w:tc>
      </w:tr>
      <w:tr>
        <w:trPr/>
        <w:tc>
          <w:tcPr>
            <w:tcW w:w="1217" w:type="dxa"/>
            <w:tcBorders/>
          </w:tcPr>
          <w:p>
            <w:pPr>
              <w:pStyle w:val="TableContents"/>
              <w:bidi w:val="0"/>
              <w:spacing w:before="0" w:after="283"/>
              <w:jc w:val="left"/>
              <w:rPr/>
            </w:pPr>
            <w:r>
              <w:rPr/>
              <w:t>Exhibit A1</w:t>
            </w:r>
          </w:p>
        </w:tc>
        <w:tc>
          <w:tcPr>
            <w:tcW w:w="123"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FORM OF NOTE</w:t>
            </w:r>
          </w:p>
        </w:tc>
      </w:tr>
      <w:tr>
        <w:trPr/>
        <w:tc>
          <w:tcPr>
            <w:tcW w:w="1217" w:type="dxa"/>
            <w:tcBorders/>
          </w:tcPr>
          <w:p>
            <w:pPr>
              <w:pStyle w:val="TableContents"/>
              <w:bidi w:val="0"/>
              <w:spacing w:before="0" w:after="283"/>
              <w:jc w:val="left"/>
              <w:rPr/>
            </w:pPr>
            <w:r>
              <w:rPr/>
              <w:t>Exhibit A2</w:t>
            </w:r>
          </w:p>
        </w:tc>
        <w:tc>
          <w:tcPr>
            <w:tcW w:w="123"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FORM OF REGULATION S TEMPORARY GLOBAL NOTE</w:t>
            </w:r>
          </w:p>
        </w:tc>
      </w:tr>
      <w:tr>
        <w:trPr/>
        <w:tc>
          <w:tcPr>
            <w:tcW w:w="1217"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FORM OF CERTIFICATE OF TRANSFER</w:t>
            </w:r>
          </w:p>
        </w:tc>
      </w:tr>
      <w:tr>
        <w:trPr/>
        <w:tc>
          <w:tcPr>
            <w:tcW w:w="1217"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FORM OF CERTIFICATE OF EXCHANGE</w:t>
            </w:r>
          </w:p>
        </w:tc>
      </w:tr>
      <w:tr>
        <w:trPr/>
        <w:tc>
          <w:tcPr>
            <w:tcW w:w="1217"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FORM OF SUPPLEMENTAL INDENTURE TO BE DELIVERED BY SUBSEQUENT GUARANTORS</w:t>
            </w:r>
          </w:p>
        </w:tc>
      </w:tr>
      <w:tr>
        <w:trPr/>
        <w:tc>
          <w:tcPr>
            <w:tcW w:w="1217" w:type="dxa"/>
            <w:tcBorders/>
          </w:tcPr>
          <w:p>
            <w:pPr>
              <w:pStyle w:val="TableContents"/>
              <w:bidi w:val="0"/>
              <w:spacing w:before="0" w:after="283"/>
              <w:jc w:val="left"/>
              <w:rPr/>
            </w:pPr>
            <w:r>
              <w:rPr/>
              <w:t>Annex A</w:t>
            </w:r>
          </w:p>
        </w:tc>
        <w:tc>
          <w:tcPr>
            <w:tcW w:w="123"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AGREED GUARANTEE AND SECURITY PRINCIPLES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September 28, 2026 among Sabre Financial Borrower, LLC, a Delaware limited liability company (the “</w:t>
      </w:r>
      <w:r>
        <w:rPr>
          <w:rFonts w:ascii="Times New Roman" w:hAnsi="Times New Roman"/>
          <w:i/>
          <w:sz w:val="20"/>
        </w:rPr>
        <w:t>Company</w:t>
      </w:r>
      <w:r>
        <w:rPr>
          <w:rFonts w:ascii="Times New Roman" w:hAnsi="Times New Roman"/>
          <w:sz w:val="20"/>
        </w:rPr>
        <w:t>”), the Guarantors (as defined herein) and Wilmington Trust, National Association, as trustee (in such capacity, the “</w:t>
      </w:r>
      <w:r>
        <w:rPr>
          <w:rFonts w:ascii="Times New Roman" w:hAnsi="Times New Roman"/>
          <w:i/>
          <w:sz w:val="20"/>
        </w:rPr>
        <w:t>Trustee</w:t>
      </w:r>
      <w:r>
        <w:rPr>
          <w:rFonts w:ascii="Times New Roman" w:hAnsi="Times New Roman"/>
          <w:sz w:val="20"/>
        </w:rPr>
        <w:t>”) and collateral agent (in such capacity, the “</w:t>
      </w:r>
      <w:r>
        <w:rPr>
          <w:rFonts w:ascii="Times New Roman" w:hAnsi="Times New Roman"/>
          <w:i/>
          <w:sz w:val="20"/>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the Guarantors and the Trustee agree as follows for the benefit of each other and for the equal and ratable benefit of the Holders (as defined herein) of the 9.875% Senior Secured Notes due 2032 (the “</w:t>
      </w:r>
      <w:r>
        <w:rPr>
          <w:rFonts w:ascii="Times New Roman" w:hAnsi="Times New Roman"/>
          <w:i/>
          <w:sz w:val="20"/>
        </w:rPr>
        <w:t>Notes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144A Global Note</w:t>
      </w:r>
      <w:r>
        <w:rPr>
          <w:rFonts w:ascii="Times New Roman" w:hAnsi="Times New Roman"/>
          <w:sz w:val="20"/>
        </w:rPr>
        <w:t xml:space="preserve">” means a Global Note substantially in the form of Exhibit A1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 </w:t>
      </w:r>
    </w:p>
    <w:p>
      <w:pPr>
        <w:pStyle w:val="TextBody"/>
        <w:bidi w:val="0"/>
        <w:spacing w:before="240" w:after="0"/>
        <w:jc w:val="left"/>
        <w:rPr/>
      </w:pPr>
      <w:r>
        <w:rPr/>
        <w:t>“</w:t>
      </w:r>
      <w:r>
        <w:rPr>
          <w:rFonts w:ascii="Times New Roman" w:hAnsi="Times New Roman"/>
          <w:i/>
          <w:sz w:val="20"/>
        </w:rPr>
        <w:t>Acquired Indebtedness</w:t>
      </w:r>
      <w:r>
        <w:rPr>
          <w:rFonts w:ascii="Times New Roman" w:hAnsi="Times New Roman"/>
          <w:sz w:val="20"/>
        </w:rPr>
        <w:t xml:space="preserve">” means, with respect to any specific Person: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of any other Person existing at the time such other Person is merged or consolidated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w:t>
      </w:r>
    </w:p>
    <w:p>
      <w:pPr>
        <w:pStyle w:val="TextBody"/>
        <w:bidi w:val="0"/>
        <w:spacing w:before="240" w:after="0"/>
        <w:jc w:val="left"/>
        <w:rPr>
          <w:rFonts w:ascii="Times New Roman" w:hAnsi="Times New Roman"/>
          <w:sz w:val="20"/>
        </w:rPr>
      </w:pPr>
      <w:r>
        <w:rPr>
          <w:rFonts w:ascii="Times New Roman" w:hAnsi="Times New Roman"/>
          <w:sz w:val="20"/>
        </w:rPr>
        <w:t xml:space="preserve">(2) Indebtedness secured by a Lien encumbering any asset acquired by such specified Person. </w:t>
      </w:r>
    </w:p>
    <w:p>
      <w:pPr>
        <w:pStyle w:val="TextBody"/>
        <w:bidi w:val="0"/>
        <w:spacing w:before="240" w:after="0"/>
        <w:jc w:val="left"/>
        <w:rPr/>
      </w:pPr>
      <w:r>
        <w:rPr/>
        <w:t>“</w:t>
      </w:r>
      <w:r>
        <w:rPr>
          <w:rFonts w:ascii="Times New Roman" w:hAnsi="Times New Roman"/>
          <w:i/>
          <w:sz w:val="20"/>
        </w:rPr>
        <w:t>Additional First Lien Secured Party</w:t>
      </w:r>
      <w:r>
        <w:rPr>
          <w:rFonts w:ascii="Times New Roman" w:hAnsi="Times New Roman"/>
          <w:sz w:val="20"/>
        </w:rPr>
        <w:t xml:space="preserve">” means the holders of any Additional First Lien Obligations, including the Holders, and any authorized representative with respect thereto named in the applicable joinder agreement, including the Trustee and the Collateral Agent. </w:t>
      </w:r>
    </w:p>
    <w:p>
      <w:pPr>
        <w:pStyle w:val="TextBody"/>
        <w:bidi w:val="0"/>
        <w:spacing w:before="240" w:after="0"/>
        <w:jc w:val="left"/>
        <w:rPr/>
      </w:pPr>
      <w:r>
        <w:rPr/>
        <w:t>“</w:t>
      </w:r>
      <w:r>
        <w:rPr>
          <w:rFonts w:ascii="Times New Roman" w:hAnsi="Times New Roman"/>
          <w:i/>
          <w:sz w:val="20"/>
        </w:rPr>
        <w:t>Additional First Lien Obligations</w:t>
      </w:r>
      <w:r>
        <w:rPr>
          <w:rFonts w:ascii="Times New Roman" w:hAnsi="Times New Roman"/>
          <w:sz w:val="20"/>
        </w:rPr>
        <w:t xml:space="preserve">” means any Obligations under any other First Lien Obligations (including the Notes Obligations and the Obligations under the New Intercompany Loan), in each case, that are incurred prior to or after the Issue Date and secured by Collateral on a first-priority basis pursuant to the Security Documents (in the case of any Notes Obligations), the New Intercompany Loan (in the case of the Obligations under the New Intercompany Loan) and the other relevant security documents (in the case of other First Lien Obligations). </w:t>
      </w:r>
    </w:p>
    <w:p>
      <w:pPr>
        <w:pStyle w:val="TextBody"/>
        <w:bidi w:val="0"/>
        <w:spacing w:before="240" w:after="0"/>
        <w:jc w:val="left"/>
        <w:rPr/>
      </w:pPr>
      <w:r>
        <w:rPr/>
        <w:t>“</w:t>
      </w:r>
      <w:r>
        <w:rPr>
          <w:rFonts w:ascii="Times New Roman" w:hAnsi="Times New Roman"/>
          <w:i/>
          <w:sz w:val="20"/>
        </w:rPr>
        <w:t>Administrative Agent</w:t>
      </w:r>
      <w:r>
        <w:rPr>
          <w:rFonts w:ascii="Times New Roman" w:hAnsi="Times New Roman"/>
          <w:sz w:val="20"/>
        </w:rPr>
        <w:t xml:space="preserve">” means Wilmington Trust, National Association in its capacity as administrative agent for the New Intercompany Loan, and its successors in such capacity.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Agreed Guarantee and Security Principles</w:t>
      </w:r>
      <w:r>
        <w:rPr>
          <w:rFonts w:ascii="Times New Roman" w:hAnsi="Times New Roman"/>
          <w:sz w:val="20"/>
        </w:rPr>
        <w:t xml:space="preserve">” means the agreed security principles appended to this Indenture as Annex A, as of the Issue Date, with respect to the Notes, the Guarantees of the Sabre Foreign Guarantors and the Foreign Security Documents, in each case applied in good faith by the Company.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co-registrar, Paying Agent, additional paying agent or Collateral Agent. </w:t>
      </w:r>
    </w:p>
    <w:p>
      <w:pPr>
        <w:pStyle w:val="TextBody"/>
        <w:bidi w:val="0"/>
        <w:spacing w:before="240" w:after="0"/>
        <w:jc w:val="left"/>
        <w:rPr/>
      </w:pPr>
      <w:r>
        <w:rPr/>
        <w:t>“</w:t>
      </w:r>
      <w:r>
        <w:rPr>
          <w:rFonts w:ascii="Times New Roman" w:hAnsi="Times New Roman"/>
          <w:i/>
          <w:sz w:val="20"/>
        </w:rPr>
        <w:t>Applicable Premium</w:t>
      </w:r>
      <w:r>
        <w:rPr>
          <w:rFonts w:ascii="Times New Roman" w:hAnsi="Times New Roman"/>
          <w:sz w:val="20"/>
        </w:rPr>
        <w:t xml:space="preserve">” means, with respect to any Note being redeemed on any Redemption Date prior to October 15, 2029,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 of the principal amount of such Note; and </w:t>
      </w:r>
    </w:p>
    <w:p>
      <w:pPr>
        <w:pStyle w:val="TextBody"/>
        <w:bidi w:val="0"/>
        <w:spacing w:before="120" w:after="0"/>
        <w:jc w:val="left"/>
        <w:rPr>
          <w:rFonts w:ascii="Times New Roman" w:hAnsi="Times New Roman"/>
          <w:sz w:val="20"/>
        </w:rPr>
      </w:pPr>
      <w:r>
        <w:rPr>
          <w:rFonts w:ascii="Times New Roman" w:hAnsi="Times New Roman"/>
          <w:sz w:val="20"/>
        </w:rPr>
        <w:t xml:space="preserve">(2) the excess, if any, of (a) the present value at such Redemption Date of (i) the redemption price of the Note at October 15, 2029 (such redemption price being set forth in the applicable table appearing in Section 3.07(e) hereof), plus (ii) all required remaining scheduled interest payments due on such Note through October 15, 2029 (excluding accrued but unpaid interest to such Redemption Date), computed by the Company using a discount rate equal to the Treasury Rate as of such Redemption Date plus 50 basis points; over (b) the then outstanding principal amount of such Note. </w:t>
      </w:r>
    </w:p>
    <w:p>
      <w:pPr>
        <w:pStyle w:val="TextBody"/>
        <w:bidi w:val="0"/>
        <w:spacing w:before="240" w:after="0"/>
        <w:jc w:val="left"/>
        <w:rPr/>
      </w:pPr>
      <w:r>
        <w:rPr/>
        <w:t>“</w:t>
      </w:r>
      <w:r>
        <w:rPr>
          <w:rFonts w:ascii="Times New Roman" w:hAnsi="Times New Roman"/>
          <w:i/>
          <w:sz w:val="20"/>
        </w:rPr>
        <w:t>Applicable Procedures</w:t>
      </w:r>
      <w:r>
        <w:rPr>
          <w:rFonts w:ascii="Times New Roman" w:hAnsi="Times New Roman"/>
          <w:sz w:val="20"/>
        </w:rPr>
        <w:t xml:space="preserve">” means, with respect to any transfer or exchange of or for beneficial interests in any Global Note, the rules and procedures of the Depositary, Euroclear and Clearstream that apply to such transfer or exchange. </w:t>
      </w:r>
    </w:p>
    <w:p>
      <w:pPr>
        <w:pStyle w:val="TextBody"/>
        <w:bidi w:val="0"/>
        <w:spacing w:before="240" w:after="0"/>
        <w:jc w:val="left"/>
        <w:rPr/>
      </w:pPr>
      <w:r>
        <w:rPr/>
        <w:t>“</w:t>
      </w:r>
      <w:r>
        <w:rPr>
          <w:rFonts w:ascii="Times New Roman" w:hAnsi="Times New Roman"/>
          <w:i/>
          <w:sz w:val="20"/>
        </w:rPr>
        <w:t>Asset Sale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(1) the sale, conveyance, transfer or other disposition, whether in a single transaction or a series of related transactions of property or assets of a Restricted Party (each referred to in this definition as a “</w:t>
      </w:r>
      <w:r>
        <w:rPr>
          <w:rFonts w:ascii="Times New Roman" w:hAnsi="Times New Roman"/>
          <w:i/>
          <w:sz w:val="20"/>
        </w:rPr>
        <w:t>disposition</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(2) the issuance or sale of Equity Interests of any Restricted Party (other than Preferred Stock of Restricted Parties issued in compliance with Section 4.09 hereof), whether in a single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(a) any disposition of Cash Equivalents or obsolete or worn-out property or equipment in the ordinary course of business or any disposition of inventory or goods (or other assets) held for sale or no longer used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disposition of all or substantially all of the assets of a Restricted Party in a manner permitted pursuant to Section 5.01 hereof or any disposition that constitutes a Change of Control pursuant to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making of any Restricted Payment that is permitted to be made, and is made, under Section 4.07 hereof including the making of any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(d) any disposition of assets or issuance or sale of Equity Interests of any Restricted Party in any transaction or series of related transactions with an aggregate fair market value of less than $5,000,000; </w:t>
      </w:r>
    </w:p>
    <w:p>
      <w:pPr>
        <w:pStyle w:val="TextBody"/>
        <w:bidi w:val="0"/>
        <w:spacing w:before="120" w:after="0"/>
        <w:jc w:val="left"/>
        <w:rPr>
          <w:rFonts w:ascii="Times New Roman" w:hAnsi="Times New Roman"/>
          <w:sz w:val="20"/>
        </w:rPr>
      </w:pPr>
      <w:r>
        <w:rPr>
          <w:rFonts w:ascii="Times New Roman" w:hAnsi="Times New Roman"/>
          <w:sz w:val="20"/>
        </w:rPr>
        <w:t xml:space="preserve">(e) any disposition (i) of property or assets or issuance of securities by a Restricted Party to the Company or a Restricted Party to another Restricted Party and (ii) to the Company or a Restricted Party constituting debt forgiveness;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allowable under Section 1031 of the Internal Revenue Code of 1986, any exchange of like property (excluding any boot thereon) for use in a Similar Business; </w:t>
      </w:r>
    </w:p>
    <w:p>
      <w:pPr>
        <w:pStyle w:val="TextBody"/>
        <w:bidi w:val="0"/>
        <w:spacing w:before="120" w:after="0"/>
        <w:jc w:val="left"/>
        <w:rPr>
          <w:rFonts w:ascii="Times New Roman" w:hAnsi="Times New Roman"/>
          <w:sz w:val="20"/>
        </w:rPr>
      </w:pPr>
      <w:r>
        <w:rPr>
          <w:rFonts w:ascii="Times New Roman" w:hAnsi="Times New Roman"/>
          <w:sz w:val="20"/>
        </w:rPr>
        <w:t xml:space="preserve">(g) the lease, sublease, license or sublicense (including the provision of software under an open-source license) of any real or personal property, or intellectual property or other intangible assets,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 any issuance or sale of Equity Interests in, or Indebtedness or other securities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 foreclosures, condemnation, expropriation or any similar action with respect to assets or the granting of Liens not prohibited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(j) sales of accounts receivable, or participations therein, or Securitization Assets or related assets in connection with any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(k) any financing transaction with respect to property built or acquired by a Restricted Party after the Issue Date, including Sale and Lease-Back Transactions and asset securitizations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(l) sales, discounts or forgiveness of accounts receivable, or participations therein, in connection with the collection or compromise thereof; </w:t>
      </w:r>
    </w:p>
    <w:p>
      <w:pPr>
        <w:pStyle w:val="TextBody"/>
        <w:bidi w:val="0"/>
        <w:spacing w:before="120" w:after="0"/>
        <w:jc w:val="left"/>
        <w:rPr>
          <w:rFonts w:ascii="Times New Roman" w:hAnsi="Times New Roman"/>
          <w:sz w:val="20"/>
        </w:rPr>
      </w:pPr>
      <w:r>
        <w:rPr>
          <w:rFonts w:ascii="Times New Roman" w:hAnsi="Times New Roman"/>
          <w:sz w:val="20"/>
        </w:rPr>
        <w:t xml:space="preserve">(m) the sale or discount of inventory, accounts receivable or notes receivable in the ordinary course of business or the conversion of accounts receivable to notes receivable; </w:t>
      </w:r>
    </w:p>
    <w:p>
      <w:pPr>
        <w:pStyle w:val="TextBody"/>
        <w:bidi w:val="0"/>
        <w:spacing w:before="120" w:after="0"/>
        <w:jc w:val="left"/>
        <w:rPr>
          <w:rFonts w:ascii="Times New Roman" w:hAnsi="Times New Roman"/>
          <w:sz w:val="20"/>
        </w:rPr>
      </w:pPr>
      <w:r>
        <w:rPr>
          <w:rFonts w:ascii="Times New Roman" w:hAnsi="Times New Roman"/>
          <w:sz w:val="20"/>
        </w:rPr>
        <w:t xml:space="preserve">(n) any surrender or waiver of contract rights or the settlement, release or surrender of contract rights or other litigation claims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the unwinding or voluntary termination of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(p) sales, transfers and other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(q) failing to pursue or allowing any registrations or any applications for registration of any intellectual property rights to lapse or go abandoned in the ordinary course of business if, in the reasonable determination of the applicable Restricted Party, such discontinuance is desirable in the conduct of the business of such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(r) the issuance by a Restricted Party of Preferred Stock or Disqualified Stock that is permitted by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(s) the granting of a Lien that is permitted under Section 4.12 hereof; </w:t>
      </w:r>
    </w:p>
    <w:p>
      <w:pPr>
        <w:pStyle w:val="TextBody"/>
        <w:bidi w:val="0"/>
        <w:spacing w:before="120" w:after="0"/>
        <w:jc w:val="left"/>
        <w:rPr>
          <w:rFonts w:ascii="Times New Roman" w:hAnsi="Times New Roman"/>
          <w:sz w:val="20"/>
        </w:rPr>
      </w:pPr>
      <w:r>
        <w:rPr>
          <w:rFonts w:ascii="Times New Roman" w:hAnsi="Times New Roman"/>
          <w:sz w:val="20"/>
        </w:rPr>
        <w:t xml:space="preserve">(t) the issuance of directors’ qualifying shares and shares issued to foreign nationals as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(u) dispositions of property by a Restricted Party pursuant to Sale and Lease-Back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(v) dispositions of property by any Restricted Party to any of its Affiliates (a) in the ordinary course of its business, (b) in connection with intercompany cash management arrangements or (c) in connection with any Permitted Reorganization. </w:t>
      </w:r>
    </w:p>
    <w:p>
      <w:pPr>
        <w:pStyle w:val="TextBody"/>
        <w:bidi w:val="0"/>
        <w:spacing w:before="240" w:after="0"/>
        <w:jc w:val="left"/>
        <w:rPr/>
      </w:pPr>
      <w:r>
        <w:rPr/>
        <w:t>“</w:t>
      </w:r>
      <w:r>
        <w:rPr>
          <w:rFonts w:ascii="Times New Roman" w:hAnsi="Times New Roman"/>
          <w:i/>
          <w:sz w:val="20"/>
        </w:rPr>
        <w:t>Australian Corporations Act</w:t>
      </w:r>
      <w:r>
        <w:rPr>
          <w:rFonts w:ascii="Times New Roman" w:hAnsi="Times New Roman"/>
          <w:sz w:val="20"/>
        </w:rPr>
        <w:t xml:space="preserve">” means the Corporations Act 2001 (Cth) of Australia. </w:t>
      </w:r>
    </w:p>
    <w:p>
      <w:pPr>
        <w:pStyle w:val="TextBody"/>
        <w:bidi w:val="0"/>
        <w:spacing w:before="240" w:after="0"/>
        <w:jc w:val="left"/>
        <w:rPr/>
      </w:pPr>
      <w:r>
        <w:rPr/>
        <w:t>“</w:t>
      </w:r>
      <w:r>
        <w:rPr>
          <w:rFonts w:ascii="Times New Roman" w:hAnsi="Times New Roman"/>
          <w:i/>
          <w:sz w:val="20"/>
        </w:rPr>
        <w:t>Australian PPSA</w:t>
      </w:r>
      <w:r>
        <w:rPr>
          <w:rFonts w:ascii="Times New Roman" w:hAnsi="Times New Roman"/>
          <w:sz w:val="20"/>
        </w:rPr>
        <w:t xml:space="preserve">” means the Personal Property Securities Act 2009 of the Commonwealth of Australia and any regulations made at any time under that Act. </w:t>
      </w:r>
    </w:p>
    <w:p>
      <w:pPr>
        <w:pStyle w:val="TextBody"/>
        <w:bidi w:val="0"/>
        <w:spacing w:before="240" w:after="0"/>
        <w:jc w:val="left"/>
        <w:rPr/>
      </w:pPr>
      <w:r>
        <w:rPr/>
        <w:t>“</w:t>
      </w:r>
      <w:r>
        <w:rPr>
          <w:rFonts w:ascii="Times New Roman" w:hAnsi="Times New Roman"/>
          <w:i/>
          <w:sz w:val="20"/>
        </w:rPr>
        <w:t>Australian Security Commencement Date</w:t>
      </w:r>
      <w:r>
        <w:rPr>
          <w:rFonts w:ascii="Times New Roman" w:hAnsi="Times New Roman"/>
          <w:sz w:val="20"/>
        </w:rPr>
        <w:t xml:space="preserve">” means the date upon which the Australian Security Documents are entered into by the relevant Sabre Foreign Guarantors and the Collateral Agent. </w:t>
      </w:r>
    </w:p>
    <w:p>
      <w:pPr>
        <w:pStyle w:val="TextBody"/>
        <w:bidi w:val="0"/>
        <w:spacing w:before="240" w:after="0"/>
        <w:jc w:val="left"/>
        <w:rPr/>
      </w:pPr>
      <w:r>
        <w:rPr/>
        <w:t>“</w:t>
      </w:r>
      <w:r>
        <w:rPr>
          <w:rFonts w:ascii="Times New Roman" w:hAnsi="Times New Roman"/>
          <w:i/>
          <w:sz w:val="20"/>
        </w:rPr>
        <w:t>Australian Security Documents</w:t>
      </w:r>
      <w:r>
        <w:rPr>
          <w:rFonts w:ascii="Times New Roman" w:hAnsi="Times New Roman"/>
          <w:sz w:val="20"/>
        </w:rPr>
        <w:t xml:space="preserve">” means, collectively, the Australian Security Agreements specified in Part 2 (Foreign Security Documents – Post-Close Security Documents) of the Agreed Guarantee and Security Principles. </w:t>
      </w:r>
    </w:p>
    <w:p>
      <w:pPr>
        <w:pStyle w:val="TextBody"/>
        <w:bidi w:val="0"/>
        <w:spacing w:before="240" w:after="0"/>
        <w:jc w:val="left"/>
        <w:rPr/>
      </w:pPr>
      <w:r>
        <w:rPr/>
        <w:t>“</w:t>
      </w:r>
      <w:r>
        <w:rPr>
          <w:rFonts w:ascii="Times New Roman" w:hAnsi="Times New Roman"/>
          <w:i/>
          <w:sz w:val="20"/>
        </w:rPr>
        <w:t>Bank Products</w:t>
      </w:r>
      <w:r>
        <w:rPr>
          <w:rFonts w:ascii="Times New Roman" w:hAnsi="Times New Roman"/>
          <w:sz w:val="20"/>
        </w:rPr>
        <w:t xml:space="preserve">” means any facilities or services related to cash management, including treasury, depository, overdraft, credit or debit card, purchase card, electronic funds transfer and other cash management arrangements.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Business Day</w:t>
      </w:r>
      <w:r>
        <w:rPr>
          <w:rFonts w:ascii="Times New Roman" w:hAnsi="Times New Roman"/>
          <w:sz w:val="20"/>
        </w:rPr>
        <w:t xml:space="preserve">” means each day which is not a Legal Holiday. </w:t>
      </w:r>
    </w:p>
    <w:p>
      <w:pPr>
        <w:pStyle w:val="TextBody"/>
        <w:bidi w:val="0"/>
        <w:spacing w:before="240" w:after="0"/>
        <w:jc w:val="left"/>
        <w:rPr/>
      </w:pPr>
      <w:r>
        <w:rPr/>
        <w:t>“</w:t>
      </w:r>
      <w:r>
        <w:rPr>
          <w:rFonts w:ascii="Times New Roman" w:hAnsi="Times New Roman"/>
          <w:i/>
          <w:sz w:val="20"/>
        </w:rPr>
        <w:t>Business Successor</w:t>
      </w:r>
      <w:r>
        <w:rPr>
          <w:rFonts w:ascii="Times New Roman" w:hAnsi="Times New Roman"/>
          <w:sz w:val="20"/>
        </w:rPr>
        <w:t xml:space="preserve">” means (a) any former Subsidiary of the Company and (b) any Person that, after the Issue Date, has acquired, merged or consolidated with a Subsidiary of the Company (that results in such Subsidiary ceasing to be a Subsidiary of the Company), or acquired (in one transaction or a series of transactions) all or substantially all of the property and assets or business of a Subsidiary or assets constituting a business unit, line of business or division of a Subsidiary of the Company.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or shares in the capital of such corporation;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i/>
          <w:sz w:val="20"/>
        </w:rPr>
        <w:t>Capitalized Lease Obligation</w:t>
      </w:r>
      <w:r>
        <w:rPr>
          <w:rFonts w:ascii="Times New Roman" w:hAnsi="Times New Roman"/>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(after giving effect to the proviso in the definition thereof). </w:t>
      </w:r>
    </w:p>
    <w:p>
      <w:pPr>
        <w:pStyle w:val="TextBody"/>
        <w:bidi w:val="0"/>
        <w:spacing w:before="240" w:after="0"/>
        <w:jc w:val="left"/>
        <w:rPr/>
      </w:pPr>
      <w:r>
        <w:rPr/>
        <w:t>“</w:t>
      </w:r>
      <w:r>
        <w:rPr>
          <w:rFonts w:ascii="Times New Roman" w:hAnsi="Times New Roman"/>
          <w:i/>
          <w:sz w:val="20"/>
        </w:rPr>
        <w:t>Capitalized Leases</w:t>
      </w:r>
      <w:r>
        <w:rPr>
          <w:rFonts w:ascii="Times New Roman" w:hAnsi="Times New Roman"/>
          <w:sz w:val="20"/>
        </w:rPr>
        <w:t xml:space="preserve">” means all leases that have been or are required to be, in accordance with GAAP (after giving effect to the proviso in the definition thereof), recorded as capitalized leases; </w:t>
      </w:r>
      <w:r>
        <w:rPr>
          <w:rFonts w:ascii="Times New Roman" w:hAnsi="Times New Roman"/>
          <w:i/>
          <w:sz w:val="20"/>
        </w:rPr>
        <w:t xml:space="preserve">provided </w:t>
      </w:r>
      <w:r>
        <w:rPr>
          <w:rFonts w:ascii="Times New Roman" w:hAnsi="Times New Roman"/>
          <w:sz w:val="20"/>
        </w:rPr>
        <w:t xml:space="preserve">that for all purposes hereunder the amount of obligations under any Capitalized Lease shall be the amount thereof accounted for as a liability in accordance with GAAP. </w:t>
      </w:r>
    </w:p>
    <w:p>
      <w:pPr>
        <w:pStyle w:val="TextBody"/>
        <w:bidi w:val="0"/>
        <w:spacing w:before="240" w:after="0"/>
        <w:jc w:val="left"/>
        <w:rPr/>
      </w:pPr>
      <w:r>
        <w:rPr/>
        <w:t>“</w:t>
      </w:r>
      <w:r>
        <w:rPr>
          <w:rFonts w:ascii="Times New Roman" w:hAnsi="Times New Roman"/>
          <w:i/>
          <w:sz w:val="20"/>
        </w:rPr>
        <w:t>Capitalized Software Expenditures</w:t>
      </w:r>
      <w:r>
        <w:rPr>
          <w:rFonts w:ascii="Times New Roman" w:hAnsi="Times New Roman"/>
          <w:sz w:val="20"/>
        </w:rPr>
        <w:t xml:space="preserve">” means, with respect to any Person for any period, the aggregate of all expenditures (whether paid in cash or accrued as liabilities) of such Person during such period in respect of licensed or purchased software or internally developed software and software enhancements that, in conformity with GAAP, are, or are required to be, reflected as capitalized costs on the consolidated balance sheet of such Person.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United States dollars; </w:t>
      </w:r>
    </w:p>
    <w:p>
      <w:pPr>
        <w:pStyle w:val="TextBody"/>
        <w:bidi w:val="0"/>
        <w:spacing w:before="120" w:after="0"/>
        <w:jc w:val="left"/>
        <w:rPr>
          <w:rFonts w:ascii="Times New Roman" w:hAnsi="Times New Roman"/>
          <w:sz w:val="20"/>
        </w:rPr>
      </w:pPr>
      <w:r>
        <w:rPr>
          <w:rFonts w:ascii="Times New Roman" w:hAnsi="Times New Roman"/>
          <w:sz w:val="20"/>
        </w:rPr>
        <w:t xml:space="preserve">(2) (a) Canadian dollars, Yen, pounds sterling, euros or any national currency of any participating member state of the EMU; or (b) in the case of any Foreign Subsidiary or the Sabre Foreign Guarantors, such local currencies held by it from time to time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$500,000,000 in the case of U.S. banks and $100,000,000 (or the U.S. dollar equivalent as of the date of determination) in the case of non-U.S. banks; </w:t>
      </w:r>
    </w:p>
    <w:p>
      <w:pPr>
        <w:pStyle w:val="TextBody"/>
        <w:bidi w:val="0"/>
        <w:spacing w:before="120" w:after="0"/>
        <w:jc w:val="left"/>
        <w:rPr>
          <w:rFonts w:ascii="Times New Roman" w:hAnsi="Times New Roman"/>
          <w:sz w:val="20"/>
        </w:rPr>
      </w:pPr>
      <w:r>
        <w:rPr>
          <w:rFonts w:ascii="Times New Roman" w:hAnsi="Times New Roman"/>
          <w:sz w:val="20"/>
        </w:rPr>
        <w:t xml:space="preserve">(5) repurchase obligations for underlying securities of the types described in clauses (3), (4) or (7) entered into with any financial institution or recognized securities dealer meeting the qualifications specified in clause (4) above; </w:t>
      </w:r>
    </w:p>
    <w:p>
      <w:pPr>
        <w:pStyle w:val="TextBody"/>
        <w:bidi w:val="0"/>
        <w:spacing w:before="120" w:after="0"/>
        <w:jc w:val="left"/>
        <w:rPr>
          <w:rFonts w:ascii="Times New Roman" w:hAnsi="Times New Roman"/>
          <w:sz w:val="20"/>
        </w:rPr>
      </w:pPr>
      <w:r>
        <w:rPr>
          <w:rFonts w:ascii="Times New Roman" w:hAnsi="Times New Roman"/>
          <w:sz w:val="20"/>
        </w:rPr>
        <w:t xml:space="preserve">(6) commercial paper rated at least P-1 by Moody’s or at least A-1 by S&amp;P or at least F2 by Fitch (or, if at any time neither Moody’s nor S&amp;P nor Fitch shall be rating such obligations, an equivalent rating from another Rating Agency) and in each case maturing within 24 months after the date of creation thereof and Indebtedness or Preferred Stock issued by Persons with a rating of “A” or higher from S&amp;P or “A2” or higher from Moody’s or “A” or higher from Fitch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(7) marketable short-term money market and similar securities having a rating of at least P-2, A-2 or F2 from any of Moody’s, S&amp;P or Fitch, respectively (or, if at any time neither Moody’s nor S&amp;P nor Fitch shall be rating such obligations, an equivalent rating from another Rating Agency); </w:t>
      </w:r>
    </w:p>
    <w:p>
      <w:pPr>
        <w:pStyle w:val="TextBody"/>
        <w:bidi w:val="0"/>
        <w:spacing w:before="120" w:after="0"/>
        <w:jc w:val="left"/>
        <w:rPr>
          <w:rFonts w:ascii="Times New Roman" w:hAnsi="Times New Roman"/>
          <w:sz w:val="20"/>
        </w:rPr>
      </w:pPr>
      <w:r>
        <w:rPr>
          <w:rFonts w:ascii="Times New Roman" w:hAnsi="Times New Roman"/>
          <w:sz w:val="20"/>
        </w:rPr>
        <w:t xml:space="preserve">(8) readily marketable direct obligations issued by any state, commonwealth or territory of the United States or any political subdivision or taxing authority thereof having an Investment Grade Rating from any of Moody’s, S&amp;P or Fitch (or, if at any time neither Moody’s nor S&amp;P nor Fitch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(9) readily marketable direct obligations issued by any foreign government or any political subdivision or public instrumentality thereof, in each case having an Investment Grade Rating from any of Moody’s, S&amp;P or Fitch (or, if at any time neither Moody’s nor S&amp;P nor Fitch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(10) Investments with average maturities of 12 months or less from the date of acquisition in money market funds rated AA- (or the equivalent thereof) or better by S&amp;P or Aa3 (or the equivalent thereof) or better by Moody’s or AA- (or the equivalent thereof) or better by Fitch (or, if at any time neither Moody’s nor S&amp;P nor Fitch shall be rating such obligations, an equivalent rating from another Rating Agency);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investment funds investing at least 95% of their assets in securities of the types described in clauses (1) through (10) above.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any Sabre Foreign Guarantor or by any Foreign Subsidiary or Investments made in a country outside the United States of America, Cash Equivalents shall also include (a) investments of the type and maturity described in clauses (1) through (11) above of foreign obligors, which Investments or obligors (or the parents of such obligors) have ratings described in such clauses or equivalent ratings from comparable foreign rating agencies and (b) other short-term investments utilized by the Sabre Foreign Guarantors or Foreign Subsidiaries that are Restricted Parties in accordance with normal investment practices for cash management in investments analogous to the foregoing investments in clauses (1) through (11)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Cash Equivalents shall include amounts denominated in currencies other than those set forth in clauses (1) or (2) above or the immediately preceding paragraph; </w:t>
      </w:r>
      <w:r>
        <w:rPr>
          <w:rFonts w:ascii="Times New Roman" w:hAnsi="Times New Roman"/>
          <w:i/>
          <w:sz w:val="20"/>
        </w:rPr>
        <w:t xml:space="preserve">provided </w:t>
      </w:r>
      <w:r>
        <w:rPr>
          <w:rFonts w:ascii="Times New Roman" w:hAnsi="Times New Roman"/>
          <w:sz w:val="20"/>
        </w:rPr>
        <w:t xml:space="preserve">that such amounts are converted into any currency set forth in clauses (1) or (2) above or the immediately preceding paragraph as promptly as practicable and in any event within ten Business Days following the receipt of such amounts.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maximum permissible maturity of any investments described in this definition, the maturity of any obligation is deemed to be the shortest of the following: (i) the stated maturity date; (ii) the weighted average life (for amortizing securities); (iii) the next interest rate reset for variable rate and auction-rate obligations; or (iv) the next put exercise date (for obligations with put features). </w:t>
      </w:r>
    </w:p>
    <w:p>
      <w:pPr>
        <w:pStyle w:val="TextBody"/>
        <w:bidi w:val="0"/>
        <w:spacing w:before="240" w:after="0"/>
        <w:jc w:val="left"/>
        <w:rPr/>
      </w:pPr>
      <w:r>
        <w:rPr/>
        <w:t>“</w:t>
      </w:r>
      <w:r>
        <w:rPr>
          <w:rFonts w:ascii="Times New Roman" w:hAnsi="Times New Roman"/>
          <w:i/>
          <w:sz w:val="20"/>
        </w:rPr>
        <w:t>Centre of Main Interest</w:t>
      </w:r>
      <w:r>
        <w:rPr>
          <w:rFonts w:ascii="Times New Roman" w:hAnsi="Times New Roman"/>
          <w:sz w:val="20"/>
        </w:rPr>
        <w:t xml:space="preserve">” means, with regard to each Sabre Foreign Guarantor incorporated, established or registered in a state which is a member state of the European Union, the centre of main interests as that term is used in Article 3(1) of the For the Council of the European Union Regulation No. 2015/848 of 20 May 2015 on insolvency proceedings (recast).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sale, lease, transfer or other disposition, in one or a series of related transactions (other than by merger, consolidation or amalgamation), of all or substantially all of the consolidated properties and assets of Sabre Financing or the Company and their respective subsidiaries, or the Sabre Foreign Guarantors and their respective subsidiaries, in each case, taken as a whole, to any Person other than one or more Permitted Holders; </w:t>
      </w:r>
    </w:p>
    <w:p>
      <w:pPr>
        <w:pStyle w:val="TextBody"/>
        <w:bidi w:val="0"/>
        <w:spacing w:before="120" w:after="0"/>
        <w:jc w:val="left"/>
        <w:rPr>
          <w:rFonts w:ascii="Times New Roman" w:hAnsi="Times New Roman"/>
          <w:sz w:val="20"/>
        </w:rPr>
      </w:pPr>
      <w:r>
        <w:rPr>
          <w:rFonts w:ascii="Times New Roman" w:hAnsi="Times New Roman"/>
          <w:sz w:val="20"/>
        </w:rPr>
        <w:t xml:space="preserve">(2) the Company becomes aware of (by way of a report or any other filing pursuant to Section 13(d) of the Exchange Act, proxy, vote, written notice or otherwise) the acquisition by any Person (other than a Permitted Holder) or Persons (other than one or more Permitted Holders) that are together a group (within the meaning of Section 13(d)(3) or Section 14(d)(2) of the Exchange Act, or any successor provision), including any group acting for the purpose of acquiring, holding or disposing of securities (within the meaning of Rule 13d-5(b)(1) under the Exchange Act), in a single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 a related series of transactions, by way of merger, amalgamation, consolidation or other business combination or purchase of “beneficial ownership” (within the meaning of Rule 13d-3 under the Exchange Act, or any successor provision) of more than 50% of the total voting power of the Voting Stock of Sabre Corporation; </w:t>
      </w:r>
    </w:p>
    <w:p>
      <w:pPr>
        <w:pStyle w:val="TextBody"/>
        <w:bidi w:val="0"/>
        <w:spacing w:before="120" w:after="0"/>
        <w:jc w:val="left"/>
        <w:rPr>
          <w:rFonts w:ascii="Times New Roman" w:hAnsi="Times New Roman"/>
          <w:sz w:val="20"/>
        </w:rPr>
      </w:pPr>
      <w:r>
        <w:rPr>
          <w:rFonts w:ascii="Times New Roman" w:hAnsi="Times New Roman"/>
          <w:sz w:val="20"/>
        </w:rPr>
        <w:t xml:space="preserve">(3) the Company ceasing to be a direct Wholly-Owned Subsidiary of Sabre Financing; </w:t>
      </w:r>
    </w:p>
    <w:p>
      <w:pPr>
        <w:pStyle w:val="TextBody"/>
        <w:bidi w:val="0"/>
        <w:spacing w:before="120" w:after="0"/>
        <w:jc w:val="left"/>
        <w:rPr>
          <w:rFonts w:ascii="Times New Roman" w:hAnsi="Times New Roman"/>
          <w:sz w:val="20"/>
        </w:rPr>
      </w:pPr>
      <w:r>
        <w:rPr>
          <w:rFonts w:ascii="Times New Roman" w:hAnsi="Times New Roman"/>
          <w:sz w:val="20"/>
        </w:rPr>
        <w:t xml:space="preserve">(4) Sabre Financing ceasing to be a direct or indirect Wholly-Owned Subsidiary of Sabre GLBL; </w:t>
      </w:r>
    </w:p>
    <w:p>
      <w:pPr>
        <w:pStyle w:val="TextBody"/>
        <w:bidi w:val="0"/>
        <w:spacing w:before="120" w:after="0"/>
        <w:jc w:val="left"/>
        <w:rPr>
          <w:rFonts w:ascii="Times New Roman" w:hAnsi="Times New Roman"/>
          <w:sz w:val="20"/>
        </w:rPr>
      </w:pPr>
      <w:r>
        <w:rPr>
          <w:rFonts w:ascii="Times New Roman" w:hAnsi="Times New Roman"/>
          <w:sz w:val="20"/>
        </w:rPr>
        <w:t xml:space="preserve">(5) any Sabre Foreign Guarantor ceasing to be a direct or indirect Wholly-Owned Subsidiary of Sabre GLBL (unless such Restricted Party is sold, disposed of, transferred or liquidated in accordance with the terms of this Indenture, or if such Restricted Party is subject to a transaction that complies with Section 5.01 hereof); or </w:t>
      </w:r>
    </w:p>
    <w:p>
      <w:pPr>
        <w:pStyle w:val="TextBody"/>
        <w:bidi w:val="0"/>
        <w:spacing w:before="120" w:after="0"/>
        <w:jc w:val="left"/>
        <w:rPr>
          <w:rFonts w:ascii="Times New Roman" w:hAnsi="Times New Roman"/>
          <w:sz w:val="20"/>
        </w:rPr>
      </w:pPr>
      <w:r>
        <w:rPr>
          <w:rFonts w:ascii="Times New Roman" w:hAnsi="Times New Roman"/>
          <w:sz w:val="20"/>
        </w:rPr>
        <w:t xml:space="preserve">(6) any Change of Control (as defined in the New Intercompany Loan) under the New Intercompany Loan as in existence on the Issue Date. </w:t>
      </w:r>
    </w:p>
    <w:p>
      <w:pPr>
        <w:pStyle w:val="TextBody"/>
        <w:bidi w:val="0"/>
        <w:spacing w:before="240" w:after="0"/>
        <w:jc w:val="left"/>
        <w:rPr/>
      </w:pPr>
      <w:r>
        <w:rPr/>
        <w:t>“</w:t>
      </w:r>
      <w:r>
        <w:rPr>
          <w:rFonts w:ascii="Times New Roman" w:hAnsi="Times New Roman"/>
          <w:i/>
          <w:sz w:val="20"/>
        </w:rPr>
        <w:t>consolidated</w:t>
      </w:r>
      <w:r>
        <w:rPr>
          <w:rFonts w:ascii="Times New Roman" w:hAnsi="Times New Roman"/>
          <w:sz w:val="20"/>
        </w:rPr>
        <w:t xml:space="preserve">” means, with respect to any Person, such Person consolidated with its Restricted Subsidiaries, and excludes from such consolidation any Unrestricted Subsidiary as if such Unrestricted Subsidiary were not an Affiliate of such Person and, with respect to the Restricted Group, all of the Restricted Parties, excluding from consolidation any Unrestricted Subsidiary as if such Unrestricted Subsidiary were not an Affiliate of any of the Restricted Parties. Where applicable, references to “consolidated” in this Indenture shall be deemed to refer to the Company and the other Restricted Parties, consolidated with their respective Restricted Subsidiaries, and excluding Unrestricted Subsidiaries in a manner consistent with the preceding sentence. </w:t>
      </w:r>
    </w:p>
    <w:p>
      <w:pPr>
        <w:pStyle w:val="TextBody"/>
        <w:bidi w:val="0"/>
        <w:spacing w:before="240" w:after="0"/>
        <w:jc w:val="left"/>
        <w:rPr/>
      </w:pPr>
      <w:r>
        <w:rPr/>
        <w:t>“</w:t>
      </w:r>
      <w:r>
        <w:rPr>
          <w:rFonts w:ascii="Times New Roman" w:hAnsi="Times New Roman"/>
          <w:i/>
          <w:sz w:val="20"/>
        </w:rPr>
        <w:t>Clearstream</w:t>
      </w:r>
      <w:r>
        <w:rPr>
          <w:rFonts w:ascii="Times New Roman" w:hAnsi="Times New Roman"/>
          <w:sz w:val="20"/>
        </w:rPr>
        <w:t xml:space="preserve">” means Clearstream Banking, S.A.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means all assets and properties subject to Liens created pursuant to any Security Document to secure any Notes Obligations. </w:t>
      </w:r>
    </w:p>
    <w:p>
      <w:pPr>
        <w:pStyle w:val="TextBody"/>
        <w:bidi w:val="0"/>
        <w:spacing w:before="240" w:after="0"/>
        <w:jc w:val="left"/>
        <w:rPr/>
      </w:pPr>
      <w:r>
        <w:rPr/>
        <w:t>“</w:t>
      </w:r>
      <w:r>
        <w:rPr>
          <w:rFonts w:ascii="Times New Roman" w:hAnsi="Times New Roman"/>
          <w:sz w:val="20"/>
        </w:rPr>
        <w:t xml:space="preserve">Collateral Agent” means Wilmington Trust, National Association, in its capacity as collateral agent under this Indenture, until a successor collateral agent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Sabre Financial Borrower, LLC, a Delaware limited liability company, and its successors. </w:t>
      </w:r>
    </w:p>
    <w:p>
      <w:pPr>
        <w:pStyle w:val="TextBody"/>
        <w:bidi w:val="0"/>
        <w:spacing w:before="240" w:after="0"/>
        <w:jc w:val="left"/>
        <w:rPr/>
      </w:pPr>
      <w:r>
        <w:rPr/>
        <w:t>“</w:t>
      </w:r>
      <w:r>
        <w:rPr>
          <w:rFonts w:ascii="Times New Roman" w:hAnsi="Times New Roman"/>
          <w:i/>
          <w:sz w:val="20"/>
        </w:rPr>
        <w:t>Consolidated Depreciation and Amortization Expense</w:t>
      </w:r>
      <w:r>
        <w:rPr>
          <w:rFonts w:ascii="Times New Roman" w:hAnsi="Times New Roman"/>
          <w:sz w:val="20"/>
        </w:rPr>
        <w:t xml:space="preserve">” means with respect to any Person for any period, the total amount of depreciation and amortization expense for such period, including the amortization of deferred financing fees, debt issuance costs, commissions, fees and expenses and Capitalized Software Expenditures of such Person for such period (including such expense attributable to held-for-sale discontinued operations) determined on a consolidated basis and otherwise determined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Consolidated Interest Expense</w:t>
      </w:r>
      <w:r>
        <w:rPr>
          <w:rFonts w:ascii="Times New Roman" w:hAnsi="Times New Roman"/>
          <w:sz w:val="20"/>
        </w:rPr>
        <w:t xml:space="preserve">” means, with respect to any Person for any period, without duplication, the sum of: (1) cash interest expense (including that attributable to Capitalized Lease Obligations), net of cash interest income, of such Person determined on a consolidated basis in accordance with GAAP, including all commissions, discounts and other fees and charges payable in cash with respect to letters of credit and bankers’ acceptance financing, net cash payments made under Hedging Obligations and (2) cash interest expense that is capitalized in accordance with GAAP, but, in the case of each of (1) and (2), excluding: </w:t>
      </w:r>
    </w:p>
    <w:p>
      <w:pPr>
        <w:pStyle w:val="TextBody"/>
        <w:bidi w:val="0"/>
        <w:spacing w:before="120" w:after="0"/>
        <w:jc w:val="left"/>
        <w:rPr>
          <w:rFonts w:ascii="Times New Roman" w:hAnsi="Times New Roman"/>
          <w:sz w:val="20"/>
        </w:rPr>
      </w:pPr>
      <w:r>
        <w:rPr>
          <w:rFonts w:ascii="Times New Roman" w:hAnsi="Times New Roman"/>
          <w:sz w:val="20"/>
        </w:rPr>
        <w:t xml:space="preserve">(a) amortization of deferred financing costs, debt issuance costs and commissions, fees and expenses and any other amounts of non-cash interest; </w:t>
      </w:r>
    </w:p>
    <w:p>
      <w:pPr>
        <w:pStyle w:val="TextBody"/>
        <w:bidi w:val="0"/>
        <w:spacing w:before="120" w:after="0"/>
        <w:jc w:val="left"/>
        <w:rPr>
          <w:rFonts w:ascii="Times New Roman" w:hAnsi="Times New Roman"/>
          <w:sz w:val="20"/>
        </w:rPr>
      </w:pPr>
      <w:r>
        <w:rPr>
          <w:rFonts w:ascii="Times New Roman" w:hAnsi="Times New Roman"/>
          <w:sz w:val="20"/>
        </w:rPr>
        <w:t xml:space="preserve">(b) the accretion or accrual of discounted liabilities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(c) any interest expense in respect of items excluded from Indebtedness in clause (c), or the proviso at the end, of the definition thereof; </w:t>
      </w:r>
    </w:p>
    <w:p>
      <w:pPr>
        <w:pStyle w:val="TextBody"/>
        <w:bidi w:val="0"/>
        <w:spacing w:before="120" w:after="0"/>
        <w:jc w:val="left"/>
        <w:rPr>
          <w:rFonts w:ascii="Times New Roman" w:hAnsi="Times New Roman"/>
          <w:sz w:val="20"/>
        </w:rPr>
      </w:pPr>
      <w:r>
        <w:rPr>
          <w:rFonts w:ascii="Times New Roman" w:hAnsi="Times New Roman"/>
          <w:sz w:val="20"/>
        </w:rPr>
        <w:t xml:space="preserve">(d) non-cash interest expense attributable to the movement of the mark-to-market valuation of obligations under Hedging Obligations or other derivative instruments pursuant to Accounting Standards Codification Topic 815 “Derivatives and Hedging” and all costs associated with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(e) any one-time costs associated with the unwinding, termination or breakage in respect of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(f) all non-recurring cash interest expense consisting of liquidated damages or additional interest for failure to timely comply with registration rights obligations or financing and commitment fees; and </w:t>
      </w:r>
    </w:p>
    <w:p>
      <w:pPr>
        <w:pStyle w:val="TextBody"/>
        <w:bidi w:val="0"/>
        <w:spacing w:before="120" w:after="0"/>
        <w:jc w:val="left"/>
        <w:rPr>
          <w:rFonts w:ascii="Times New Roman" w:hAnsi="Times New Roman"/>
          <w:sz w:val="20"/>
        </w:rPr>
      </w:pPr>
      <w:r>
        <w:rPr>
          <w:rFonts w:ascii="Times New Roman" w:hAnsi="Times New Roman"/>
          <w:sz w:val="20"/>
        </w:rPr>
        <w:t xml:space="preserve">(g) cash payments made on account of accrued interest with respect to any Qualified Holding Company Debt to the extent such payments are required by the terms of such Indebtedness to be made before the close of any “accrual period” (as defined in Treasury Regulation Section 1.1272-1(b)(1)(ii)) ending after five years from the date of original issuance of such Indebtedness.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means, with respect to any Person for any period, the aggregate of the Net Income of such Person for such period, on a consolidated basis, and otherwise determined in accordance with GAAP; </w:t>
      </w:r>
      <w:r>
        <w:rPr>
          <w:rFonts w:ascii="Times New Roman" w:hAnsi="Times New Roman"/>
          <w:i/>
          <w:sz w:val="20"/>
        </w:rPr>
        <w:t xml:space="preserve">provided </w:t>
      </w:r>
      <w:r>
        <w:rPr>
          <w:rFonts w:ascii="Times New Roman" w:hAnsi="Times New Roman"/>
          <w:sz w:val="20"/>
        </w:rPr>
        <w:t xml:space="preserve">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after-tax effect of extraordinary, non-recurring or unusual gains or losses (less all fees and expenses relating thereto) or expenses (including relating to the Transaction Expenses or any multi-year strategic cost-saving initiatives), severance, relocation costs and curtailments or modifications to pension and post-retirement employee benefit plans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(2) the cumulative effect of a change in accounting principles and changes as a result of the adoption or modification of accounting policies during such period shall be excluded, in each case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Net Income for such period of any Person that is an Unrestricted Subsidiary or any Person that is not a Subsidiary or that is accounted for by the equity method of accounting shall be excluded; provided 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(4) [reserved]; </w:t>
      </w:r>
    </w:p>
    <w:p>
      <w:pPr>
        <w:pStyle w:val="TextBody"/>
        <w:bidi w:val="0"/>
        <w:spacing w:before="120" w:after="0"/>
        <w:jc w:val="left"/>
        <w:rPr>
          <w:rFonts w:ascii="Times New Roman" w:hAnsi="Times New Roman"/>
          <w:sz w:val="20"/>
        </w:rPr>
      </w:pPr>
      <w:r>
        <w:rPr>
          <w:rFonts w:ascii="Times New Roman" w:hAnsi="Times New Roman"/>
          <w:sz w:val="20"/>
        </w:rPr>
        <w:t xml:space="preserve">(5) effects of adjustments (including the effects of such adjustments pushed down to any Restricted Party) in the inventory, property and equipment, software, goodwill, other intangible assets, in-process research and development, deferred revenue, debt line items and other non-cash charges in such Person’s consolidated financial statements pursuant to GAAP resulting from the application of recapitalization, purchase or acquisition method accounting in relation to any consummated acquisition or the amortization or write-off of any amounts thereof, net of taxes,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any net after-tax effect of income (loss) from the early extinguishment or conversion of (a) Indebtedness, (b) Hedging Obligations or (c) other derivative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(7)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GAAP, and the amortization of intangibles arising pursuant to GAAP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(8) any non-cash compensation charge or expense, including any such charge or expense arising from the grants of stock appreciation or similar rights, stock options, restricted stock or other rights or equity incentive programs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(9) any fees, expenses or charges incurred during such period, or any amortization thereof for such period, in connection with any acquisition, Investment, Asset Sale, disposition, incurrence, amendment or repayment of Indebtedness (including such fees, expenses or charges related to the offering of the Notes and the New Intercompany Loan), issuance of Equity Interests, refinancing transaction or amendment or modification of any debt instrument (including any amendment or other modification of the Notes or the New Intercompany Loan) and including, in each case, without limitation, any such transaction consummated prior to the Issue Date and any such transaction undertaken but not completed, and any charges or non-recurring merger costs incurred during such period as a result of any such transaction, in each case whether or not successful,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(10) accruals and reserves that are established within twelve months after the closing of any acquisition that are required to be established as a result of such acquisition in accordance with GAAP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any expenses, charges or losses that are covered by indemnification or other reimbursement provisions in connection with any investment, acquisition or any sale, conveyance, transfer or other disposition of assets permitted under this Indenture, to the extent actually reimbursed, or, so long as the Company has made a determination that a reasonable basis exists for indemnification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(12) to the extent covered by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(13) any net pension costs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Accounting Standards Codification Topic 712 “Compensation—Nonretirement Postemployment Benefits” and Accounting Standards Codification Topic 715 “Compensation—Retirement Benefits,” and any other non-cash items of a similar nature,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(14) losses or gains on asset sales (other than asset sales made in the ordinary course of business) or in connection with any Qualified Securitization Financing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(15) the following items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(a) any net unrealized gain or loss (after any offset) resulting in such period from obligations under any Hedging Obligations and the application of Accounting Standards Codification Topic 815 “Derivatives and Hedging;” and </w:t>
      </w:r>
    </w:p>
    <w:p>
      <w:pPr>
        <w:pStyle w:val="TextBody"/>
        <w:bidi w:val="0"/>
        <w:spacing w:before="120" w:after="0"/>
        <w:jc w:val="left"/>
        <w:rPr>
          <w:rFonts w:ascii="Times New Roman" w:hAnsi="Times New Roman"/>
          <w:sz w:val="20"/>
        </w:rPr>
      </w:pPr>
      <w:r>
        <w:rPr>
          <w:rFonts w:ascii="Times New Roman" w:hAnsi="Times New Roman"/>
          <w:sz w:val="20"/>
        </w:rPr>
        <w:t xml:space="preserve">(b) any net unrealized gain or loss (after any offset) resulting in such period from currency translation and transaction gains or losses including those related to currency remeasurements of Indebtedness (including any net gain or loss resulting from obligations under Hedging Obligations for currency exchange risk) and any other monetary assets and liabilities; and </w:t>
      </w:r>
    </w:p>
    <w:p>
      <w:pPr>
        <w:pStyle w:val="TextBody"/>
        <w:bidi w:val="0"/>
        <w:spacing w:before="120" w:after="0"/>
        <w:jc w:val="left"/>
        <w:rPr>
          <w:rFonts w:ascii="Times New Roman" w:hAnsi="Times New Roman"/>
          <w:sz w:val="20"/>
        </w:rPr>
      </w:pPr>
      <w:r>
        <w:rPr>
          <w:rFonts w:ascii="Times New Roman" w:hAnsi="Times New Roman"/>
          <w:sz w:val="20"/>
        </w:rPr>
        <w:t xml:space="preserve">(16) any adjustments resulting from the application of Accounting Standards Codification Topic No. 460, Guarantees, or any comparable regulation, shall be excluded.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the Consolidated Net Income of such Person, notwithstanding anything to the contrary in the foregoing, Consolidated Net Income shall include the amount of proceeds received by such Person and its Restricted Subsidiaries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continuing</w:t>
      </w:r>
      <w:r>
        <w:rPr>
          <w:rFonts w:ascii="Times New Roman" w:hAnsi="Times New Roman"/>
          <w:sz w:val="20"/>
        </w:rPr>
        <w:t xml:space="preserve">” means, with respect to any Default or Event of Default, that such Default or Event of Default has not been cured or waived. </w:t>
      </w:r>
    </w:p>
    <w:p>
      <w:pPr>
        <w:pStyle w:val="TextBody"/>
        <w:bidi w:val="0"/>
        <w:spacing w:before="240" w:after="0"/>
        <w:jc w:val="left"/>
        <w:rPr/>
      </w:pPr>
      <w:r>
        <w:rPr/>
        <w:t>“</w:t>
      </w:r>
      <w:r>
        <w:rPr>
          <w:rFonts w:ascii="Times New Roman" w:hAnsi="Times New Roman"/>
          <w:i/>
          <w:sz w:val="20"/>
        </w:rPr>
        <w:t>Contingent Obligations</w:t>
      </w:r>
      <w:r>
        <w:rPr>
          <w:rFonts w:ascii="Times New Roman" w:hAnsi="Times New Roman"/>
          <w:sz w:val="20"/>
        </w:rPr>
        <w:t>” means, with respect to any Person, any obligation of such Person guaranteeing any leases, dividends or other obligations that do not constitute Indebtedness (“</w:t>
      </w:r>
      <w:r>
        <w:rPr>
          <w:rFonts w:ascii="Times New Roman" w:hAnsi="Times New Roman"/>
          <w:i/>
          <w:sz w:val="20"/>
        </w:rPr>
        <w:t>primary obligations</w:t>
      </w:r>
      <w:r>
        <w:rPr>
          <w:rFonts w:ascii="Times New Roman" w:hAnsi="Times New Roman"/>
          <w:sz w:val="20"/>
        </w:rPr>
        <w:t>”) of any other Person (the “</w:t>
      </w:r>
      <w:r>
        <w:rPr>
          <w:rFonts w:ascii="Times New Roman" w:hAnsi="Times New Roman"/>
          <w:i/>
          <w:sz w:val="20"/>
        </w:rPr>
        <w:t>primary obligor</w:t>
      </w:r>
      <w:r>
        <w:rPr>
          <w:rFonts w:ascii="Times New Roman" w:hAnsi="Times New Roman"/>
          <w:sz w:val="20"/>
        </w:rPr>
        <w:t xml:space="preserve">”) in any manner, whether directly or indirectly, including, without limitation, any obligation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to purchase any such primary obligation or any property constituting direct or indirect security therefor; </w:t>
      </w:r>
    </w:p>
    <w:p>
      <w:pPr>
        <w:pStyle w:val="TextBody"/>
        <w:bidi w:val="0"/>
        <w:spacing w:before="120" w:after="0"/>
        <w:jc w:val="left"/>
        <w:rPr>
          <w:rFonts w:ascii="Times New Roman" w:hAnsi="Times New Roman"/>
          <w:sz w:val="20"/>
        </w:rPr>
      </w:pPr>
      <w:r>
        <w:rPr>
          <w:rFonts w:ascii="Times New Roman" w:hAnsi="Times New Roman"/>
          <w:sz w:val="20"/>
        </w:rPr>
        <w:t xml:space="preserve">(2) to advance or supply funds: </w:t>
      </w:r>
    </w:p>
    <w:p>
      <w:pPr>
        <w:pStyle w:val="TextBody"/>
        <w:bidi w:val="0"/>
        <w:spacing w:before="120" w:after="0"/>
        <w:jc w:val="left"/>
        <w:rPr>
          <w:rFonts w:ascii="Times New Roman" w:hAnsi="Times New Roman"/>
          <w:sz w:val="20"/>
        </w:rPr>
      </w:pPr>
      <w:r>
        <w:rPr>
          <w:rFonts w:ascii="Times New Roman" w:hAnsi="Times New Roman"/>
          <w:sz w:val="20"/>
        </w:rPr>
        <w:t xml:space="preserve">(a) for the purchase or payment of any such primary obligation, or </w:t>
      </w:r>
    </w:p>
    <w:p>
      <w:pPr>
        <w:pStyle w:val="TextBody"/>
        <w:bidi w:val="0"/>
        <w:spacing w:before="120" w:after="0"/>
        <w:jc w:val="left"/>
        <w:rPr>
          <w:rFonts w:ascii="Times New Roman" w:hAnsi="Times New Roman"/>
          <w:sz w:val="20"/>
        </w:rPr>
      </w:pPr>
      <w:r>
        <w:rPr>
          <w:rFonts w:ascii="Times New Roman" w:hAnsi="Times New Roman"/>
          <w:sz w:val="20"/>
        </w:rPr>
        <w:t xml:space="preserve">(b) to maintain working capital or equity capital of the primary obligor or otherwise to maintain the net worth or solvency of the primary obligor; or </w:t>
      </w:r>
    </w:p>
    <w:p>
      <w:pPr>
        <w:pStyle w:val="TextBody"/>
        <w:bidi w:val="0"/>
        <w:spacing w:before="120" w:after="0"/>
        <w:jc w:val="left"/>
        <w:rPr>
          <w:rFonts w:ascii="Times New Roman" w:hAnsi="Times New Roman"/>
          <w:sz w:val="20"/>
        </w:rPr>
      </w:pPr>
      <w:r>
        <w:rPr>
          <w:rFonts w:ascii="Times New Roman" w:hAnsi="Times New Roman"/>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left"/>
        <w:rPr/>
      </w:pPr>
      <w:r>
        <w:rPr/>
        <w:t>“</w:t>
      </w:r>
      <w:r>
        <w:rPr>
          <w:rFonts w:ascii="Times New Roman" w:hAnsi="Times New Roman"/>
          <w:i/>
          <w:sz w:val="20"/>
        </w:rPr>
        <w:t>Controlled Investment Affiliate</w:t>
      </w:r>
      <w:r>
        <w:rPr>
          <w:rFonts w:ascii="Times New Roman" w:hAnsi="Times New Roman"/>
          <w:sz w:val="20"/>
        </w:rPr>
        <w:t xml:space="preserve">”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Company and/or other companies. </w:t>
      </w:r>
    </w:p>
    <w:p>
      <w:pPr>
        <w:pStyle w:val="TextBody"/>
        <w:bidi w:val="0"/>
        <w:spacing w:before="240" w:after="0"/>
        <w:jc w:val="left"/>
        <w:rPr/>
      </w:pPr>
      <w:r>
        <w:rPr/>
        <w:t>“</w:t>
      </w:r>
      <w:r>
        <w:rPr>
          <w:rFonts w:ascii="Times New Roman" w:hAnsi="Times New Roman"/>
          <w:i/>
          <w:sz w:val="20"/>
        </w:rPr>
        <w:t>Corporate Trust Office of the Trustee</w:t>
      </w:r>
      <w:r>
        <w:rPr>
          <w:rFonts w:ascii="Times New Roman" w:hAnsi="Times New Roman"/>
          <w:sz w:val="20"/>
        </w:rPr>
        <w:t xml:space="preserve">” means the address of the Trustee specified in Section 13.01 hereof or such other address as to which the Trustee may give notice to the Company.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means one or more debt facilities, including the New Intercompany Loan, or other financing arrangements (including, without limitation, commercial paper facilities or indentures) providing for revolving credit loans, term loans, letters of credit or other long-term indebtedness, including any notes, securities,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or refinance any part of the loans, notes, securities or other credit facilities or commitments thereunder, including any such replacement, refunding or refinancing facility or indenture that increases the amount permitted to be borrowed thereunder or alters the maturity thereof (</w:t>
      </w:r>
      <w:r>
        <w:rPr>
          <w:rFonts w:ascii="Times New Roman" w:hAnsi="Times New Roman"/>
          <w:i/>
          <w:sz w:val="20"/>
        </w:rPr>
        <w:t xml:space="preserve">provided </w:t>
      </w:r>
      <w:r>
        <w:rPr>
          <w:rFonts w:ascii="Times New Roman" w:hAnsi="Times New Roman"/>
          <w:sz w:val="20"/>
        </w:rPr>
        <w:t xml:space="preserve">that such increase in borrowings is permitted under Section 4.09 hereof) or adds additional borrowers or guarantors thereunder and whether by the same or any other agent, lender or group of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Custodian” means the Trustee, as custodian with respect to the Notes in global form, or any successor entity thereto.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that is, or with the passage of time or the giving of notice or both would be, an Event of Default. </w:t>
      </w:r>
    </w:p>
    <w:p>
      <w:pPr>
        <w:pStyle w:val="TextBody"/>
        <w:bidi w:val="0"/>
        <w:spacing w:before="240" w:after="0"/>
        <w:jc w:val="left"/>
        <w:rPr/>
      </w:pPr>
      <w:r>
        <w:rPr/>
        <w:t>“</w:t>
      </w:r>
      <w:r>
        <w:rPr>
          <w:rFonts w:ascii="Times New Roman" w:hAnsi="Times New Roman"/>
          <w:i/>
          <w:sz w:val="20"/>
        </w:rPr>
        <w:t>Definitive Note</w:t>
      </w:r>
      <w:r>
        <w:rPr>
          <w:rFonts w:ascii="Times New Roman" w:hAnsi="Times New Roman"/>
          <w:sz w:val="20"/>
        </w:rPr>
        <w:t xml:space="preserve">” means a certificated Note registered in the name of the Holder thereof and issued in accordance with Section 2.06 hereof, substantially in the form of Exhibit A1 hereto except that such Note shall not bear the Global Note Legend and shall not have the “Schedule of Exchanges of Interests in the Global Note” attached thereto.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 </w:t>
      </w:r>
    </w:p>
    <w:p>
      <w:pPr>
        <w:pStyle w:val="TextBody"/>
        <w:bidi w:val="0"/>
        <w:spacing w:before="240" w:after="0"/>
        <w:jc w:val="left"/>
        <w:rPr/>
      </w:pPr>
      <w:r>
        <w:rPr/>
        <w:t>“</w:t>
      </w:r>
      <w:r>
        <w:rPr>
          <w:rFonts w:ascii="Times New Roman" w:hAnsi="Times New Roman"/>
          <w:i/>
          <w:sz w:val="20"/>
        </w:rPr>
        <w:t>Designated Non-Cash Consideration</w:t>
      </w:r>
      <w:r>
        <w:rPr>
          <w:rFonts w:ascii="Times New Roman" w:hAnsi="Times New Roman"/>
          <w:sz w:val="20"/>
        </w:rPr>
        <w:t>” means the fair market value of non-cash consideration received by a Restricted Party in connection with an Asset Sale that is so designated as Designated Non-Cash Consideration pursuant to an Officer’s Certificate, setting forth the basis of such valuation, executed by a financial officer of the applicable Restricted Party, less the amount of Cash Equivalents received within 180 days in connection with a subsequent sale, redemption or repurchase of or collection or payment on such Designated Non-Cash Consideration</w:t>
      </w:r>
      <w:r>
        <w:rPr>
          <w:rFonts w:ascii="Times New Roman" w:hAnsi="Times New Roman"/>
          <w:i/>
          <w:sz w:val="20"/>
        </w:rPr>
        <w:t xml:space="preserve">. </w:t>
      </w:r>
    </w:p>
    <w:p>
      <w:pPr>
        <w:pStyle w:val="TextBody"/>
        <w:bidi w:val="0"/>
        <w:spacing w:before="240" w:after="0"/>
        <w:jc w:val="left"/>
        <w:rPr/>
      </w:pPr>
      <w:r>
        <w:rPr/>
        <w:t>“</w:t>
      </w:r>
      <w:r>
        <w:rPr>
          <w:rFonts w:ascii="Times New Roman" w:hAnsi="Times New Roman"/>
          <w:i/>
          <w:sz w:val="20"/>
        </w:rPr>
        <w:t>Designated Preferred Stock</w:t>
      </w:r>
      <w:r>
        <w:rPr>
          <w:rFonts w:ascii="Times New Roman" w:hAnsi="Times New Roman"/>
          <w:sz w:val="20"/>
        </w:rPr>
        <w:t xml:space="preserve">” means Preferred Stock of the Sabre Financing, the Polish Guarantor or Lux Parent or any direct or indirect parent company thereof (in each case other than Disqualified Stock) that is issued for cash (other than to a Restricted Party or an employee stock ownership plan or trust established by any Restricted Party) and is so designated as Designated Preferred Stock, pursuant to an Officer’s Certificate executed by the principal financial officer of the Company or the applicable parent company thereof, as the case may be, on the issuance date thereof.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outstanding; </w:t>
      </w:r>
      <w:r>
        <w:rPr>
          <w:rFonts w:ascii="Times New Roman" w:hAnsi="Times New Roman"/>
          <w:i/>
          <w:sz w:val="20"/>
        </w:rPr>
        <w:t xml:space="preserve">provided </w:t>
      </w:r>
      <w:r>
        <w:rPr>
          <w:rFonts w:ascii="Times New Roman" w:hAnsi="Times New Roman"/>
          <w:sz w:val="20"/>
        </w:rPr>
        <w:t xml:space="preserve">that any Capital Stock held by any future, current or former employee, director, officer, manager or consultant (or their respective Controlled Investment Affiliates or Immediate Family Members), of any of the Restricted Parties or any of their respective direct or indirect parent companies or any other entity in which a Restricted Party has an Investment and is designated in good faith as an “affiliate” by the board of directors of the Company (or a similar governing body,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a Restricted Party or their respective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 order to satisfy applicable statutory or regulatory obligations. Notwithstanding the preceding sentence, any Capital Stock that would constitute Disqualified Stock solely because the holders of the Capital Stock have the right to require a Restricted Party to repurchase such Capital Stock upon the occurrence of a change of control or an asset sale will not constitute Disqualified Stock if the terms of such Capital Stock provide that a Restricted Party may not repurchase or redeem any such Capital Stock pursuant to such provisions unless such repurchase or redemption complies with the terms of this Indenture. The amount of Disqualified Stock deemed to be outstanding at any time for purposes of this Indenture will be the maximum amount that the Restricted Parties may become obligated to pay upon the maturity of, or pursuant to any mandatory redemption provisions of, such Disqualified Stock, exclusive of accrued dividends. </w:t>
      </w:r>
    </w:p>
    <w:p>
      <w:pPr>
        <w:pStyle w:val="TextBody"/>
        <w:bidi w:val="0"/>
        <w:spacing w:before="240" w:after="0"/>
        <w:jc w:val="left"/>
        <w:rPr/>
      </w:pPr>
      <w:r>
        <w:rPr/>
        <w:t>“</w:t>
      </w:r>
      <w:r>
        <w:rPr>
          <w:rFonts w:ascii="Times New Roman" w:hAnsi="Times New Roman"/>
          <w:i/>
          <w:sz w:val="20"/>
        </w:rPr>
        <w:t>EBITDA</w:t>
      </w:r>
      <w:r>
        <w:rPr>
          <w:rFonts w:ascii="Times New Roman" w:hAnsi="Times New Roman"/>
          <w:sz w:val="20"/>
        </w:rPr>
        <w:t xml:space="preserve">” means, with respect to any Person for any period, the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the following, determined on a consolidated basis for such Person, in each case (other than clauses (h) and (k)) to the extent deducted (and not added back) in determining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provision for taxes based on income or profits or capital, including, without limitation, federal, state, franchise, excise and similar taxes and foreign withholding taxes (including any future taxes or other levies which replace or are intended to be in lieu of such taxes and any penalties and interest related to such taxes or arising from tax examinations) and the net tax expense associated with any adjustments made pursuant to clauses (1) through (16) of the definition of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(b) Fixed Charges of such Person for such period (including (x) net losses or Hedging Obligations or other derivative instruments entered into for the purpose of hedging interest rate risk, net of interest income and gains with respect to such obligations plus bank fees, (y) costs of surety bonds in connection with financing activities and (z) amounts excluded from Consolidated Interest Expense as set forth in clauses (a) through (g) in the definition thereof); plus </w:t>
      </w:r>
    </w:p>
    <w:p>
      <w:pPr>
        <w:pStyle w:val="TextBody"/>
        <w:bidi w:val="0"/>
        <w:spacing w:before="120" w:after="0"/>
        <w:jc w:val="left"/>
        <w:rPr>
          <w:rFonts w:ascii="Times New Roman" w:hAnsi="Times New Roman"/>
          <w:sz w:val="20"/>
        </w:rPr>
      </w:pPr>
      <w:r>
        <w:rPr>
          <w:rFonts w:ascii="Times New Roman" w:hAnsi="Times New Roman"/>
          <w:sz w:val="20"/>
        </w:rPr>
        <w:t xml:space="preserve">(c) Consolidated Depreciation and Amortization Expense of such Person for such period; plus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any restructuring charges, integration and facilities opening costs or other business optimization expenses, one-time restructuring costs incurred in connection with acquisitions made after the Issue Date, project start-up costs and costs related to the closure or consolidation of facilities; plus </w:t>
      </w:r>
    </w:p>
    <w:p>
      <w:pPr>
        <w:pStyle w:val="TextBody"/>
        <w:bidi w:val="0"/>
        <w:spacing w:before="120" w:after="0"/>
        <w:jc w:val="left"/>
        <w:rPr>
          <w:rFonts w:ascii="Times New Roman" w:hAnsi="Times New Roman"/>
          <w:sz w:val="20"/>
        </w:rPr>
      </w:pPr>
      <w:r>
        <w:rPr>
          <w:rFonts w:ascii="Times New Roman" w:hAnsi="Times New Roman"/>
          <w:sz w:val="20"/>
        </w:rPr>
        <w:t xml:space="preserve">(e) any other non-cash charges, including, without limitation, any write-offs or write-downs reducing Consolidated Net Income for such period; provided that if any such non-cash charges represent an accrual or reserve for potential cash items in any future period, the cash payment in respect thereof in such future period shall be subtracted from EBITDA to such extent, and excluding amortization of a prepaid cash item that was paid in a prior period;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amount of any minority interest expense consisting of Subsidiary income attributable to minority equity interests of third parties in any non-Wholly Owned Subsidiary;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the amount of “run-rate” cost savings projected by the Company in good faith to result from actions either taken or expected to be taken within 12 months of such period (which cost savings shall be (i) added back to EBITDA until realized, (ii) subject only to certification by management of the Company and (iii) calculated on a pro forma basis as though such cost savings had been realized on the first day of such period), net of the amount of actual benefits realized from such actions (it is understood and agreed that “run-rate” means the full recurring benefit that is associated with any action taken or expected to be taken, provided that some portion of such benefit is expected to be realized within 12 months of taking such action);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costs or expense incurred by a Restricted Party pursuant to any management equity plan or stock option plan or any other management or employee benefit plan or agreement or any stock subscription or shareholder agreement, to the extent that such cost or expenses are funded with cash proceeds contributed to the capital of a Restricted Party or net cash proceeds of an issuance of Equity Interest of a Restricted Party (other than Disqualified Stock) solely to the extent that such net cash proceeds will not increase the amount available for Restricted Payments permitted under Section 4.07 hereof;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any net loss from discontinued operations;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cash receipts (or any netting arrangements resulting in reduced cash expenditures) not representing EBITDA or Consolidated Net Income in any period to the extent non-cash gains relating to such income were deducted in the calculation of EBITDA pursuant to clause (2) below for any previous period and not added back;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Initial Public Company Costs; </w:t>
      </w:r>
    </w:p>
    <w:p>
      <w:pPr>
        <w:pStyle w:val="TextBody"/>
        <w:bidi w:val="0"/>
        <w:spacing w:before="120" w:after="0"/>
        <w:jc w:val="left"/>
        <w:rPr>
          <w:rFonts w:ascii="Times New Roman" w:hAnsi="Times New Roman"/>
          <w:sz w:val="20"/>
        </w:rPr>
      </w:pPr>
      <w:r>
        <w:rPr>
          <w:rFonts w:ascii="Times New Roman" w:hAnsi="Times New Roman"/>
          <w:sz w:val="20"/>
        </w:rPr>
        <w:t xml:space="preserve">(2) decreased (without duplication) by the following, determined on a consolidated basis for such Person, in each case to the extent included in determining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non-cash gains increasing Consolidated Net Income of such Person for such period, excluding any non-cash gains to the extent they represent the reversal of an accrual or reserve for a potential cash item that reduced EBITDA in any prior period;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non-cash gains with respect to cash actually received in a prior period unless such cash did not increase EBITDA in such prior period; plus </w:t>
      </w:r>
    </w:p>
    <w:p>
      <w:pPr>
        <w:pStyle w:val="TextBody"/>
        <w:bidi w:val="0"/>
        <w:spacing w:before="120" w:after="0"/>
        <w:jc w:val="left"/>
        <w:rPr>
          <w:rFonts w:ascii="Times New Roman" w:hAnsi="Times New Roman"/>
          <w:sz w:val="20"/>
        </w:rPr>
      </w:pPr>
      <w:r>
        <w:rPr>
          <w:rFonts w:ascii="Times New Roman" w:hAnsi="Times New Roman"/>
          <w:sz w:val="20"/>
        </w:rPr>
        <w:t xml:space="preserve">(c) any net income from discontinued operations (excluding held-for-sale discontinued operations). </w:t>
      </w:r>
    </w:p>
    <w:p>
      <w:pPr>
        <w:pStyle w:val="TextBody"/>
        <w:bidi w:val="0"/>
        <w:spacing w:before="240" w:after="0"/>
        <w:jc w:val="left"/>
        <w:rPr/>
      </w:pPr>
      <w:r>
        <w:rPr/>
        <w:t>“</w:t>
      </w:r>
      <w:r>
        <w:rPr>
          <w:rFonts w:ascii="Times New Roman" w:hAnsi="Times New Roman"/>
          <w:i/>
          <w:sz w:val="20"/>
        </w:rPr>
        <w:t>EMU</w:t>
      </w:r>
      <w:r>
        <w:rPr>
          <w:rFonts w:ascii="Times New Roman" w:hAnsi="Times New Roman"/>
          <w:sz w:val="20"/>
        </w:rPr>
        <w:t xml:space="preserve">” means economic and monetary union as contemplated in the Treaty on European Union.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means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euro</w:t>
      </w:r>
      <w:r>
        <w:rPr>
          <w:rFonts w:ascii="Times New Roman" w:hAnsi="Times New Roman"/>
          <w:sz w:val="20"/>
        </w:rPr>
        <w:t xml:space="preserve">” means the single currency of participating member states of the EMU.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of the SEC promulgated thereunder. </w:t>
      </w:r>
    </w:p>
    <w:p>
      <w:pPr>
        <w:pStyle w:val="TextBody"/>
        <w:bidi w:val="0"/>
        <w:spacing w:before="240" w:after="0"/>
        <w:jc w:val="left"/>
        <w:rPr/>
      </w:pPr>
      <w:r>
        <w:rPr/>
        <w:t>“</w:t>
      </w:r>
      <w:r>
        <w:rPr>
          <w:rFonts w:ascii="Times New Roman" w:hAnsi="Times New Roman"/>
          <w:i/>
          <w:sz w:val="20"/>
        </w:rPr>
        <w:t>Euroclear</w:t>
      </w:r>
      <w:r>
        <w:rPr>
          <w:rFonts w:ascii="Times New Roman" w:hAnsi="Times New Roman"/>
          <w:sz w:val="20"/>
        </w:rPr>
        <w:t xml:space="preserve">” means Euroclear Bank, S.A./N.V., as operator of the Euroclear system. </w:t>
      </w:r>
    </w:p>
    <w:p>
      <w:pPr>
        <w:pStyle w:val="TextBody"/>
        <w:bidi w:val="0"/>
        <w:spacing w:before="240" w:after="0"/>
        <w:jc w:val="left"/>
        <w:rPr/>
      </w:pPr>
      <w:r>
        <w:rPr/>
        <w:t>“</w:t>
      </w:r>
      <w:r>
        <w:rPr>
          <w:rFonts w:ascii="Times New Roman" w:hAnsi="Times New Roman"/>
          <w:i/>
          <w:sz w:val="20"/>
        </w:rPr>
        <w:t>Excluded Contribution</w:t>
      </w:r>
      <w:r>
        <w:rPr>
          <w:rFonts w:ascii="Times New Roman" w:hAnsi="Times New Roman"/>
          <w:sz w:val="20"/>
        </w:rPr>
        <w:t xml:space="preserve">” means net cash proceeds, marketable securities or Qualified Proceeds received by Sabre Financing, the Polish Guarantor or Lux Parent from: </w:t>
      </w:r>
    </w:p>
    <w:p>
      <w:pPr>
        <w:pStyle w:val="TextBody"/>
        <w:bidi w:val="0"/>
        <w:spacing w:before="120" w:after="0"/>
        <w:jc w:val="left"/>
        <w:rPr>
          <w:rFonts w:ascii="Times New Roman" w:hAnsi="Times New Roman"/>
          <w:sz w:val="20"/>
        </w:rPr>
      </w:pPr>
      <w:r>
        <w:rPr>
          <w:rFonts w:ascii="Times New Roman" w:hAnsi="Times New Roman"/>
          <w:sz w:val="20"/>
        </w:rPr>
        <w:t xml:space="preserve">(1) contributions to its common equity capital; and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Restricted Party or to any management equity plan or stock option plan or any other management or employee benefit plan or agreement of the Company) of Capital Stock (other than Disqualified Stock and Designated Preferred Stock) of Sabre Financing, the Polish Guarantor or Lux Parent;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by a financial officer of the Company within 30 days of the date such capital contributions are made or the date such Equity Interests are sold. </w:t>
      </w:r>
    </w:p>
    <w:p>
      <w:pPr>
        <w:pStyle w:val="TextBody"/>
        <w:bidi w:val="0"/>
        <w:spacing w:before="240" w:after="0"/>
        <w:jc w:val="left"/>
        <w:rPr/>
      </w:pPr>
      <w:r>
        <w:rPr/>
        <w:t>“</w:t>
      </w:r>
      <w:r>
        <w:rPr>
          <w:rFonts w:ascii="Times New Roman" w:hAnsi="Times New Roman"/>
          <w:i/>
          <w:sz w:val="20"/>
        </w:rPr>
        <w:t>Excluded Subsidiary</w:t>
      </w:r>
      <w:r>
        <w:rPr>
          <w:rFonts w:ascii="Times New Roman" w:hAnsi="Times New Roman"/>
          <w:sz w:val="20"/>
        </w:rPr>
        <w:t xml:space="preserve">” means (a) any Subsidiary that is prohibited by contractual requirements existing on the date hereof or on the date of the formation or acquisition of such Subsidiary (other than contractual requirement entered into by such Subsidiary in contemplation of such acquisition) or applicable law from guaranteeing the Obligations, and (b) each Unrestricted Subsidiary.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means, with respect to any asset or liability, the fair market value of such asset or liability as determined by the Company in good faith</w:t>
      </w:r>
      <w:r>
        <w:rPr>
          <w:rFonts w:ascii="Times New Roman" w:hAnsi="Times New Roman"/>
          <w:i/>
          <w:sz w:val="20"/>
        </w:rPr>
        <w:t xml:space="preserve">. </w:t>
      </w:r>
    </w:p>
    <w:p>
      <w:pPr>
        <w:pStyle w:val="TextBody"/>
        <w:bidi w:val="0"/>
        <w:spacing w:before="240" w:after="0"/>
        <w:jc w:val="left"/>
        <w:rPr/>
      </w:pPr>
      <w:r>
        <w:rPr/>
        <w:t>“</w:t>
      </w:r>
      <w:r>
        <w:rPr>
          <w:rFonts w:ascii="Times New Roman" w:hAnsi="Times New Roman"/>
          <w:i/>
          <w:sz w:val="20"/>
        </w:rPr>
        <w:t>First Lien Obligations</w:t>
      </w:r>
      <w:r>
        <w:rPr>
          <w:rFonts w:ascii="Times New Roman" w:hAnsi="Times New Roman"/>
          <w:sz w:val="20"/>
        </w:rPr>
        <w:t xml:space="preserve">” means, collectively, (a) the Notes Obligations, (b) the Obligations under the New Intercompany Loan and (c) any other Additional First Lien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First Lien Secured Parties</w:t>
      </w:r>
      <w:r>
        <w:rPr>
          <w:rFonts w:ascii="Times New Roman" w:hAnsi="Times New Roman"/>
          <w:sz w:val="20"/>
        </w:rPr>
        <w:t xml:space="preserve">” means (a) the Collateral Agent, (b) the Trustee, (c) the Holders, (d) the “Secured Parties,” as defined in the New Intercompany Loan, (e) the “Secured Parties,” as defined in the Security Documents and (f) any Additional First Lien Secured Parties.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Inc., or any successor to its rating agency business. </w:t>
      </w:r>
    </w:p>
    <w:p>
      <w:pPr>
        <w:pStyle w:val="TextBody"/>
        <w:bidi w:val="0"/>
        <w:spacing w:before="240" w:after="0"/>
        <w:jc w:val="left"/>
        <w:rPr/>
      </w:pPr>
      <w:r>
        <w:rPr/>
        <w:t>“</w:t>
      </w:r>
      <w:r>
        <w:rPr>
          <w:rFonts w:ascii="Times New Roman" w:hAnsi="Times New Roman"/>
          <w:i/>
          <w:sz w:val="20"/>
        </w:rPr>
        <w:t>Fixed Charges</w:t>
      </w:r>
      <w:r>
        <w:rPr>
          <w:rFonts w:ascii="Times New Roman" w:hAnsi="Times New Roman"/>
          <w:sz w:val="20"/>
        </w:rPr>
        <w:t xml:space="preserve">” means, with respect to any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(2) all dividends or other distributions paid to any Person other than such Person or any of its Restricted Subsidiaries (excluding items eliminated in consolidation) on any series of Preferred Stock of a Restricted Party (or such other specified Person or any of its Restricted Subsidiaries) during such period, excluding distributions in the form of additional Preferred Stock of a Restricted Party; and </w:t>
      </w:r>
    </w:p>
    <w:p>
      <w:pPr>
        <w:pStyle w:val="TextBody"/>
        <w:bidi w:val="0"/>
        <w:spacing w:before="120" w:after="0"/>
        <w:jc w:val="left"/>
        <w:rPr>
          <w:rFonts w:ascii="Times New Roman" w:hAnsi="Times New Roman"/>
          <w:sz w:val="20"/>
        </w:rPr>
      </w:pPr>
      <w:r>
        <w:rPr>
          <w:rFonts w:ascii="Times New Roman" w:hAnsi="Times New Roman"/>
          <w:sz w:val="20"/>
        </w:rPr>
        <w:t xml:space="preserve">(3) all dividends or other distributions paid to any Person other than such Person or any of its Restricted Subsidiaries (excluding items eliminated in consolidation) on any series of Disqualified Stock of a Restricted Party (or such other specified Person or any of its Restricted Subsidiaries) during such period, excluding distributions in the form of additional Preferred Stock of Sabre Holdings. </w:t>
      </w:r>
    </w:p>
    <w:p>
      <w:pPr>
        <w:pStyle w:val="TextBody"/>
        <w:bidi w:val="0"/>
        <w:spacing w:before="240" w:after="0"/>
        <w:jc w:val="left"/>
        <w:rPr/>
      </w:pPr>
      <w:r>
        <w:rPr/>
        <w:t>“</w:t>
      </w:r>
      <w:r>
        <w:rPr>
          <w:rFonts w:ascii="Times New Roman" w:hAnsi="Times New Roman"/>
          <w:i/>
          <w:sz w:val="20"/>
        </w:rPr>
        <w:t>Foreign Security Documents”</w:t>
      </w:r>
      <w:r>
        <w:rPr>
          <w:rFonts w:ascii="Times New Roman" w:hAnsi="Times New Roman"/>
          <w:sz w:val="20"/>
        </w:rPr>
        <w:t xml:space="preserve">means one or more security agreements, charges, mortgages or pledges with respect to Collateral of a Sabre Foreign Guarantor in the Guarantor Jurisdictions that secure Obligations of the Sabre Foreign Guarantors (including the Luxembourg Security Documents).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with respect to any Person, any Restricted Subsidiary of such Person that is not organized or existing under the laws of the United States, any state thereof or the District of Columbia and any Restricted Subsidiary of such Foreign Subsidiary.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means generally accepted accounting principles in the United States of America, as in effect from time to time (</w:t>
      </w:r>
      <w:r>
        <w:rPr>
          <w:rFonts w:ascii="Times New Roman" w:hAnsi="Times New Roman"/>
          <w:i/>
          <w:sz w:val="20"/>
        </w:rPr>
        <w:t>provided</w:t>
      </w:r>
      <w:r>
        <w:rPr>
          <w:rFonts w:ascii="Times New Roman" w:hAnsi="Times New Roman"/>
          <w:sz w:val="20"/>
        </w:rPr>
        <w:t xml:space="preserve"> that for purposes of Article 4 of this Indenture (and the terms used therein), with respect to any Person the financial statements of which have been historically prepared in accordance with the generally accepted accounting principles in Australia, Iceland, Poland, Singapore, United Kingdom, Luxembourg or any applicable jurisdiction outside the United States of America, GAAP means generally accepted accounting principles in such jurisdiction, as in effect from time to time), except for any change occurring after the Issue Date in GAAP, in the event the Company delivers notice to the Trustee within 30 days of entry into effect of such change that such change will not apply for any determinations under this Indenture; </w:t>
      </w:r>
      <w:r>
        <w:rPr>
          <w:rFonts w:ascii="Times New Roman" w:hAnsi="Times New Roman"/>
          <w:i/>
          <w:sz w:val="20"/>
        </w:rPr>
        <w:t>provided</w:t>
      </w:r>
      <w:r>
        <w:rPr>
          <w:rFonts w:ascii="Times New Roman" w:hAnsi="Times New Roman"/>
          <w:sz w:val="20"/>
        </w:rPr>
        <w:t xml:space="preserve"> that all calculations and determinations by the Company (other than in financial statements and related information filed, furnished or posted pursuant to Section 4.03 hereof) related to leases and lease expenses under this Indenture shall be made by application of applicable accounting principles immediately prior to the entry into effect of Accounting Standards Codification Topic 842, </w:t>
      </w:r>
      <w:r>
        <w:rPr>
          <w:rFonts w:ascii="Times New Roman" w:hAnsi="Times New Roman"/>
          <w:i/>
          <w:sz w:val="20"/>
        </w:rPr>
        <w:t>Leases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Global Note Legend</w:t>
      </w:r>
      <w:r>
        <w:rPr>
          <w:rFonts w:ascii="Times New Roman" w:hAnsi="Times New Roman"/>
          <w:sz w:val="20"/>
        </w:rPr>
        <w:t xml:space="preserve">” means the legend set forth in Section 2.06(f)(2) hereof, which is required to be placed on all Global Notes issued under this Indenture. </w:t>
      </w:r>
    </w:p>
    <w:p>
      <w:pPr>
        <w:pStyle w:val="TextBody"/>
        <w:bidi w:val="0"/>
        <w:spacing w:before="240" w:after="0"/>
        <w:jc w:val="left"/>
        <w:rPr/>
      </w:pPr>
      <w:r>
        <w:rPr/>
        <w:t>“</w:t>
      </w:r>
      <w:r>
        <w:rPr>
          <w:rFonts w:ascii="Times New Roman" w:hAnsi="Times New Roman"/>
          <w:i/>
          <w:sz w:val="20"/>
        </w:rPr>
        <w:t>Global Notes</w:t>
      </w:r>
      <w:r>
        <w:rPr>
          <w:rFonts w:ascii="Times New Roman" w:hAnsi="Times New Roman"/>
          <w:sz w:val="20"/>
        </w:rPr>
        <w:t xml:space="preserve">” means, individually and collectively, each of the Restricted Global Notes and the Unrestricted Global Notes deposited with or on behalf of and registered in the name of the Depositary or its nominee, substantially in the form of Exhibit A1 hereto and that bears the Global Note Legend and that has the “Schedule of Exchanges of Interests in the Global Note” attached thereto, issued in accordance with Section 2.01, 2.06(b)(3), 2.06(b)(4), 2.06(d)(2) or 2.06(f) hereof. </w:t>
      </w:r>
    </w:p>
    <w:p>
      <w:pPr>
        <w:pStyle w:val="TextBody"/>
        <w:bidi w:val="0"/>
        <w:spacing w:before="240" w:after="0"/>
        <w:jc w:val="left"/>
        <w:rPr/>
      </w:pPr>
      <w:r>
        <w:rPr/>
        <w:t>“</w:t>
      </w:r>
      <w:r>
        <w:rPr>
          <w:rFonts w:ascii="Times New Roman" w:hAnsi="Times New Roman"/>
          <w:i/>
          <w:sz w:val="20"/>
        </w:rPr>
        <w:t>Government Securities</w:t>
      </w:r>
      <w:r>
        <w:rPr>
          <w:rFonts w:ascii="Times New Roman" w:hAnsi="Times New Roman"/>
          <w:sz w:val="20"/>
        </w:rPr>
        <w:t xml:space="preserve">” means securities that are: </w:t>
      </w:r>
    </w:p>
    <w:p>
      <w:pPr>
        <w:pStyle w:val="TextBody"/>
        <w:bidi w:val="0"/>
        <w:spacing w:before="120" w:after="0"/>
        <w:jc w:val="left"/>
        <w:rPr>
          <w:rFonts w:ascii="Times New Roman" w:hAnsi="Times New Roman"/>
          <w:sz w:val="20"/>
        </w:rPr>
      </w:pPr>
      <w:r>
        <w:rPr>
          <w:rFonts w:ascii="Times New Roman" w:hAnsi="Times New Roman"/>
          <w:sz w:val="20"/>
        </w:rPr>
        <w:t xml:space="preserve">(1) direct obligations of the United States of America for the timely payment of which its full faith and credit is pledged; or </w:t>
      </w:r>
    </w:p>
    <w:p>
      <w:pPr>
        <w:pStyle w:val="TextBody"/>
        <w:bidi w:val="0"/>
        <w:spacing w:before="120" w:after="0"/>
        <w:jc w:val="left"/>
        <w:rPr>
          <w:rFonts w:ascii="Times New Roman" w:hAnsi="Times New Roman"/>
          <w:sz w:val="20"/>
        </w:rPr>
      </w:pPr>
      <w:r>
        <w:rPr>
          <w:rFonts w:ascii="Times New Roman" w:hAnsi="Times New Roman"/>
          <w:sz w:val="20"/>
        </w:rPr>
        <w:t xml:space="preserve">(2) obligations of a Person controlled or supervised by and acting as an agency or instrumentality of the United States of America the timely payment of which is unconditionally guaranteed as a full faith and credit obligation by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 w:hAnsi="Times New Roman"/>
          <w:i/>
          <w:sz w:val="20"/>
        </w:rPr>
        <w:t xml:space="preserve">provided </w:t>
      </w:r>
      <w:r>
        <w:rPr>
          <w:rFonts w:ascii="Times New Roman" w:hAnsi="Times New Roman"/>
          <w:sz w:val="20"/>
        </w:rPr>
        <w:t xml:space="preserve">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letters of credit and reimbursement agreements in respect thereof), of all or any part of any Indebtedness or other monetary obligations.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the guarantee by any Guarantor of the Company’s Obligations under this Indenture. </w:t>
      </w:r>
    </w:p>
    <w:p>
      <w:pPr>
        <w:pStyle w:val="TextBody"/>
        <w:bidi w:val="0"/>
        <w:spacing w:before="240" w:after="0"/>
        <w:jc w:val="left"/>
        <w:rPr/>
      </w:pPr>
      <w:r>
        <w:rPr/>
        <w:t>“</w:t>
      </w:r>
      <w:r>
        <w:rPr>
          <w:rFonts w:ascii="Times New Roman" w:hAnsi="Times New Roman"/>
          <w:i/>
          <w:sz w:val="20"/>
        </w:rPr>
        <w:t>Guarantor</w:t>
      </w:r>
      <w:r>
        <w:rPr>
          <w:rFonts w:ascii="Times New Roman" w:hAnsi="Times New Roman"/>
          <w:sz w:val="20"/>
        </w:rPr>
        <w:t xml:space="preserve">” means, collectively, Sabre Financing and the Sabre Foreign Guarantors. </w:t>
      </w:r>
    </w:p>
    <w:p>
      <w:pPr>
        <w:pStyle w:val="TextBody"/>
        <w:bidi w:val="0"/>
        <w:spacing w:before="240" w:after="0"/>
        <w:jc w:val="left"/>
        <w:rPr/>
      </w:pPr>
      <w:r>
        <w:rPr/>
        <w:t>“</w:t>
      </w:r>
      <w:r>
        <w:rPr>
          <w:rFonts w:ascii="Times New Roman" w:hAnsi="Times New Roman"/>
          <w:i/>
          <w:sz w:val="20"/>
        </w:rPr>
        <w:t>Guarantor Jurisdictions</w:t>
      </w:r>
      <w:r>
        <w:rPr>
          <w:rFonts w:ascii="Times New Roman" w:hAnsi="Times New Roman"/>
          <w:sz w:val="20"/>
        </w:rPr>
        <w:t xml:space="preserve">” means, as of the Issue Date, Australia, England and Wales, Iceland, Luxembourg, Poland, Singapore and Uruguay.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i/>
          <w:sz w:val="20"/>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the Person in whose name a Note is registered on the registrar’s books. </w:t>
      </w:r>
    </w:p>
    <w:p>
      <w:pPr>
        <w:pStyle w:val="TextBody"/>
        <w:bidi w:val="0"/>
        <w:spacing w:before="240" w:after="0"/>
        <w:jc w:val="left"/>
        <w:rPr/>
      </w:pPr>
      <w:r>
        <w:rPr/>
        <w:t>“</w:t>
      </w:r>
      <w:r>
        <w:rPr>
          <w:rFonts w:ascii="Times New Roman" w:hAnsi="Times New Roman"/>
          <w:i/>
          <w:sz w:val="20"/>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(including principal and premium)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(a)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(b) evidenced by bonds, notes, debentures or similar instruments or letters of credit or bankers’ acceptances (or, without duplication,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(c) representing the balance deferred and unpaid of the purchase price of any property (including Capitalized Lease Obligations) due more than twelve months after such property is acquired, except (i) any such balance that constitutes an obligation in respect of a commercial letter of credit, a trade payable or similar obligation to a trade creditor, in each case accrued in the ordinary course of business, (ii) any earn-out obligations until such obligation becomes a liability on the balance sheet of such Person in accordance with GAAP and if not paid after becoming due and payable and any purchase price holdbacks in respect of a portion of the purchase price of an asset to satisfy warranty or other unperformed obligations of the seller and (iii) accruals for payroll and other liabilities accrued in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(d) representing net obligations under any Hedging Obligation;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of the foregoing Indebtedness (other than letters of credit and Hedging Obligations) would appear as a liability upon a balance sheet (excluding the footnotes thereto) of such Person prepared in accordance with GAAP; </w:t>
      </w:r>
      <w:r>
        <w:rPr>
          <w:rFonts w:ascii="Times New Roman" w:hAnsi="Times New Roman"/>
          <w:i/>
          <w:sz w:val="20"/>
        </w:rPr>
        <w:t xml:space="preserve">provided </w:t>
      </w:r>
      <w:r>
        <w:rPr>
          <w:rFonts w:ascii="Times New Roman" w:hAnsi="Times New Roman"/>
          <w:sz w:val="20"/>
        </w:rPr>
        <w:t xml:space="preserve">that Indebtedness of any direct or indirect parent of such Person appearing upon the balance sheet of such Person solely by reason of push-down accounting under GAAP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not otherwise included, the obligations of the type referred to in clause (1) of a third Person secured by a Lien on any asset owned by such first Person, whether or not such Indebtedness is assumed by such first Person;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the foregoing, Indebtedness shall be deemed not to include (a) Contingent Obligations incurred in the ordinary course of business or (b) obligations under or in respect of a Qualified Securitization Financing.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i/>
          <w:sz w:val="20"/>
        </w:rPr>
        <w:t>Independent Financial Advisor</w:t>
      </w:r>
      <w:r>
        <w:rPr>
          <w:rFonts w:ascii="Times New Roman" w:hAnsi="Times New Roman"/>
          <w:sz w:val="20"/>
        </w:rPr>
        <w:t xml:space="preserve">” means an accounting, appraisal, investment banking firm or consultant to Persons engaged in Similar Businesses of nationally recognized standing that is, in the good faith judgment of Sabre Holdings, qualified to perform the task for which it has been engaged. </w:t>
      </w:r>
    </w:p>
    <w:p>
      <w:pPr>
        <w:pStyle w:val="TextBody"/>
        <w:bidi w:val="0"/>
        <w:spacing w:before="240" w:after="0"/>
        <w:jc w:val="left"/>
        <w:rPr/>
      </w:pPr>
      <w:r>
        <w:rPr/>
        <w:t>“</w:t>
      </w:r>
      <w:r>
        <w:rPr>
          <w:rFonts w:ascii="Times New Roman" w:hAnsi="Times New Roman"/>
          <w:i/>
          <w:sz w:val="20"/>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240" w:after="0"/>
        <w:jc w:val="left"/>
        <w:rPr/>
      </w:pPr>
      <w:r>
        <w:rPr/>
        <w:t>“</w:t>
      </w:r>
      <w:r>
        <w:rPr>
          <w:rFonts w:ascii="Times New Roman" w:hAnsi="Times New Roman"/>
          <w:i/>
          <w:sz w:val="20"/>
        </w:rPr>
        <w:t>Initial Public Company Costs</w:t>
      </w:r>
      <w:r>
        <w:rPr>
          <w:rFonts w:ascii="Times New Roman" w:hAnsi="Times New Roman"/>
          <w:sz w:val="20"/>
        </w:rPr>
        <w:t xml:space="preserve">”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as applicable to companies with equity securities held by the public, the rules of national securities exchange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initial listing of such Person’s equity securities on a national securities exchange; provided that any such costs arising from the costs described above in respect of the ongoing operation of such Person as a listed equity or its listed debt securities following the initial listing of such Person’s equity securities or debt securities, respectively, on a national securities exchange shall not constitute Initial Public Company Costs. </w:t>
      </w:r>
    </w:p>
    <w:p>
      <w:pPr>
        <w:pStyle w:val="TextBody"/>
        <w:bidi w:val="0"/>
        <w:spacing w:before="240" w:after="0"/>
        <w:jc w:val="left"/>
        <w:rPr/>
      </w:pPr>
      <w:r>
        <w:rPr/>
        <w:t>“</w:t>
      </w:r>
      <w:r>
        <w:rPr>
          <w:rFonts w:ascii="Times New Roman" w:hAnsi="Times New Roman"/>
          <w:i/>
          <w:sz w:val="20"/>
        </w:rPr>
        <w:t>Initial Purchasers</w:t>
      </w:r>
      <w:r>
        <w:rPr>
          <w:rFonts w:ascii="Times New Roman" w:hAnsi="Times New Roman"/>
          <w:sz w:val="20"/>
        </w:rPr>
        <w:t xml:space="preserve">” means the persons named as “Purchasers” in the Purchase Agreement.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higher than Baa3 (or the equivalent) by Moody’s and BBB- (or the equivalent) by S&amp;P, or if the Notes are not then rated by Moody’s or S&amp;P, an equivalent rating by any other Rating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United States government or any agency or instrumentality thereof (other than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(2) debt securities or debt instruments with an Investment Grade Rating, but excluding any debt securities or instruments constituting loans or advances among the Restricted Parties and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any fund that invests exclusively in investments of the type described in clauses (1) and (2) which fund may also hold immaterial amounts of cash pending investment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(4) corresponding instruments in countries other than the United States customarily utilized for high-quality investments.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Restricted Parties and their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GAAP to be classified on the balance sheet (excluding the footnotes) of Sabre Holdings or Sabre Financing, as applicable, in the same manner as the other investments included in this definition to the extent such transactions involve the transfer of cash or other property. For purposes of the definition of “</w:t>
      </w:r>
      <w:r>
        <w:rPr>
          <w:rFonts w:ascii="Times New Roman" w:hAnsi="Times New Roman"/>
          <w:i/>
          <w:sz w:val="20"/>
        </w:rPr>
        <w:t>Unrestricted Subsidiary</w:t>
      </w:r>
      <w:r>
        <w:rPr>
          <w:rFonts w:ascii="Times New Roman" w:hAnsi="Times New Roman"/>
          <w:sz w:val="20"/>
        </w:rPr>
        <w:t xml:space="preserve">” and Section 4.07 hereof: </w:t>
      </w:r>
    </w:p>
    <w:p>
      <w:pPr>
        <w:pStyle w:val="TextBody"/>
        <w:bidi w:val="0"/>
        <w:spacing w:before="120" w:after="0"/>
        <w:jc w:val="left"/>
        <w:rPr>
          <w:rFonts w:ascii="Times New Roman" w:hAnsi="Times New Roman"/>
          <w:sz w:val="20"/>
        </w:rPr>
      </w:pPr>
      <w:r>
        <w:rPr>
          <w:rFonts w:ascii="Times New Roman" w:hAnsi="Times New Roman"/>
          <w:sz w:val="20"/>
        </w:rPr>
        <w:t xml:space="preserve">(1) “Investments”shall include the portion (proportionate to the Restricted Party’s direct or indirect equity interest in such Subsidiary) of the fair market value of the net assets of a Subsidiary of a Restricted Party at the time that such Subsidiary is designated an Unrestricted Subsidiary; </w:t>
      </w:r>
      <w:r>
        <w:rPr>
          <w:rFonts w:ascii="Times New Roman" w:hAnsi="Times New Roman"/>
          <w:i/>
          <w:sz w:val="20"/>
        </w:rPr>
        <w:t xml:space="preserve">provided </w:t>
      </w:r>
      <w:r>
        <w:rPr>
          <w:rFonts w:ascii="Times New Roman" w:hAnsi="Times New Roman"/>
          <w:sz w:val="20"/>
        </w:rPr>
        <w:t xml:space="preserve">that upon a redesignation of such Subsidiary as a Restricted Subsidiary, the applicable Restricted Party shall be deemed to continue to have a permanent “Investment” in an Unrestricted Subsidiary in an amount (if positive) equal to: </w:t>
      </w:r>
    </w:p>
    <w:p>
      <w:pPr>
        <w:pStyle w:val="TextBody"/>
        <w:bidi w:val="0"/>
        <w:spacing w:before="120" w:after="0"/>
        <w:jc w:val="left"/>
        <w:rPr>
          <w:rFonts w:ascii="Times New Roman" w:hAnsi="Times New Roman"/>
          <w:sz w:val="20"/>
        </w:rPr>
      </w:pPr>
      <w:r>
        <w:rPr>
          <w:rFonts w:ascii="Times New Roman" w:hAnsi="Times New Roman"/>
          <w:sz w:val="20"/>
        </w:rPr>
        <w:t xml:space="preserve">(a) the Restricted Party’s direct or indirect “Investment” in such Subsidiary at the time of such redesignation; less </w:t>
      </w:r>
    </w:p>
    <w:p>
      <w:pPr>
        <w:pStyle w:val="TextBody"/>
        <w:bidi w:val="0"/>
        <w:spacing w:before="120" w:after="0"/>
        <w:jc w:val="left"/>
        <w:rPr>
          <w:rFonts w:ascii="Times New Roman" w:hAnsi="Times New Roman"/>
          <w:sz w:val="20"/>
        </w:rPr>
      </w:pPr>
      <w:r>
        <w:rPr>
          <w:rFonts w:ascii="Times New Roman" w:hAnsi="Times New Roman"/>
          <w:sz w:val="20"/>
        </w:rPr>
        <w:t xml:space="preserve">(b) the portion (proportionate to the Restricted Party’s direct or indirect Equity Interest in such Subsidiary) of the fair market value of the net assets of such Subsidiary at the time of such redesignation; and </w:t>
      </w:r>
    </w:p>
    <w:p>
      <w:pPr>
        <w:pStyle w:val="TextBody"/>
        <w:bidi w:val="0"/>
        <w:spacing w:before="120" w:after="0"/>
        <w:jc w:val="left"/>
        <w:rPr>
          <w:rFonts w:ascii="Times New Roman" w:hAnsi="Times New Roman"/>
          <w:sz w:val="20"/>
        </w:rPr>
      </w:pPr>
      <w:r>
        <w:rPr>
          <w:rFonts w:ascii="Times New Roman" w:hAnsi="Times New Roman"/>
          <w:sz w:val="20"/>
        </w:rPr>
        <w:t xml:space="preserve">(2) any property transferred to or from an Unrestricted Subsidiary shall be valued at its fair market value at the time of such transfer, in each case as determined in good faith by the Company, including its board of directors (or a similar governing body) if such fair market value is in excess of $100,000,000.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 of any Investment outstanding at any time shall be the original cost of such Investment, reduced by any dividend, distribution, interest payment, return of capital, repayment or other amount received in cash or other property by the applicable Restricted Party in respect of such Investment.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September 28, 2026. </w:t>
      </w:r>
    </w:p>
    <w:p>
      <w:pPr>
        <w:pStyle w:val="TextBody"/>
        <w:bidi w:val="0"/>
        <w:spacing w:before="240" w:after="0"/>
        <w:jc w:val="left"/>
        <w:rPr/>
      </w:pPr>
      <w:r>
        <w:rPr/>
        <w:t>“</w:t>
      </w:r>
      <w:r>
        <w:rPr>
          <w:rFonts w:ascii="Times New Roman" w:hAnsi="Times New Roman"/>
          <w:i/>
          <w:sz w:val="20"/>
        </w:rPr>
        <w:t>Junior Lien Obligations</w:t>
      </w:r>
      <w:r>
        <w:rPr>
          <w:rFonts w:ascii="Times New Roman" w:hAnsi="Times New Roman"/>
          <w:sz w:val="20"/>
        </w:rPr>
        <w:t xml:space="preserve">” means any Indebtedness secured by Collateral on a second priority basis pursuant to the relevant security documents. </w:t>
      </w:r>
    </w:p>
    <w:p>
      <w:pPr>
        <w:pStyle w:val="TextBody"/>
        <w:bidi w:val="0"/>
        <w:spacing w:before="240" w:after="0"/>
        <w:jc w:val="left"/>
        <w:rPr/>
      </w:pPr>
      <w:r>
        <w:rPr/>
        <w:t>“</w:t>
      </w:r>
      <w:r>
        <w:rPr>
          <w:rFonts w:ascii="Times New Roman" w:hAnsi="Times New Roman"/>
          <w:i/>
          <w:sz w:val="20"/>
        </w:rPr>
        <w:t>Junior Lien Secured Parties</w:t>
      </w:r>
      <w:r>
        <w:rPr>
          <w:rFonts w:ascii="Times New Roman" w:hAnsi="Times New Roman"/>
          <w:sz w:val="20"/>
        </w:rPr>
        <w:t xml:space="preserve">” means the holders of any Junior Lien Obligations and any authorized representative with respect thereto named in the applicable joinder agreement. </w:t>
      </w:r>
    </w:p>
    <w:p>
      <w:pPr>
        <w:pStyle w:val="TextBody"/>
        <w:bidi w:val="0"/>
        <w:spacing w:before="240" w:after="0"/>
        <w:jc w:val="left"/>
        <w:rPr/>
      </w:pPr>
      <w:r>
        <w:rPr/>
        <w:t>“</w:t>
      </w:r>
      <w:r>
        <w:rPr>
          <w:rFonts w:ascii="Times New Roman" w:hAnsi="Times New Roman"/>
          <w:i/>
          <w:sz w:val="20"/>
        </w:rPr>
        <w:t>LC Assets</w:t>
      </w:r>
      <w:r>
        <w:rPr>
          <w:rFonts w:ascii="Times New Roman" w:hAnsi="Times New Roman"/>
          <w:sz w:val="20"/>
        </w:rPr>
        <w:t xml:space="preserve">” means all deposit and securities accounts (including all funds held in or credited to such accounts, interest, dividends or other property distributed in respect of such accounts and any proceeds thereof) that may be opened from time to time with one or more banks or other financial institutions (including with a foreign branch of such banks or other financial institutions) securing letters of credit, demand guarantees, bankers’ acceptances or similar obligations and reimbursement obligations in respect thereof, other than those provided under the New Intercompany Loan. </w:t>
      </w:r>
    </w:p>
    <w:p>
      <w:pPr>
        <w:pStyle w:val="TextBody"/>
        <w:bidi w:val="0"/>
        <w:spacing w:before="240" w:after="0"/>
        <w:jc w:val="left"/>
        <w:rPr/>
      </w:pPr>
      <w:r>
        <w:rPr/>
        <w:t>“</w:t>
      </w:r>
      <w:r>
        <w:rPr>
          <w:rFonts w:ascii="Times New Roman" w:hAnsi="Times New Roman"/>
          <w:i/>
          <w:sz w:val="20"/>
        </w:rPr>
        <w:t>Legal Holiday</w:t>
      </w:r>
      <w:r>
        <w:rPr>
          <w:rFonts w:ascii="Times New Roman" w:hAnsi="Times New Roman"/>
          <w:sz w:val="20"/>
        </w:rPr>
        <w:t xml:space="preserve">” means a Saturday, a Sunday or a day on which commercial banking institutions are not required to be open in the State of New York or place of payment.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any mortgage, pledge, hypothecation, assignment, deposit arrangement, encumbrance, lien (statutory or otherwise), charge or other security interest of any kind or nature whatsoever (including (i) any “security interest” as defined in sections 12(1) or (2) of the Australian PPSA but does not include any “security interest” as defined in section 12(3) of the Australian PPSA that does not, in substance, secure the performance or payment of an obligation and (ii) any conditional sale or other title retention agreement and any Capitalized Lease having substantially the same economic effect as any of the foregoing); provided that in no event shall an operating lease be deemed to constitute a Lien. </w:t>
      </w:r>
    </w:p>
    <w:p>
      <w:pPr>
        <w:pStyle w:val="TextBody"/>
        <w:bidi w:val="0"/>
        <w:spacing w:before="240" w:after="0"/>
        <w:jc w:val="left"/>
        <w:rPr/>
      </w:pPr>
      <w:r>
        <w:rPr/>
        <w:t>“</w:t>
      </w:r>
      <w:r>
        <w:rPr>
          <w:rFonts w:ascii="Times New Roman" w:hAnsi="Times New Roman"/>
          <w:i/>
          <w:sz w:val="20"/>
        </w:rPr>
        <w:t>Luxembourg</w:t>
      </w:r>
      <w:r>
        <w:rPr>
          <w:rFonts w:ascii="Times New Roman" w:hAnsi="Times New Roman"/>
          <w:sz w:val="20"/>
        </w:rPr>
        <w:t xml:space="preserve">” means the Grand Duchy of Luxembourg. </w:t>
      </w:r>
    </w:p>
    <w:p>
      <w:pPr>
        <w:pStyle w:val="TextBody"/>
        <w:bidi w:val="0"/>
        <w:spacing w:before="240" w:after="0"/>
        <w:jc w:val="left"/>
        <w:rPr/>
      </w:pPr>
      <w:r>
        <w:rPr/>
        <w:t>“</w:t>
      </w:r>
      <w:r>
        <w:rPr>
          <w:rFonts w:ascii="Times New Roman" w:hAnsi="Times New Roman"/>
          <w:i/>
          <w:sz w:val="20"/>
        </w:rPr>
        <w:t>Luxembourg Account Pledge Agreement</w:t>
      </w:r>
      <w:r>
        <w:rPr>
          <w:rFonts w:ascii="Times New Roman" w:hAnsi="Times New Roman"/>
          <w:sz w:val="20"/>
        </w:rPr>
        <w:t xml:space="preserve">” means the Luxembourg law governed account pledge agreement entered into on or around the date hereof between Lux Parent, Sabre International, Sabre Finance and Sabre AS, each as pledgors, and the Collateral Agent, as pledgee. </w:t>
      </w:r>
    </w:p>
    <w:p>
      <w:pPr>
        <w:pStyle w:val="TextBody"/>
        <w:bidi w:val="0"/>
        <w:spacing w:before="240" w:after="0"/>
        <w:jc w:val="left"/>
        <w:rPr/>
      </w:pPr>
      <w:r>
        <w:rPr/>
        <w:t>“</w:t>
      </w:r>
      <w:r>
        <w:rPr>
          <w:rFonts w:ascii="Times New Roman" w:hAnsi="Times New Roman"/>
          <w:i/>
          <w:sz w:val="20"/>
        </w:rPr>
        <w:t>Luxembourg Guarantors</w:t>
      </w:r>
      <w:r>
        <w:rPr>
          <w:rFonts w:ascii="Times New Roman" w:hAnsi="Times New Roman"/>
          <w:sz w:val="20"/>
        </w:rPr>
        <w:t xml:space="preserve">” means, collectively, Lux Parent, Sabre International, Sabre Finance and Sabre AS. </w:t>
      </w:r>
    </w:p>
    <w:p>
      <w:pPr>
        <w:pStyle w:val="TextBody"/>
        <w:bidi w:val="0"/>
        <w:spacing w:before="240" w:after="0"/>
        <w:jc w:val="left"/>
        <w:rPr/>
      </w:pPr>
      <w:r>
        <w:rPr/>
        <w:t>“</w:t>
      </w:r>
      <w:r>
        <w:rPr>
          <w:rFonts w:ascii="Times New Roman" w:hAnsi="Times New Roman"/>
          <w:i/>
          <w:sz w:val="20"/>
        </w:rPr>
        <w:t>Luxembourg Receivables Pledge Agreement</w:t>
      </w:r>
      <w:r>
        <w:rPr>
          <w:rFonts w:ascii="Times New Roman" w:hAnsi="Times New Roman"/>
          <w:sz w:val="20"/>
        </w:rPr>
        <w:t xml:space="preserve">” means the Luxembourg law governed receivables pledge agreement entered into on or around the date hereof between Lux Parent, Sabre International, Sabre Finance and Sabre AS, each as pledgors, and the Collateral Agent, as pledgee and Lux Parent and Sabre International, each as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Luxembourg Security Documents</w:t>
      </w:r>
      <w:r>
        <w:rPr>
          <w:rFonts w:ascii="Times New Roman" w:hAnsi="Times New Roman"/>
          <w:sz w:val="20"/>
        </w:rPr>
        <w:t xml:space="preserve">” means the Luxembourg Account Pledge Agreement, the Luxembourg Receivables Pledge Agreement and the Luxembourg Share Pledge Agreement. </w:t>
      </w:r>
    </w:p>
    <w:p>
      <w:pPr>
        <w:pStyle w:val="TextBody"/>
        <w:bidi w:val="0"/>
        <w:spacing w:before="240" w:after="0"/>
        <w:jc w:val="left"/>
        <w:rPr/>
      </w:pPr>
      <w:r>
        <w:rPr/>
        <w:t>“</w:t>
      </w:r>
      <w:r>
        <w:rPr>
          <w:rFonts w:ascii="Times New Roman" w:hAnsi="Times New Roman"/>
          <w:i/>
          <w:sz w:val="20"/>
        </w:rPr>
        <w:t>Luxembourg Share Pledge Agreement</w:t>
      </w:r>
      <w:r>
        <w:rPr>
          <w:rFonts w:ascii="Times New Roman" w:hAnsi="Times New Roman"/>
          <w:sz w:val="20"/>
        </w:rPr>
        <w:t xml:space="preserve">” means the Luxembourg law governed share pledge agreement entered into on or around the date hereof between Lux Parent and Sabre International, as pledgors, the Collateral Agent, as pledgee, and Sabre International, Sabre Finance and Sabre AS, as companies. </w:t>
      </w:r>
    </w:p>
    <w:p>
      <w:pPr>
        <w:pStyle w:val="TextBody"/>
        <w:bidi w:val="0"/>
        <w:spacing w:before="240" w:after="0"/>
        <w:jc w:val="left"/>
        <w:rPr/>
      </w:pPr>
      <w:r>
        <w:rPr/>
        <w:t>“</w:t>
      </w:r>
      <w:r>
        <w:rPr>
          <w:rFonts w:ascii="Times New Roman" w:hAnsi="Times New Roman"/>
          <w:i/>
          <w:sz w:val="20"/>
        </w:rPr>
        <w:t>Lux Parent</w:t>
      </w:r>
      <w:r>
        <w:rPr>
          <w:rFonts w:ascii="Times New Roman" w:hAnsi="Times New Roman"/>
          <w:sz w:val="20"/>
        </w:rPr>
        <w:t xml:space="preserve">” means Sabre Holdings (Luxembourg) S.à r.l., a private limited liability company (société à responsabilité limitée) organized and existing under the laws of the Grand Duchy of Luxembourg, having its registered office at 28, Boulevard F.W. Raiffeisen, L-2411 Luxembourg, Grand Duchy of Luxembourg being registered with the RCS under number B125399 and identified internally by Sabre GLBL as of the Issue Date by number (3030). </w:t>
      </w:r>
    </w:p>
    <w:p>
      <w:pPr>
        <w:pStyle w:val="TextBody"/>
        <w:bidi w:val="0"/>
        <w:spacing w:before="240" w:after="0"/>
        <w:jc w:val="left"/>
        <w:rPr/>
      </w:pPr>
      <w:r>
        <w:rPr/>
        <w:t>“</w:t>
      </w:r>
      <w:r>
        <w:rPr>
          <w:rFonts w:ascii="Times New Roman" w:hAnsi="Times New Roman"/>
          <w:i/>
          <w:sz w:val="20"/>
        </w:rPr>
        <w:t>Management Stockholders</w:t>
      </w:r>
      <w:r>
        <w:rPr>
          <w:rFonts w:ascii="Times New Roman" w:hAnsi="Times New Roman"/>
          <w:sz w:val="20"/>
        </w:rPr>
        <w:t xml:space="preserve">” means the members of management (and their Controlled Investment Affiliates and Immediate Family Members) of Sabre Holdings or any of its Subsidiaries who are investors in Sabre Holdings or any direct or indirect parent thereof (other than any Management Stockholders (or their Controlled Investment Affiliates or Immediate Family Members) who are not members of management as described in this definition on the Issue Date to the extent their beneficial ownership of Voting Stock (including that of their Controlled Investment Affiliates or Immediate Family Members), individually or collectively, would constitute a Change of Control were they not considered Management Stockholders).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with respect to any Person, the net income (loss) of such Person, determined in accordance with GAAP and before any reduction in respect of Preferred Stock dividends. </w:t>
      </w:r>
    </w:p>
    <w:p>
      <w:pPr>
        <w:pStyle w:val="TextBody"/>
        <w:bidi w:val="0"/>
        <w:spacing w:before="240" w:after="0"/>
        <w:jc w:val="left"/>
        <w:rPr/>
      </w:pPr>
      <w:r>
        <w:rPr/>
        <w:t>“</w:t>
      </w:r>
      <w:r>
        <w:rPr>
          <w:rFonts w:ascii="Times New Roman" w:hAnsi="Times New Roman"/>
          <w:i/>
          <w:sz w:val="20"/>
        </w:rPr>
        <w:t>Net Proceeds</w:t>
      </w:r>
      <w:r>
        <w:rPr>
          <w:rFonts w:ascii="Times New Roman" w:hAnsi="Times New Roman"/>
          <w:sz w:val="20"/>
        </w:rPr>
        <w:t xml:space="preserve">” means the aggregate cash or Cash Equivalents proceeds received by a Restricted Party in respect of any Asset Sale, including any cash or Cash Equivalents received upon the sale or other disposition of any Designated Non-Cash Consideration received in any Asset Sale, net of the direct costs relating to such Asset Sale and the sale or disposition of such Designated Non-Cash Consideration, including legal, accounting and investment banking fees, payments made in order to obtain a necessary consent or required by applicable law, and brokerage and sales commissions, any relocation expenses incurred as a result thereof, other fees and expenses, including title and recordation expenses, taxes paid or estimated to be payable as a result thereof, amounts required to be applied to the repayment of principal, premium, if any, and interest on Indebtedness secured by a Lien on such assets and required (other than required by clause (1) of Section 4.10(b) hereof) to be paid as a result of such transaction (or in the case of Asset Sales of Collateral, which Senior Indebtedness shall be secured by a Lien on such Collateral that has priority over the Lien securing the Notes Obligations) and any deduction of appropriate amounts to be provided by the applicable Restricted Party as a reserve in accordance with GAAP against any liabilities associated with the asset disposed of in such transaction and retained by such Restricted Party after such sale or other disposition thereof, including pension and other post-employment benefit liabilities and liabilities related to environmental matters or against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obligations associated with such transaction and of a pro rata portion of the Net Proceeds attributable to minority interests in a Restricted Subsidiary in connection with a disposition by, or of Capital Stock of, a Restricted Subsidiary that is not a Wholly- Owned Subsidiary to the extent such Net Proceeds are not available for application by the Restricted Party. </w:t>
      </w:r>
    </w:p>
    <w:p>
      <w:pPr>
        <w:pStyle w:val="TextBody"/>
        <w:bidi w:val="0"/>
        <w:spacing w:before="240" w:after="0"/>
        <w:jc w:val="left"/>
        <w:rPr/>
      </w:pPr>
      <w:r>
        <w:rPr/>
        <w:t>“</w:t>
      </w:r>
      <w:r>
        <w:rPr>
          <w:rFonts w:ascii="Times New Roman" w:hAnsi="Times New Roman"/>
          <w:i/>
          <w:sz w:val="20"/>
        </w:rPr>
        <w:t>New Intercompany Loan</w:t>
      </w:r>
      <w:r>
        <w:rPr>
          <w:rFonts w:ascii="Times New Roman" w:hAnsi="Times New Roman"/>
          <w:sz w:val="20"/>
        </w:rPr>
        <w:t xml:space="preserve">” means the intercompany loan agreement dated as of the Issue Date, among Sabre GLBL, as the borrower, Sabre Holdings and the other subsidiary guarantors party thereto, the Company, as lender, and Wilmington Trust, National Association, as administrative and collateral agent, as amended or supplemented from time to time. </w:t>
      </w:r>
    </w:p>
    <w:p>
      <w:pPr>
        <w:pStyle w:val="TextBody"/>
        <w:bidi w:val="0"/>
        <w:spacing w:before="240" w:after="0"/>
        <w:jc w:val="left"/>
        <w:rPr/>
      </w:pPr>
      <w:r>
        <w:rPr/>
        <w:t>“</w:t>
      </w:r>
      <w:r>
        <w:rPr>
          <w:rFonts w:ascii="Times New Roman" w:hAnsi="Times New Roman"/>
          <w:i/>
          <w:sz w:val="20"/>
        </w:rPr>
        <w:t>Non-U.S. Person</w:t>
      </w:r>
      <w:r>
        <w:rPr>
          <w:rFonts w:ascii="Times New Roman" w:hAnsi="Times New Roman"/>
          <w:sz w:val="20"/>
        </w:rPr>
        <w:t xml:space="preserve">” means a Person who is not a U.S. Person. </w:t>
      </w:r>
    </w:p>
    <w:p>
      <w:pPr>
        <w:pStyle w:val="TextBody"/>
        <w:bidi w:val="0"/>
        <w:spacing w:before="240" w:after="0"/>
        <w:jc w:val="left"/>
        <w:rPr/>
      </w:pPr>
      <w:r>
        <w:rPr/>
        <w:t>“</w:t>
      </w:r>
      <w:r>
        <w:rPr>
          <w:rFonts w:ascii="Times New Roman" w:hAnsi="Times New Roman"/>
          <w:i/>
          <w:sz w:val="20"/>
        </w:rPr>
        <w:t>Notes</w:t>
      </w:r>
      <w:r>
        <w:rPr>
          <w:rFonts w:ascii="Times New Roman" w:hAnsi="Times New Roman"/>
          <w:sz w:val="20"/>
        </w:rPr>
        <w:t xml:space="preserve">” has the meaning assigned to it in the preamble to this Indenture. </w:t>
      </w:r>
    </w:p>
    <w:p>
      <w:pPr>
        <w:pStyle w:val="TextBody"/>
        <w:bidi w:val="0"/>
        <w:spacing w:before="240" w:after="0"/>
        <w:jc w:val="left"/>
        <w:rPr/>
      </w:pPr>
      <w:r>
        <w:rPr/>
        <w:t>“</w:t>
      </w:r>
      <w:r>
        <w:rPr>
          <w:rFonts w:ascii="Times New Roman" w:hAnsi="Times New Roman"/>
          <w:i/>
          <w:sz w:val="20"/>
        </w:rPr>
        <w:t>Notes Obligations</w:t>
      </w:r>
      <w:r>
        <w:rPr>
          <w:rFonts w:ascii="Times New Roman" w:hAnsi="Times New Roman"/>
          <w:sz w:val="20"/>
        </w:rPr>
        <w:t xml:space="preserve">” means Obligations in respect of the Notes and this Indenture, including for the avoidance of doubt, Obligations in respect of Guarantees thereof.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Chairman of the board of directors (or a similar governing body), the Chief Executive Officer, the Chief Financial Officer, the President, any Executive Vice President, Senior Vice President or Vice President, the Treasurer or the Secretary of a Person.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on behalf of a Person by an Officer of such Person, who must be an executive officer, a financial officer, the treasurer or an accounting officer of such Person that meets the requirements of Section 13.04 hereof.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from legal counsel who is reasonably acceptable to the Trustee, that meets the requirements of Section 13.04 hereof. The counsel may be an employee of or counsel to the Company.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means, with respect to the Depositary, Euroclear or Clearstream, a Person who has an account with the Depositary, Euroclear or Clearstream, respectively (and, with respect to DTC, shall include Euroclear and Clearstream).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Parallel Debt</w:t>
      </w:r>
      <w:r>
        <w:rPr>
          <w:rFonts w:ascii="Times New Roman" w:hAnsi="Times New Roman"/>
          <w:sz w:val="20"/>
        </w:rPr>
        <w:t xml:space="preserve">” means in relation to an Underlying Debt an obligation to pay to the Collateral Agent and/or Trustee (as applicable) an amount equal to (and in the same currency as) the amount of the Underlying Debt. </w:t>
      </w:r>
    </w:p>
    <w:p>
      <w:pPr>
        <w:pStyle w:val="TextBody"/>
        <w:bidi w:val="0"/>
        <w:spacing w:before="240" w:after="0"/>
        <w:jc w:val="left"/>
        <w:rPr/>
      </w:pPr>
      <w:r>
        <w:rPr/>
        <w:t>“</w:t>
      </w:r>
      <w:r>
        <w:rPr>
          <w:rFonts w:ascii="Times New Roman" w:hAnsi="Times New Roman"/>
          <w:i/>
          <w:sz w:val="20"/>
        </w:rPr>
        <w:t>Permitted Asset Swap</w:t>
      </w:r>
      <w:r>
        <w:rPr>
          <w:rFonts w:ascii="Times New Roman" w:hAnsi="Times New Roman"/>
          <w:sz w:val="20"/>
        </w:rPr>
        <w:t xml:space="preserve">” means the substantially concurrent purchase and sale or exchange of Related Business Assets or a combination of Related Business Assets and Cash Equivalents between any Restricted Party and another Person that is not a Restricted Party; </w:t>
      </w:r>
      <w:r>
        <w:rPr>
          <w:rFonts w:ascii="Times New Roman" w:hAnsi="Times New Roman"/>
          <w:i/>
          <w:sz w:val="20"/>
        </w:rPr>
        <w:t xml:space="preserve">provided </w:t>
      </w:r>
      <w:r>
        <w:rPr>
          <w:rFonts w:ascii="Times New Roman" w:hAnsi="Times New Roman"/>
          <w:sz w:val="20"/>
        </w:rPr>
        <w:t xml:space="preserve">that any Cash Equivalents received must be applied in accordance with Section 4.10 hereof; </w:t>
      </w:r>
      <w:r>
        <w:rPr>
          <w:rFonts w:ascii="Times New Roman" w:hAnsi="Times New Roman"/>
          <w:i/>
          <w:sz w:val="20"/>
        </w:rPr>
        <w:t>provided</w:t>
      </w:r>
      <w:r>
        <w:rPr>
          <w:rFonts w:ascii="Times New Roman" w:hAnsi="Times New Roman"/>
          <w:sz w:val="20"/>
        </w:rPr>
        <w:t xml:space="preserve"> further that the assets received are pledged as Collateral to the extent required by the Security Documents to the extent that the assets disposed of constituted Collateral. </w:t>
      </w:r>
    </w:p>
    <w:p>
      <w:pPr>
        <w:pStyle w:val="TextBody"/>
        <w:bidi w:val="0"/>
        <w:spacing w:before="240" w:after="0"/>
        <w:jc w:val="left"/>
        <w:rPr/>
      </w:pPr>
      <w:r>
        <w:rPr/>
        <w:t>“</w:t>
      </w:r>
      <w:r>
        <w:rPr>
          <w:rFonts w:ascii="Times New Roman" w:hAnsi="Times New Roman"/>
          <w:i/>
          <w:sz w:val="20"/>
        </w:rPr>
        <w:t>Permitted Holders</w:t>
      </w:r>
      <w:r>
        <w:rPr>
          <w:rFonts w:ascii="Times New Roman" w:hAnsi="Times New Roman"/>
          <w:sz w:val="20"/>
        </w:rPr>
        <w:t xml:space="preserve">” means each of (i) Sabre Corporation or any wholly-owned direct or indirect Subsidiary thereof and (ii) any direct or indirect holding company for Equity Interests of the Company, the beneficial owners of whose Voting Stock would not have caused a Change of Control if such beneficial owners had directly held the Voting Stock of the Company. Any Person or group whose acquisition of beneficial ownership constitutes a Change of Control in respect of which a Change of Control Offer is made in accordance with the requirements of this Indenture will thereafter, together with its Affiliates, constitute an additional Permitted Holder. </w:t>
      </w:r>
    </w:p>
    <w:p>
      <w:pPr>
        <w:pStyle w:val="TextBody"/>
        <w:bidi w:val="0"/>
        <w:spacing w:before="240" w:after="0"/>
        <w:jc w:val="left"/>
        <w:rPr/>
      </w:pPr>
      <w:r>
        <w:rPr/>
        <w:t>“</w:t>
      </w:r>
      <w:r>
        <w:rPr>
          <w:rFonts w:ascii="Times New Roman" w:hAnsi="Times New Roman"/>
          <w:sz w:val="20"/>
        </w:rPr>
        <w:t xml:space="preserve">Permitted Investments” means: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a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by a Restricted Party in a Person (including, to the extent constituting an Investment, in assets of a Person that represent substantially all of its assets or a division, business unit or product line, including research and development and related assets in respect of any product) that is engaged directly or through entities that will be Restricted Subsidiaries in a Similar Business if as a result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(a) such Person becomes a Restricted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a Restricted Party,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any Investment held by such Person; </w:t>
      </w:r>
      <w:r>
        <w:rPr>
          <w:rFonts w:ascii="Times New Roman" w:hAnsi="Times New Roman"/>
          <w:i/>
          <w:sz w:val="20"/>
        </w:rPr>
        <w:t xml:space="preserve">provided </w:t>
      </w:r>
      <w:r>
        <w:rPr>
          <w:rFonts w:ascii="Times New Roman" w:hAnsi="Times New Roman"/>
          <w:sz w:val="20"/>
        </w:rPr>
        <w:t xml:space="preserve">that such Investment was not acquired by such Person in contemplation of such acquisition, merger, amalgamation, consolidation or transfer; </w:t>
      </w:r>
    </w:p>
    <w:p>
      <w:pPr>
        <w:pStyle w:val="TextBody"/>
        <w:bidi w:val="0"/>
        <w:spacing w:before="120" w:after="0"/>
        <w:jc w:val="left"/>
        <w:rPr>
          <w:rFonts w:ascii="Times New Roman" w:hAnsi="Times New Roman"/>
          <w:sz w:val="20"/>
        </w:rPr>
      </w:pPr>
      <w:r>
        <w:rPr>
          <w:rFonts w:ascii="Times New Roman" w:hAnsi="Times New Roman"/>
          <w:sz w:val="20"/>
        </w:rPr>
        <w:t xml:space="preserve">(4) any Investment in securities or other assets not constituting Cash Equivalents or Investment Grade Securities and received in connection with an Asset Sale made pursuant to Section 4.10(a) hereof or any other disposition of assets not constituting an Asset Sale; </w:t>
      </w:r>
    </w:p>
    <w:p>
      <w:pPr>
        <w:pStyle w:val="TextBody"/>
        <w:bidi w:val="0"/>
        <w:spacing w:before="120" w:after="0"/>
        <w:jc w:val="left"/>
        <w:rPr>
          <w:rFonts w:ascii="Times New Roman" w:hAnsi="Times New Roman"/>
          <w:sz w:val="20"/>
        </w:rPr>
      </w:pPr>
      <w:r>
        <w:rPr>
          <w:rFonts w:ascii="Times New Roman" w:hAnsi="Times New Roman"/>
          <w:sz w:val="20"/>
        </w:rPr>
        <w:t xml:space="preserve">(5) any Investment existing on the Issue Date or made pursuant to binding commitments in effect on the Issue Date or an Investment consisting of any extension, modification or renewal of any such Investment or binding commitment existing on the Issue Date; provided that the amount of any such Investment may be increased in such extension, modification or renewal only (a) as required by the terms of such Investment or binding commitment as in existence on the Issue Date (including as a result of the accrual or accretion of interest or original issue discount or the issuance of pay-in-kind securities) or (b) as otherwise permitted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any Investment: </w:t>
      </w:r>
    </w:p>
    <w:p>
      <w:pPr>
        <w:pStyle w:val="TextBody"/>
        <w:bidi w:val="0"/>
        <w:spacing w:before="120" w:after="0"/>
        <w:jc w:val="left"/>
        <w:rPr>
          <w:rFonts w:ascii="Times New Roman" w:hAnsi="Times New Roman"/>
          <w:sz w:val="20"/>
        </w:rPr>
      </w:pPr>
      <w:r>
        <w:rPr>
          <w:rFonts w:ascii="Times New Roman" w:hAnsi="Times New Roman"/>
          <w:sz w:val="20"/>
        </w:rPr>
        <w:t xml:space="preserve">(a) consisting of extensions of credit in the nature of accounts receivable or notes receivable arising from the grant of trade credit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in exchange for any other Investment or accounts receivable held by a Restricted Party in connection with or as a result of a bankruptcy, workout, reorganization or recapitalization of the Company of such other Investment or accounts receivable (including any trade creditor or customer); or </w:t>
      </w:r>
    </w:p>
    <w:p>
      <w:pPr>
        <w:pStyle w:val="TextBody"/>
        <w:bidi w:val="0"/>
        <w:spacing w:before="120" w:after="0"/>
        <w:jc w:val="left"/>
        <w:rPr>
          <w:rFonts w:ascii="Times New Roman" w:hAnsi="Times New Roman"/>
          <w:sz w:val="20"/>
        </w:rPr>
      </w:pPr>
      <w:r>
        <w:rPr>
          <w:rFonts w:ascii="Times New Roman" w:hAnsi="Times New Roman"/>
          <w:sz w:val="20"/>
        </w:rPr>
        <w:t xml:space="preserve">(c) in satisfaction of judgments against other Persons; or </w:t>
      </w:r>
    </w:p>
    <w:p>
      <w:pPr>
        <w:pStyle w:val="TextBody"/>
        <w:bidi w:val="0"/>
        <w:spacing w:before="120" w:after="0"/>
        <w:jc w:val="left"/>
        <w:rPr>
          <w:rFonts w:ascii="Times New Roman" w:hAnsi="Times New Roman"/>
          <w:sz w:val="20"/>
        </w:rPr>
      </w:pPr>
      <w:r>
        <w:rPr>
          <w:rFonts w:ascii="Times New Roman" w:hAnsi="Times New Roman"/>
          <w:sz w:val="20"/>
        </w:rPr>
        <w:t xml:space="preserve">(d) as a result of a foreclosure by a Restricted Party with respect to any secured Investment or other transfer of title with respect to any secured Investment in default; </w:t>
      </w:r>
    </w:p>
    <w:p>
      <w:pPr>
        <w:pStyle w:val="TextBody"/>
        <w:bidi w:val="0"/>
        <w:spacing w:before="120" w:after="0"/>
        <w:jc w:val="left"/>
        <w:rPr>
          <w:rFonts w:ascii="Times New Roman" w:hAnsi="Times New Roman"/>
          <w:sz w:val="20"/>
        </w:rPr>
      </w:pPr>
      <w:r>
        <w:rPr>
          <w:rFonts w:ascii="Times New Roman" w:hAnsi="Times New Roman"/>
          <w:sz w:val="20"/>
        </w:rPr>
        <w:t xml:space="preserve">(7) Hedging Obligations permitted under clause (10) of Section 4.09(b) hereof; </w:t>
      </w:r>
    </w:p>
    <w:p>
      <w:pPr>
        <w:pStyle w:val="TextBody"/>
        <w:bidi w:val="0"/>
        <w:spacing w:before="120" w:after="0"/>
        <w:jc w:val="left"/>
        <w:rPr>
          <w:rFonts w:ascii="Times New Roman" w:hAnsi="Times New Roman"/>
          <w:sz w:val="20"/>
        </w:rPr>
      </w:pPr>
      <w:r>
        <w:rPr>
          <w:rFonts w:ascii="Times New Roman" w:hAnsi="Times New Roman"/>
          <w:sz w:val="20"/>
        </w:rPr>
        <w:t xml:space="preserve">(8) any Investment in a Similar Business taken together with all other Investments made pursuant to this clause (8) that are at that time outstanding, not to exceed $20,000,000; </w:t>
      </w:r>
    </w:p>
    <w:p>
      <w:pPr>
        <w:pStyle w:val="TextBody"/>
        <w:bidi w:val="0"/>
        <w:spacing w:before="120" w:after="0"/>
        <w:jc w:val="left"/>
        <w:rPr>
          <w:rFonts w:ascii="Times New Roman" w:hAnsi="Times New Roman"/>
          <w:sz w:val="20"/>
        </w:rPr>
      </w:pPr>
      <w:r>
        <w:rPr>
          <w:rFonts w:ascii="Times New Roman" w:hAnsi="Times New Roman"/>
          <w:sz w:val="20"/>
        </w:rPr>
        <w:t xml:space="preserve">(9) Investments the payment for which consists of Equity Interests (other than Disqualified Stock) of the Company, or any of its direct or indirect parent companies; </w:t>
      </w:r>
      <w:r>
        <w:rPr>
          <w:rFonts w:ascii="Times New Roman" w:hAnsi="Times New Roman"/>
          <w:i/>
          <w:sz w:val="20"/>
        </w:rPr>
        <w:t>provided</w:t>
      </w:r>
      <w:r>
        <w:rPr>
          <w:rFonts w:ascii="Times New Roman" w:hAnsi="Times New Roman"/>
          <w:sz w:val="20"/>
        </w:rPr>
        <w:t xml:space="preserve"> that such Equity Interests will not increase the amount available for Restricted Payments under Section 4.07 hereof; </w:t>
      </w:r>
    </w:p>
    <w:p>
      <w:pPr>
        <w:pStyle w:val="TextBody"/>
        <w:bidi w:val="0"/>
        <w:spacing w:before="120" w:after="0"/>
        <w:jc w:val="left"/>
        <w:rPr>
          <w:rFonts w:ascii="Times New Roman" w:hAnsi="Times New Roman"/>
          <w:sz w:val="20"/>
        </w:rPr>
      </w:pPr>
      <w:r>
        <w:rPr>
          <w:rFonts w:ascii="Times New Roman" w:hAnsi="Times New Roman"/>
          <w:sz w:val="20"/>
        </w:rPr>
        <w:t xml:space="preserve">(10) guarantees of Indebtedness permitted under Section 4.09 hereof and the creation of Liens on the assets of a Restricted Party in compliance with Section 4.12 hereof;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to the extent it constitutes an Investment that is permitted by and made in accordance with the provisions of Section 4.11(b) hereof (except transactions described in clauses (2) and (5) of Section 4.11(b) hereof); </w:t>
      </w:r>
    </w:p>
    <w:p>
      <w:pPr>
        <w:pStyle w:val="TextBody"/>
        <w:bidi w:val="0"/>
        <w:spacing w:before="120" w:after="0"/>
        <w:jc w:val="left"/>
        <w:rPr>
          <w:rFonts w:ascii="Times New Roman" w:hAnsi="Times New Roman"/>
          <w:sz w:val="20"/>
        </w:rPr>
      </w:pPr>
      <w:r>
        <w:rPr>
          <w:rFonts w:ascii="Times New Roman" w:hAnsi="Times New Roman"/>
          <w:sz w:val="20"/>
        </w:rPr>
        <w:t xml:space="preserve">(12) Investments consisting of purchases or other acquisitions of inventory, supplies, material or equipment or the licensing or contribution of intellectual property pursuant to joint marketing arrangements with other Persons; </w:t>
      </w:r>
    </w:p>
    <w:p>
      <w:pPr>
        <w:pStyle w:val="TextBody"/>
        <w:bidi w:val="0"/>
        <w:spacing w:before="120" w:after="0"/>
        <w:jc w:val="left"/>
        <w:rPr>
          <w:rFonts w:ascii="Times New Roman" w:hAnsi="Times New Roman"/>
          <w:sz w:val="20"/>
        </w:rPr>
      </w:pPr>
      <w:r>
        <w:rPr>
          <w:rFonts w:ascii="Times New Roman" w:hAnsi="Times New Roman"/>
          <w:sz w:val="20"/>
        </w:rPr>
        <w:t xml:space="preserve">(13) additional Investments, taken together with all other Investments made pursuant to this clause (13) that are at that time outstanding (without giving effect to the sale of an Unrestricted Subsidiary to the extent the proceeds of such sale do not consist of cash or have not been subsequently sold or transferred for cash or marketable securities), not to exceed $20,000,000;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(14)(a) Investments in or relating to a Securitization Subsidiary that, in the good faith determination of the Company, are necessary or advisable to effect any Qualified Securitization Financing or any repurchase obligation in connection therewith and (b) distributions or payments of Securitization Fees and purchases of Securitization Assets pursuant to a Securitization Repurchase Obligation in connection with a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(15) advances to, or guarantees of Indebtedness of, employees not in excess of $5,000,000 outstanding at any one time,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(16) loans and advances to employees, directors, officers, managers, distributors and consultants of a Restricted Party for business-related travel, entertainment, moving and analogous ordinary business purposes or payroll advances, in each case incurred in the ordinary course of business or consistent with past practices or to fund such Person’s purchase of Equity Interests of a Restricted Party or any direct or indirect parent company thereof; </w:t>
      </w:r>
    </w:p>
    <w:p>
      <w:pPr>
        <w:pStyle w:val="TextBody"/>
        <w:bidi w:val="0"/>
        <w:spacing w:before="120" w:after="0"/>
        <w:jc w:val="left"/>
        <w:rPr>
          <w:rFonts w:ascii="Times New Roman" w:hAnsi="Times New Roman"/>
          <w:sz w:val="20"/>
        </w:rPr>
      </w:pPr>
      <w:r>
        <w:rPr>
          <w:rFonts w:ascii="Times New Roman" w:hAnsi="Times New Roman"/>
          <w:sz w:val="20"/>
        </w:rPr>
        <w:t xml:space="preserve">(17) advances, loans or extensions of trade credit in the ordinary course of business by a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(18) any Investment in any Subsidiary or any joint venture in connection with intercompany cash management arrangements or related activities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(19) Investments consisting of purchases and acquisitions of assets or services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(20) Investments made in the ordinary course of business in connection with obtaining, maintaining or renewing client contacts and loans or advances made to distributors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(21) Investments in prepaid expenses, negotiable instruments held for collection and lease, utility and workers’ compensation, performance and similar deposits entered into as a result of the operations of the business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in the ordinary course of business consisting of Uniform Commercial Code Article 3 endorsements for collection of deposit and Article 4 customary trade arrangements with customers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(23) [reserved];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to the extent that payment for such Investments is made solely with Equity Interests of the Company or any other direct or indirect parent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(25) Investments made in the ordinary course of business in connection with obtaining, maintaining or renewing client contracts;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Investments in any Unrestricted Subsidiary or joint venture (regardless of the legal form) having an aggregate fair market value, taken together with all other Investments made pursuant to this clause (26) that are at that time outstanding, do not exceed in the aggregate at any time outstanding $35,000,000; </w:t>
      </w:r>
      <w:r>
        <w:rPr>
          <w:rFonts w:ascii="Times New Roman" w:hAnsi="Times New Roman"/>
          <w:i/>
          <w:sz w:val="20"/>
        </w:rPr>
        <w:t>provided</w:t>
      </w:r>
      <w:r>
        <w:rPr>
          <w:rFonts w:ascii="Times New Roman" w:hAnsi="Times New Roman"/>
          <w:sz w:val="20"/>
        </w:rPr>
        <w:t xml:space="preserve">, that such Investment is made for a bona fide business purpose.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pledges, deposits or security by such Person under workers’ compensation laws, unemployment insurance, employers’ health tax, and other social security laws or similar legislation or other insurance related obligations (including, but not limited to, in respect of deductibles, self-insured retention amounts and premiums and adjustments thereto) or indemnification obligations of (including obligations in respect of letters of credit or bank guarantees for the benefit of) insurance carriers providing property, casualty or liability insurance,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 Liens imposed by law, such as landlords’, carriers’, warehousemen’s, materialmen’s, repairmen’s, construction contractors’, mechanics’ Liens or other like Liens, so long as, in each case, such Liens arise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other governmental charges not yet overdue for a period of more than 30 days or not yet payable or subject to penalties for nonpayment or which are being contested in good faith by appropriate proceedings for which appropriate reserves have been established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(4) Liens in favor of issuers of performance, surety, bid, indemnity, warranty, release, appeal or similar bonds or with respect to other regulatory requirements or letters of credit or bankers’ acceptances issued, and completion guarantees provided for, in each case, issued pursuant to the request of and for the account of such Person in the ordinary course of its business or consistent with past practice prior to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(5) survey exceptions, encumbrances, ground leases, easements, covenants, encroachments, protrusions or reservations of, or rights of others for, licenses, rights-of-way, servitudes, sewers, electric lines, drains, telegraph, telephone and cable television lines, gas and oil pipelines and other similar purposes, or zoning, building codes or other restrictions (including defects and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and adversely impair their use in the operation of the business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Liens securing Obligations relating to any Indebtedness permitted to be incurred pursuant to clause (4), (12) or (13) of Section 4.09(b) hereof; </w:t>
      </w:r>
      <w:r>
        <w:rPr>
          <w:rFonts w:ascii="Times New Roman" w:hAnsi="Times New Roman"/>
          <w:i/>
          <w:sz w:val="20"/>
        </w:rPr>
        <w:t>provided</w:t>
      </w:r>
      <w:r>
        <w:rPr>
          <w:rFonts w:ascii="Times New Roman" w:hAnsi="Times New Roman"/>
          <w:sz w:val="20"/>
        </w:rPr>
        <w:t xml:space="preserve"> that (a) Liens securing Obligations relating to any Indebtedness, Disqualified Stock or Preferred Stock permitted to be incurred pursuant to clause (13) relate only to Obligations relating to Refinancing Indebtedness that (x) is secured by Liens on the same assets as the assets securing the Refinancing Indebtedness or (y) extends, replaces, refunds, refinances, renews or defeases Indebtedness incurred or Disqualified Stock or Preferred Stock issued under clause (4) or (12) of Section 4.09(b) hereof, and (b) Liens securing Obligations relating to any Indebtedness, Disqualified Stock or Preferred Stock to be incurred pursuant to clause (4) of Section 4.09(b) hereof extend only to the assets so purchased, leased or improved; </w:t>
      </w:r>
    </w:p>
    <w:p>
      <w:pPr>
        <w:pStyle w:val="TextBody"/>
        <w:bidi w:val="0"/>
        <w:spacing w:before="120" w:after="0"/>
        <w:jc w:val="left"/>
        <w:rPr>
          <w:rFonts w:ascii="Times New Roman" w:hAnsi="Times New Roman"/>
          <w:sz w:val="20"/>
        </w:rPr>
      </w:pPr>
      <w:r>
        <w:rPr>
          <w:rFonts w:ascii="Times New Roman" w:hAnsi="Times New Roman"/>
          <w:sz w:val="20"/>
        </w:rPr>
        <w:t xml:space="preserve">(7) Liens existing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(8) Liens on property or shares of stock or other assets of a Person at the time such Person becomes a Subsidiary; </w:t>
      </w:r>
      <w:r>
        <w:rPr>
          <w:rFonts w:ascii="Times New Roman" w:hAnsi="Times New Roman"/>
          <w:i/>
          <w:sz w:val="20"/>
        </w:rPr>
        <w:t>provided</w:t>
      </w:r>
      <w:r>
        <w:rPr>
          <w:rFonts w:ascii="Times New Roman" w:hAnsi="Times New Roman"/>
          <w:sz w:val="20"/>
        </w:rPr>
        <w:t xml:space="preserve"> that such Liens are not created or incurred in connection with, or in contemplation of, such other Person becoming such a Subsidiary; provided further that such Liens may not extend to any other property or other assets owned by a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(9) Liens on property or other assets at the time a Restricted Party acquired the property or such other assets, including any acquisition by means of a merger, amalgamation or consolidation with or into a Restricted Party; </w:t>
      </w:r>
      <w:r>
        <w:rPr>
          <w:rFonts w:ascii="Times New Roman" w:hAnsi="Times New Roman"/>
          <w:i/>
          <w:sz w:val="20"/>
        </w:rPr>
        <w:t>provided</w:t>
      </w:r>
      <w:r>
        <w:rPr>
          <w:rFonts w:ascii="Times New Roman" w:hAnsi="Times New Roman"/>
          <w:sz w:val="20"/>
        </w:rPr>
        <w:t xml:space="preserve"> that such Liens are not created or incurred in connection with, or in contemplation of, such acquisition, amalgamation, merger or consolidation; </w:t>
      </w:r>
      <w:r>
        <w:rPr>
          <w:rFonts w:ascii="Times New Roman" w:hAnsi="Times New Roman"/>
          <w:i/>
          <w:sz w:val="20"/>
        </w:rPr>
        <w:t>provided</w:t>
      </w:r>
      <w:r>
        <w:rPr>
          <w:rFonts w:ascii="Times New Roman" w:hAnsi="Times New Roman"/>
          <w:sz w:val="20"/>
        </w:rPr>
        <w:t xml:space="preserve"> further that the Liens may not extend to any other property owned by a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(10) Liens securing Obligations relating to any Indebtedness or other obligations of a Restricted Party owing to another Restricted Party permitted to be incurred in accordance with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(11) Liens securing Hedging Obligations; </w:t>
      </w:r>
      <w:r>
        <w:rPr>
          <w:rFonts w:ascii="Times New Roman" w:hAnsi="Times New Roman"/>
          <w:i/>
          <w:sz w:val="20"/>
        </w:rPr>
        <w:t>provided</w:t>
      </w:r>
      <w:r>
        <w:rPr>
          <w:rFonts w:ascii="Times New Roman" w:hAnsi="Times New Roman"/>
          <w:sz w:val="20"/>
        </w:rPr>
        <w:t xml:space="preserve"> that, with respect to Hedging Obligations relating to Indebtedness, such Indebtedness is, and is permitted to be under this Indenture, secured by a Lien on the same property securing such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(12) Liens on specific items of inventory or other goods and proceeds of any Person securing such Person’s accounts payable or similar trade obligations in respect of bankers’ acceptances or trade letters of credit issued or created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(13) leases, subleases, licenses or sublicenses granted to others in the ordinary course of business (including the provision of software under an open-source license) which do not (a) materially interfere with the operation of the business of the Restricted Parties, taken as a whole, or (b)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(14) Liens arising from Uniform Commercial Code (or equivalent statute) financing statement filings regarding operating leases or consignments entered into by a Restricted Party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Liens in favor of a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(16) Liens on equipment of a Restricted Party granted in the ordinary course of business to clients of a Restricted Party,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(17) Liens on accounts receivable, Securitization Assets and related assets incurred in connection with a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(7), (8) and (9); </w:t>
      </w:r>
      <w:r>
        <w:rPr>
          <w:rFonts w:ascii="Times New Roman" w:hAnsi="Times New Roman"/>
          <w:i/>
          <w:sz w:val="20"/>
        </w:rPr>
        <w:t>provided</w:t>
      </w:r>
      <w:r>
        <w:rPr>
          <w:rFonts w:ascii="Times New Roman" w:hAnsi="Times New Roman"/>
          <w:sz w:val="20"/>
        </w:rPr>
        <w:t xml:space="preserve"> that (a) such new Lien shall be limited to all or part of the same property that secured the original Lien (plus improvements on such property) and proceeds and products thereof and (b) the Indebtedness secured by such Lien at such time is not increased to any amount greater than the sum of (i) the outstanding principal amount of the Indebtedness described under clauses (7), (8) and (9) at the time the original Lien became a Permitted Lien under this Indenture and (ii) an amount necessary to pay any fees and expenses, including premiums and accrued and unpaid interest, related to such modification, refinancing, refunding, extension, renewal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(19) deposits made or other security provided in the ordinary course of business to secure liability to insurance carriers; </w:t>
      </w:r>
    </w:p>
    <w:p>
      <w:pPr>
        <w:pStyle w:val="TextBody"/>
        <w:bidi w:val="0"/>
        <w:spacing w:before="120" w:after="0"/>
        <w:jc w:val="left"/>
        <w:rPr>
          <w:rFonts w:ascii="Times New Roman" w:hAnsi="Times New Roman"/>
          <w:sz w:val="20"/>
        </w:rPr>
      </w:pPr>
      <w:r>
        <w:rPr>
          <w:rFonts w:ascii="Times New Roman" w:hAnsi="Times New Roman"/>
          <w:sz w:val="20"/>
        </w:rPr>
        <w:t xml:space="preserve">(20) other Liens securing obligations in an aggregate amount at any one time outstanding not to exceed $10,000,000; </w:t>
      </w:r>
    </w:p>
    <w:p>
      <w:pPr>
        <w:pStyle w:val="TextBody"/>
        <w:bidi w:val="0"/>
        <w:spacing w:before="120" w:after="0"/>
        <w:jc w:val="left"/>
        <w:rPr>
          <w:rFonts w:ascii="Times New Roman" w:hAnsi="Times New Roman"/>
          <w:sz w:val="20"/>
        </w:rPr>
      </w:pPr>
      <w:r>
        <w:rPr>
          <w:rFonts w:ascii="Times New Roman" w:hAnsi="Times New Roman"/>
          <w:sz w:val="20"/>
        </w:rPr>
        <w:t xml:space="preserve">(21) Liens arising from judgments or orders for the payment of money not constituting an Event of Default under clause (5) of Section 6.01 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(23) Liens (a) of a collection bank arising under applicable law, including the Uniform Commercial Code on items in the course of collection, (b) attaching to commodity or securities trading accounts or other commodity or securities brokerage accounts incurred in the ordinary course of business and (c)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or financial institution’s general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(24) Liens deemed to exist in connection with Investments in repurchase agreements permitted under Section 4.09 hereof; </w:t>
      </w:r>
      <w:r>
        <w:rPr>
          <w:rFonts w:ascii="Times New Roman" w:hAnsi="Times New Roman"/>
          <w:i/>
          <w:sz w:val="20"/>
        </w:rPr>
        <w:t>provided</w:t>
      </w:r>
      <w:r>
        <w:rPr>
          <w:rFonts w:ascii="Times New Roman" w:hAnsi="Times New Roman"/>
          <w:sz w:val="20"/>
        </w:rPr>
        <w:t xml:space="preserve"> that such Liens do not extend to any assets other than those that are the subject of such repurchase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Liens encumbering reasonable customary deposits and margin deposits and similar Liens attaching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(26) Liens that are contractual rights of set-off (a) relating to the establishment of depository relations with banks or other financial institutions not given in connection with the issuance of Indebtedness, (b) relating to pooled deposit or sweep accounts of a Restricted Party to permit satisfaction of overdraft or similar obligations incurred in the ordinary course of business of such Restricted Party or (c) relating to purchase orders and other agreements entered into with customers of a Restricted Party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Liens securing obligations owed by a Restricted Party in respect of any overdraft and related liabilities arising from treasury, depository and cash management services or any automated clearing house transfers of funds; </w:t>
      </w:r>
    </w:p>
    <w:p>
      <w:pPr>
        <w:pStyle w:val="TextBody"/>
        <w:bidi w:val="0"/>
        <w:spacing w:before="120" w:after="0"/>
        <w:jc w:val="left"/>
        <w:rPr>
          <w:rFonts w:ascii="Times New Roman" w:hAnsi="Times New Roman"/>
          <w:sz w:val="20"/>
        </w:rPr>
      </w:pPr>
      <w:r>
        <w:rPr>
          <w:rFonts w:ascii="Times New Roman" w:hAnsi="Times New Roman"/>
          <w:sz w:val="20"/>
        </w:rPr>
        <w:t xml:space="preserve">(28) any encumbrance or restriction (including put and call arrangements) with respect to capital stock of any joint venture or similar arrangement pursuant to any joint venture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(29) Liens arising out of conditional sale, title retention, consignment or similar arrangements for the sale or purchase of goods entered into by a Restricted Party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(30) Liens solely on any cash earnest money deposits made by a Restricted Party in connection with any letter of intent or purchase agreement permitted; </w:t>
      </w:r>
    </w:p>
    <w:p>
      <w:pPr>
        <w:pStyle w:val="TextBody"/>
        <w:bidi w:val="0"/>
        <w:spacing w:before="120" w:after="0"/>
        <w:jc w:val="left"/>
        <w:rPr>
          <w:rFonts w:ascii="Times New Roman" w:hAnsi="Times New Roman"/>
          <w:sz w:val="20"/>
        </w:rPr>
      </w:pPr>
      <w:r>
        <w:rPr>
          <w:rFonts w:ascii="Times New Roman" w:hAnsi="Times New Roman"/>
          <w:sz w:val="20"/>
        </w:rPr>
        <w:t xml:space="preserve">(31) ground leases in respect of real property on which facilities owned or leased by a Restricted Party are located; </w:t>
      </w:r>
    </w:p>
    <w:p>
      <w:pPr>
        <w:pStyle w:val="TextBody"/>
        <w:bidi w:val="0"/>
        <w:spacing w:before="120" w:after="0"/>
        <w:jc w:val="left"/>
        <w:rPr>
          <w:rFonts w:ascii="Times New Roman" w:hAnsi="Times New Roman"/>
          <w:sz w:val="20"/>
        </w:rPr>
      </w:pPr>
      <w:r>
        <w:rPr>
          <w:rFonts w:ascii="Times New Roman" w:hAnsi="Times New Roman"/>
          <w:sz w:val="20"/>
        </w:rPr>
        <w:t xml:space="preserve">(32) Liens on insurance policies and the proceeds thereof securing the financing of the premiums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(33) Liens on Capital Stock of an Unrestricted Subsidiary that secure Indebtedness or other obligations of such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(34) Liens on the assets of non-Guarantor Subsidiaries securing Indebtedness of such Subsidiaries that were permitted by the terms of this Indenture to be incurred; </w:t>
      </w:r>
    </w:p>
    <w:p>
      <w:pPr>
        <w:pStyle w:val="TextBody"/>
        <w:bidi w:val="0"/>
        <w:spacing w:before="120" w:after="0"/>
        <w:jc w:val="left"/>
        <w:rPr>
          <w:rFonts w:ascii="Times New Roman" w:hAnsi="Times New Roman"/>
          <w:sz w:val="20"/>
        </w:rPr>
      </w:pPr>
      <w:r>
        <w:rPr>
          <w:rFonts w:ascii="Times New Roman" w:hAnsi="Times New Roman"/>
          <w:sz w:val="20"/>
        </w:rPr>
        <w:t xml:space="preserve">(35) Liens arising solely from precautionary UCC financing statements or similar filings; </w:t>
      </w:r>
    </w:p>
    <w:p>
      <w:pPr>
        <w:pStyle w:val="TextBody"/>
        <w:bidi w:val="0"/>
        <w:spacing w:before="120" w:after="0"/>
        <w:jc w:val="left"/>
        <w:rPr>
          <w:rFonts w:ascii="Times New Roman" w:hAnsi="Times New Roman"/>
          <w:sz w:val="20"/>
        </w:rPr>
      </w:pPr>
      <w:r>
        <w:rPr>
          <w:rFonts w:ascii="Times New Roman" w:hAnsi="Times New Roman"/>
          <w:sz w:val="20"/>
        </w:rPr>
        <w:t xml:space="preserve">(36) Liens (including Liens on cash collateral) securing letters of credit in a currency other than dollars permitted under clause (5) of Section 4.09(b) hereof in an aggregate amount at any time outstanding not to exceed $10,000,000; </w:t>
      </w:r>
    </w:p>
    <w:p>
      <w:pPr>
        <w:pStyle w:val="TextBody"/>
        <w:bidi w:val="0"/>
        <w:spacing w:before="120" w:after="0"/>
        <w:jc w:val="left"/>
        <w:rPr>
          <w:rFonts w:ascii="Times New Roman" w:hAnsi="Times New Roman"/>
          <w:sz w:val="20"/>
        </w:rPr>
      </w:pPr>
      <w:r>
        <w:rPr>
          <w:rFonts w:ascii="Times New Roman" w:hAnsi="Times New Roman"/>
          <w:sz w:val="20"/>
        </w:rPr>
        <w:t xml:space="preserve">(37) the rights reserved or vested in any Person by the terms of any lease, license, franchise, grant or permit held by a Restricted Party thereof or by a statutory provision, to terminate any such lease, license, franchise, grant or permit, or to require annual or periodic payments as a condition to the continuance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security given to a public utility or any municipality or governmental authority when required by such utility or authority in connection with the operations of that Person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(39) Liens on LC Assets securing letters of credit, demand guarantees, bankers’ acceptances or similar obligations and reimbursement obligations in respect thereof; and </w:t>
      </w:r>
    </w:p>
    <w:p>
      <w:pPr>
        <w:pStyle w:val="TextBody"/>
        <w:bidi w:val="0"/>
        <w:spacing w:before="120" w:after="0"/>
        <w:jc w:val="left"/>
        <w:rPr>
          <w:rFonts w:ascii="Times New Roman" w:hAnsi="Times New Roman"/>
          <w:sz w:val="20"/>
        </w:rPr>
      </w:pPr>
      <w:r>
        <w:rPr>
          <w:rFonts w:ascii="Times New Roman" w:hAnsi="Times New Roman"/>
          <w:sz w:val="20"/>
        </w:rPr>
        <w:t xml:space="preserve">(40) (a) Liens securing Indebtedness and other Obligations permitted to be incurred under Credit Facilities, including any letter of credit facility relating thereto, that was incurred pursuant to clause (1) of Section 4.09(b) hereof; </w:t>
      </w:r>
    </w:p>
    <w:p>
      <w:pPr>
        <w:pStyle w:val="TextBody"/>
        <w:bidi w:val="0"/>
        <w:spacing w:before="120" w:after="0"/>
        <w:jc w:val="left"/>
        <w:rPr>
          <w:rFonts w:ascii="Times New Roman" w:hAnsi="Times New Roman"/>
          <w:sz w:val="20"/>
        </w:rPr>
      </w:pPr>
      <w:r>
        <w:rPr>
          <w:rFonts w:ascii="Times New Roman" w:hAnsi="Times New Roman"/>
          <w:sz w:val="20"/>
        </w:rPr>
        <w:t xml:space="preserve">(b) Liens securing the Notes issued on the Issue Date and replacement notes therefor (including any guarantees related to the foregoing); and </w:t>
      </w:r>
    </w:p>
    <w:p>
      <w:pPr>
        <w:pStyle w:val="TextBody"/>
        <w:bidi w:val="0"/>
        <w:spacing w:before="120" w:after="0"/>
        <w:jc w:val="left"/>
        <w:rPr>
          <w:rFonts w:ascii="Times New Roman" w:hAnsi="Times New Roman"/>
          <w:sz w:val="20"/>
        </w:rPr>
      </w:pPr>
      <w:r>
        <w:rPr>
          <w:rFonts w:ascii="Times New Roman" w:hAnsi="Times New Roman"/>
          <w:sz w:val="20"/>
        </w:rPr>
        <w:t xml:space="preserve">(c) Liens securing Additional First Lien Obligations or Junior Lien Obligations permitted to be incurred under clause (13) of Section 4.09(b) hereof, to the extent that such Additional First Lien Obligations or Junior Lien Obligations serve to extend, replace, refund, refinance, renew or defease First Lien Obligations or Junior Lien Obligations secured with a Lien incurred pursuant to subclause (b) of this clause (40); </w:t>
      </w:r>
      <w:r>
        <w:rPr>
          <w:rFonts w:ascii="Times New Roman" w:hAnsi="Times New Roman"/>
          <w:i/>
          <w:sz w:val="20"/>
        </w:rPr>
        <w:t>provided</w:t>
      </w:r>
      <w:r>
        <w:rPr>
          <w:rFonts w:ascii="Times New Roman" w:hAnsi="Times New Roman"/>
          <w:sz w:val="20"/>
        </w:rPr>
        <w:t xml:space="preserve"> that, in each case, on or before any such Indebtedness or other Obligations are incurred and secured with a Lien pursuant to this clause (40), such Indebtedness or other Obligations are designated, as the case may be, as “First Lien Obligations” under any applicable intercreditor agreement and the applicable First Lien Secured Parties with respect to such First Lien Obligations enter into such intercreditor agreement or as “Junior Lien Obligations” and the applicable Junior Lien Secured Parties enter into any applicable junior lien intercreditor agreement with respect to such Junior Lien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(41) any deemed security interest under section 12(3) of the Australian PPSA which does not secure payment or performance of an obligation.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the term “Indebtedness” shall be deemed to include interest on such Indebtedness. </w:t>
      </w:r>
    </w:p>
    <w:p>
      <w:pPr>
        <w:pStyle w:val="TextBody"/>
        <w:bidi w:val="0"/>
        <w:spacing w:before="240" w:after="0"/>
        <w:jc w:val="left"/>
        <w:rPr/>
      </w:pPr>
      <w:r>
        <w:rPr/>
        <w:t>“</w:t>
      </w:r>
      <w:r>
        <w:rPr>
          <w:rFonts w:ascii="Times New Roman" w:hAnsi="Times New Roman"/>
          <w:i/>
          <w:sz w:val="20"/>
        </w:rPr>
        <w:t>Permitted Reorganization</w:t>
      </w:r>
      <w:r>
        <w:rPr>
          <w:rFonts w:ascii="Times New Roman" w:hAnsi="Times New Roman"/>
          <w:sz w:val="20"/>
        </w:rPr>
        <w:t xml:space="preserve">” means any transaction or undertaking in connection with internal reorganizations or restructurings (including in connection with tax planning, tax reorganizations and other corporate reorganizations), so long as such Permitted Reorganization is not materially adverse to the Holders of the Notes (as determined by the Company in good faith).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Polish Guarantor</w:t>
      </w:r>
      <w:r>
        <w:rPr>
          <w:rFonts w:ascii="Times New Roman" w:hAnsi="Times New Roman"/>
          <w:sz w:val="20"/>
        </w:rPr>
        <w:t xml:space="preserve">” means Sabre Polska Sp. z.o.o. with its registered office in Kraków, at ul. Księdza Józefa Tischnera 8, 0-418 Kraków, entered in the register of entrepreneurs of the National Court Register maintained by the District Court for Kraków Śródmieście in Kraków, XI Commercial Division of the National Court Register under KRS number 0000052497, having a REGON number 357221300 and a NIP number 6772155817, with the share capital in the amount of PLN 2,650,000. </w:t>
      </w:r>
    </w:p>
    <w:p>
      <w:pPr>
        <w:pStyle w:val="TextBody"/>
        <w:bidi w:val="0"/>
        <w:spacing w:before="240" w:after="0"/>
        <w:jc w:val="left"/>
        <w:rPr/>
      </w:pPr>
      <w:r>
        <w:rPr/>
        <w:t>“</w:t>
      </w:r>
      <w:r>
        <w:rPr>
          <w:rFonts w:ascii="Times New Roman" w:hAnsi="Times New Roman"/>
          <w:i/>
          <w:sz w:val="20"/>
        </w:rPr>
        <w:t>Post-Closing Collateral</w:t>
      </w:r>
      <w:r>
        <w:rPr>
          <w:rFonts w:ascii="Times New Roman" w:hAnsi="Times New Roman"/>
          <w:sz w:val="20"/>
        </w:rPr>
        <w:t xml:space="preserve">” means the Collateral provided by the Post-Closing Guarantors on the Post-Closing Assumption Date. </w:t>
      </w:r>
    </w:p>
    <w:p>
      <w:pPr>
        <w:pStyle w:val="TextBody"/>
        <w:bidi w:val="0"/>
        <w:spacing w:before="240" w:after="0"/>
        <w:jc w:val="left"/>
        <w:rPr/>
      </w:pPr>
      <w:r>
        <w:rPr/>
        <w:t>“</w:t>
      </w:r>
      <w:r>
        <w:rPr>
          <w:rFonts w:ascii="Times New Roman" w:hAnsi="Times New Roman"/>
          <w:i/>
          <w:sz w:val="20"/>
        </w:rPr>
        <w:t>Post-Closing Security Documents</w:t>
      </w:r>
      <w:r>
        <w:rPr>
          <w:rFonts w:ascii="Times New Roman" w:hAnsi="Times New Roman"/>
          <w:sz w:val="20"/>
        </w:rPr>
        <w:t xml:space="preserve">” means the Security Documents entered into by the Post-Closing Guarantor in favor of the Collateral Agent for purposes of securing the Notes Obligations. </w:t>
      </w:r>
    </w:p>
    <w:p>
      <w:pPr>
        <w:pStyle w:val="TextBody"/>
        <w:bidi w:val="0"/>
        <w:spacing w:before="240" w:after="0"/>
        <w:jc w:val="left"/>
        <w:rPr/>
      </w:pPr>
      <w:r>
        <w:rPr/>
        <w:t>“</w:t>
      </w:r>
      <w:r>
        <w:rPr>
          <w:rFonts w:ascii="Times New Roman" w:hAnsi="Times New Roman"/>
          <w:i/>
          <w:sz w:val="20"/>
        </w:rPr>
        <w:t>Post-Closing Guarantors</w:t>
      </w:r>
      <w:r>
        <w:rPr>
          <w:rFonts w:ascii="Times New Roman" w:hAnsi="Times New Roman"/>
          <w:sz w:val="20"/>
        </w:rPr>
        <w:t xml:space="preserve">” means the foreign entities identified as “Post-Closing Foreign Guarantors” on Schedule IV to the Purchase Agreement. </w:t>
      </w:r>
    </w:p>
    <w:p>
      <w:pPr>
        <w:pStyle w:val="TextBody"/>
        <w:bidi w:val="0"/>
        <w:spacing w:before="240" w:after="0"/>
        <w:jc w:val="left"/>
        <w:rPr/>
      </w:pPr>
      <w:r>
        <w:rPr/>
        <w:t>“</w:t>
      </w:r>
      <w:r>
        <w:rPr>
          <w:rFonts w:ascii="Times New Roman" w:hAnsi="Times New Roman"/>
          <w:i/>
          <w:sz w:val="20"/>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240" w:after="0"/>
        <w:jc w:val="left"/>
        <w:rPr/>
      </w:pPr>
      <w:r>
        <w:rPr/>
        <w:t>“</w:t>
      </w:r>
      <w:r>
        <w:rPr>
          <w:rFonts w:ascii="Times New Roman" w:hAnsi="Times New Roman"/>
          <w:i/>
          <w:sz w:val="20"/>
        </w:rPr>
        <w:t>Private Placement Legend</w:t>
      </w:r>
      <w:r>
        <w:rPr>
          <w:rFonts w:ascii="Times New Roman" w:hAnsi="Times New Roman"/>
          <w:sz w:val="20"/>
        </w:rPr>
        <w:t xml:space="preserve">” means the legend set forth in Section 2.06(f)(1) hereof to be placed on all Notes issued under this Indenture except where otherwise permitted by the provisions of this Indenture. </w:t>
      </w:r>
    </w:p>
    <w:p>
      <w:pPr>
        <w:pStyle w:val="TextBody"/>
        <w:bidi w:val="0"/>
        <w:spacing w:before="240" w:after="0"/>
        <w:jc w:val="left"/>
        <w:rPr/>
      </w:pPr>
      <w:r>
        <w:rPr/>
        <w:t>“</w:t>
      </w:r>
      <w:r>
        <w:rPr>
          <w:rFonts w:ascii="Times New Roman" w:hAnsi="Times New Roman"/>
          <w:i/>
          <w:sz w:val="20"/>
        </w:rPr>
        <w:t>Purchase Agreement</w:t>
      </w:r>
      <w:r>
        <w:rPr>
          <w:rFonts w:ascii="Times New Roman" w:hAnsi="Times New Roman"/>
          <w:sz w:val="20"/>
        </w:rPr>
        <w:t xml:space="preserve">” means the Purchase Agreement dated September 15, 2026 among the Company, the Initial Purchasers and the other parties party thereto. </w:t>
      </w:r>
    </w:p>
    <w:p>
      <w:pPr>
        <w:pStyle w:val="TextBody"/>
        <w:bidi w:val="0"/>
        <w:spacing w:before="240" w:after="0"/>
        <w:jc w:val="left"/>
        <w:rPr/>
      </w:pPr>
      <w:r>
        <w:rPr/>
        <w:t>“</w:t>
      </w:r>
      <w:r>
        <w:rPr>
          <w:rFonts w:ascii="Times New Roman" w:hAnsi="Times New Roman"/>
          <w:i/>
          <w:sz w:val="20"/>
        </w:rPr>
        <w:t>QIB</w:t>
      </w:r>
      <w:r>
        <w:rPr>
          <w:rFonts w:ascii="Times New Roman" w:hAnsi="Times New Roman"/>
          <w:sz w:val="20"/>
        </w:rPr>
        <w:t xml:space="preserve">” means a “qualified institutional buyer” as defined in Rule 144A. </w:t>
      </w:r>
    </w:p>
    <w:p>
      <w:pPr>
        <w:pStyle w:val="TextBody"/>
        <w:bidi w:val="0"/>
        <w:spacing w:before="240" w:after="0"/>
        <w:jc w:val="left"/>
        <w:rPr/>
      </w:pPr>
      <w:r>
        <w:rPr/>
        <w:t>“</w:t>
      </w:r>
      <w:r>
        <w:rPr>
          <w:rFonts w:ascii="Times New Roman" w:hAnsi="Times New Roman"/>
          <w:i/>
          <w:sz w:val="20"/>
        </w:rPr>
        <w:t>Qualified Holding Company Debt</w:t>
      </w:r>
      <w:r>
        <w:rPr>
          <w:rFonts w:ascii="Times New Roman" w:hAnsi="Times New Roman"/>
          <w:sz w:val="20"/>
        </w:rPr>
        <w:t xml:space="preserve">” shall mean unsecured Indebtedness of Sabre Holdings (or any direct or indirect parent thereof), (a) the terms of which do not provide for any scheduled repayment, mandatory redemption or sinking fund obligation prior to the final maturity of the Notes (other than customary offers to purchase upon a change of control, asset sale or event of loss and customary acceleration rights after an event of default), (b) that does not require any payments in cash of interest or other amounts in respect of the principal thereof prior to the earlier to occur of (i) the date that is five years from the date of the issuance or incurrence thereof and (ii) the date that is ninety one days after the final maturity of the Notes (it being understood that this clause (b) shall not prohibit Indebtedness, the terms of which permit the Company thereof to elect, at its option, to make payments in cash of interest or other amounts in respect of the principal thereof prior to the date determined in accordance with clauses (i) and (ii) of this clause (b)) and (c) that is not Guaranteed by a Restricted Party. </w:t>
      </w:r>
    </w:p>
    <w:p>
      <w:pPr>
        <w:pStyle w:val="TextBody"/>
        <w:bidi w:val="0"/>
        <w:spacing w:before="240" w:after="0"/>
        <w:jc w:val="left"/>
        <w:rPr/>
      </w:pPr>
      <w:r>
        <w:rPr/>
        <w:t>“</w:t>
      </w:r>
      <w:r>
        <w:rPr>
          <w:rFonts w:ascii="Times New Roman" w:hAnsi="Times New Roman"/>
          <w:i/>
          <w:sz w:val="20"/>
        </w:rPr>
        <w:t>Qualified Proceeds</w:t>
      </w:r>
      <w:r>
        <w:rPr>
          <w:rFonts w:ascii="Times New Roman" w:hAnsi="Times New Roman"/>
          <w:sz w:val="20"/>
        </w:rPr>
        <w:t xml:space="preserve">” means the fair market value of assets that are used or useful in, or Capital Stock of any Person engaged in, a Similar Business. </w:t>
      </w:r>
    </w:p>
    <w:p>
      <w:pPr>
        <w:pStyle w:val="TextBody"/>
        <w:bidi w:val="0"/>
        <w:spacing w:before="240" w:after="0"/>
        <w:jc w:val="left"/>
        <w:rPr/>
      </w:pPr>
      <w:r>
        <w:rPr/>
        <w:t>“</w:t>
      </w:r>
      <w:r>
        <w:rPr>
          <w:rFonts w:ascii="Times New Roman" w:hAnsi="Times New Roman"/>
          <w:i/>
          <w:sz w:val="20"/>
        </w:rPr>
        <w:t>Qualified Securitization Financing</w:t>
      </w:r>
      <w:r>
        <w:rPr>
          <w:rFonts w:ascii="Times New Roman" w:hAnsi="Times New Roman"/>
          <w:sz w:val="20"/>
        </w:rPr>
        <w:t xml:space="preserve">” means any Securitization Financing of a Securitization Subsidiary that meets the following conditions: (a) the board of directors (or a similar governing body) of Sabre GLBL shall have determined in good faith that such Qualified Securitization Financing (including financing terms, covenants, termination events and other provisions) is in the aggregate economically fair and reasonable to Sabre GLBL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Securitization Subsidiary, (b) all sales and/or contributions of Securitization Assets and related assets to the Securitization Subsidiary are made at fair market value (as determined in good faith by Sabre GLBL) and (c) the financing terms, covenants, termination events and other provisions thereof, including any Standard Securitization Undertakings, shall be market terms (as determined in good faith by Sabre GLBL). The grant of a security interest in any Securitization Assets of Sabre GLBL or any of the Restricted Parties (other than a Securitization Subsidiary) to secure Indebtedness under this Indenture prior to engaging in any Securitization Financing shall not be deemed a Qualified Securitization Financing.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Moody’s and S&amp;P or if Moody’s and S&amp;P or both shall not make a rating on the Notes publicly available, a nationally recognized statistical rating agency or agencies, as the case may be, selected by Sabre GLBL which shall be substituted for Moody’s or S&amp;P or both, as the case may be. </w:t>
      </w:r>
    </w:p>
    <w:p>
      <w:pPr>
        <w:pStyle w:val="TextBody"/>
        <w:bidi w:val="0"/>
        <w:spacing w:before="240" w:after="0"/>
        <w:jc w:val="left"/>
        <w:rPr/>
      </w:pPr>
      <w:r>
        <w:rPr/>
        <w:t>“</w:t>
      </w:r>
      <w:r>
        <w:rPr>
          <w:rFonts w:ascii="Times New Roman" w:hAnsi="Times New Roman"/>
          <w:i/>
          <w:sz w:val="20"/>
        </w:rPr>
        <w:t>RCS</w:t>
      </w:r>
      <w:r>
        <w:rPr>
          <w:rFonts w:ascii="Times New Roman" w:hAnsi="Times New Roman"/>
          <w:sz w:val="20"/>
        </w:rPr>
        <w:t xml:space="preserve">” means the Luxembourg Register of Commerce and Companies </w:t>
      </w:r>
      <w:r>
        <w:rPr>
          <w:rFonts w:ascii="Times New Roman" w:hAnsi="Times New Roman"/>
          <w:i/>
          <w:sz w:val="20"/>
        </w:rPr>
        <w:t>(Registre de Commerce et des Sociétés, Luxembourg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Redemption Date</w:t>
      </w:r>
      <w:r>
        <w:rPr>
          <w:rFonts w:ascii="Times New Roman" w:hAnsi="Times New Roman"/>
          <w:sz w:val="20"/>
        </w:rPr>
        <w:t xml:space="preserve">,” when used with respect to any Note to be redeemed, in whole or in part, means the date fixed for such redemption pursuant to the terms of this Indenture and the Notes. </w:t>
      </w:r>
    </w:p>
    <w:p>
      <w:pPr>
        <w:pStyle w:val="TextBody"/>
        <w:bidi w:val="0"/>
        <w:spacing w:before="240" w:after="0"/>
        <w:jc w:val="left"/>
        <w:rPr/>
      </w:pPr>
      <w:r>
        <w:rPr/>
        <w:t>“</w:t>
      </w:r>
      <w:r>
        <w:rPr>
          <w:rFonts w:ascii="Times New Roman" w:hAnsi="Times New Roman"/>
          <w:i/>
          <w:sz w:val="20"/>
        </w:rPr>
        <w:t>Regulation S</w:t>
      </w:r>
      <w:r>
        <w:rPr>
          <w:rFonts w:ascii="Times New Roman" w:hAnsi="Times New Roman"/>
          <w:sz w:val="20"/>
        </w:rPr>
        <w:t xml:space="preserve">” means Regulation S promulgated under the Securities Act. </w:t>
      </w:r>
    </w:p>
    <w:p>
      <w:pPr>
        <w:pStyle w:val="TextBody"/>
        <w:bidi w:val="0"/>
        <w:spacing w:before="240" w:after="0"/>
        <w:jc w:val="left"/>
        <w:rPr/>
      </w:pPr>
      <w:r>
        <w:rPr/>
        <w:t>“</w:t>
      </w:r>
      <w:r>
        <w:rPr>
          <w:rFonts w:ascii="Times New Roman" w:hAnsi="Times New Roman"/>
          <w:i/>
          <w:sz w:val="20"/>
        </w:rPr>
        <w:t>Regulation S Global Note</w:t>
      </w:r>
      <w:r>
        <w:rPr>
          <w:rFonts w:ascii="Times New Roman" w:hAnsi="Times New Roman"/>
          <w:sz w:val="20"/>
        </w:rPr>
        <w:t xml:space="preserve">” means a Regulation S Temporary Global Note or Regulation S Permanent Global Note, as appropriate. </w:t>
      </w:r>
    </w:p>
    <w:p>
      <w:pPr>
        <w:pStyle w:val="TextBody"/>
        <w:bidi w:val="0"/>
        <w:spacing w:before="240" w:after="0"/>
        <w:jc w:val="left"/>
        <w:rPr/>
      </w:pPr>
      <w:r>
        <w:rPr/>
        <w:t>“</w:t>
      </w:r>
      <w:r>
        <w:rPr>
          <w:rFonts w:ascii="Times New Roman" w:hAnsi="Times New Roman"/>
          <w:i/>
          <w:sz w:val="20"/>
        </w:rPr>
        <w:t>Regulation S Permanent Global Note</w:t>
      </w:r>
      <w:r>
        <w:rPr>
          <w:rFonts w:ascii="Times New Roman" w:hAnsi="Times New Roman"/>
          <w:sz w:val="20"/>
        </w:rPr>
        <w:t xml:space="preserve">” means a permanent Global Note in the form of Exhibit A1 hereto bearing the Global Note Legend and the Private Placement Legend and deposited with or on behalf of and registered in the name of the Depositary or its nominee, issued in a denomination equal to the outstanding principal amount of any Regulation S Temporary Global Note upon expiration of the Restricted Period therefor. </w:t>
      </w:r>
    </w:p>
    <w:p>
      <w:pPr>
        <w:pStyle w:val="TextBody"/>
        <w:bidi w:val="0"/>
        <w:spacing w:before="240" w:after="0"/>
        <w:jc w:val="left"/>
        <w:rPr/>
      </w:pPr>
      <w:r>
        <w:rPr/>
        <w:t>“</w:t>
      </w:r>
      <w:r>
        <w:rPr>
          <w:rFonts w:ascii="Times New Roman" w:hAnsi="Times New Roman"/>
          <w:i/>
          <w:sz w:val="20"/>
        </w:rPr>
        <w:t>Regulation S Temporary Global Note</w:t>
      </w:r>
      <w:r>
        <w:rPr>
          <w:rFonts w:ascii="Times New Roman" w:hAnsi="Times New Roman"/>
          <w:sz w:val="20"/>
        </w:rPr>
        <w:t xml:space="preserve">” means a temporary Global Note in the form of Exhibit A2 hereto deposited with or on behalf of and registered in the name of the Depositary or its nominee, issued in a denomination equal to the outstanding principal amount of Notes initially sold in reliance on Rule 903 of Regulation S. </w:t>
      </w:r>
    </w:p>
    <w:p>
      <w:pPr>
        <w:pStyle w:val="TextBody"/>
        <w:bidi w:val="0"/>
        <w:spacing w:before="240" w:after="0"/>
        <w:jc w:val="left"/>
        <w:rPr/>
      </w:pPr>
      <w:r>
        <w:rPr/>
        <w:t>“</w:t>
      </w:r>
      <w:r>
        <w:rPr>
          <w:rFonts w:ascii="Times New Roman" w:hAnsi="Times New Roman"/>
          <w:i/>
          <w:sz w:val="20"/>
        </w:rPr>
        <w:t>Related Business Assets</w:t>
      </w:r>
      <w:r>
        <w:rPr>
          <w:rFonts w:ascii="Times New Roman" w:hAnsi="Times New Roman"/>
          <w:sz w:val="20"/>
        </w:rPr>
        <w:t xml:space="preserve">” means assets (other than Cash Equivalents) used or useful in a Similar Business, </w:t>
      </w:r>
      <w:r>
        <w:rPr>
          <w:rFonts w:ascii="Times New Roman" w:hAnsi="Times New Roman"/>
          <w:i/>
          <w:sz w:val="20"/>
        </w:rPr>
        <w:t>provided</w:t>
      </w:r>
      <w:r>
        <w:rPr>
          <w:rFonts w:ascii="Times New Roman" w:hAnsi="Times New Roman"/>
          <w:sz w:val="20"/>
        </w:rPr>
        <w:t xml:space="preserve"> that any assets received by a Restricted Party in exchange for assets transferred by a Restricted Party shall not be deemed to be Related Business Assets if they consist of securities of a Person, unless upon receipt of the securities of such Person, such Person would become a Restricted Subsidiary.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when used with respect to the Trustee, Paying Agent or Collateral Agent, as applicable, any officer within the corporate trust department of such Trustee, Paying Agent or Collateral Agent, as the case may be, including any vice president, assistant vice president, trust officer or any other officer of such Trustee, Paying Agent or Collateral Agent, as the case may be, who customarily performs functions similar to those performed by the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 at the time shall be such officers who shall have direct responsibility for the administration of this Indenture or any other officer of such Trustee, Paying Agent or Collateral Agent, as the case may be to whom any corporate trust matter relating to this Indenture is referred because of such Person’s knowledge of and familiarity with the particular subject matter. </w:t>
      </w:r>
    </w:p>
    <w:p>
      <w:pPr>
        <w:pStyle w:val="TextBody"/>
        <w:bidi w:val="0"/>
        <w:spacing w:before="240" w:after="0"/>
        <w:jc w:val="left"/>
        <w:rPr/>
      </w:pPr>
      <w:r>
        <w:rPr/>
        <w:t>“</w:t>
      </w:r>
      <w:r>
        <w:rPr>
          <w:rFonts w:ascii="Times New Roman" w:hAnsi="Times New Roman"/>
          <w:i/>
          <w:sz w:val="20"/>
        </w:rPr>
        <w:t>Restricted Definitive Note</w:t>
      </w:r>
      <w:r>
        <w:rPr>
          <w:rFonts w:ascii="Times New Roman" w:hAnsi="Times New Roman"/>
          <w:sz w:val="20"/>
        </w:rPr>
        <w:t xml:space="preserve">” means a Definitive Note bearing the Private Placement Legend. </w:t>
      </w:r>
    </w:p>
    <w:p>
      <w:pPr>
        <w:pStyle w:val="TextBody"/>
        <w:bidi w:val="0"/>
        <w:spacing w:before="240" w:after="0"/>
        <w:jc w:val="left"/>
        <w:rPr/>
      </w:pPr>
      <w:r>
        <w:rPr/>
        <w:t>“</w:t>
      </w:r>
      <w:r>
        <w:rPr>
          <w:rFonts w:ascii="Times New Roman" w:hAnsi="Times New Roman"/>
          <w:i/>
          <w:sz w:val="20"/>
        </w:rPr>
        <w:t>Restricted Global Note</w:t>
      </w:r>
      <w:r>
        <w:rPr>
          <w:rFonts w:ascii="Times New Roman" w:hAnsi="Times New Roman"/>
          <w:sz w:val="20"/>
        </w:rPr>
        <w:t xml:space="preserve">” means a Global Note bearing the Private Placement Legend.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means an Investment other than a Permitted Investment. </w:t>
      </w:r>
    </w:p>
    <w:p>
      <w:pPr>
        <w:pStyle w:val="TextBody"/>
        <w:bidi w:val="0"/>
        <w:spacing w:before="240" w:after="0"/>
        <w:jc w:val="left"/>
        <w:rPr/>
      </w:pPr>
      <w:r>
        <w:rPr/>
        <w:t>“</w:t>
      </w:r>
      <w:r>
        <w:rPr>
          <w:rFonts w:ascii="Times New Roman" w:hAnsi="Times New Roman"/>
          <w:i/>
          <w:sz w:val="20"/>
        </w:rPr>
        <w:t>Restricted Parties”</w:t>
      </w:r>
      <w:r>
        <w:rPr>
          <w:rFonts w:ascii="Times New Roman" w:hAnsi="Times New Roman"/>
          <w:sz w:val="20"/>
        </w:rPr>
        <w:t xml:space="preserve">means, collectively, the Company, Sabre Financing, the Sabre Foreign Guarantors and their respective Restricted Subsidiaries. </w:t>
      </w:r>
    </w:p>
    <w:p>
      <w:pPr>
        <w:pStyle w:val="TextBody"/>
        <w:bidi w:val="0"/>
        <w:spacing w:before="240" w:after="0"/>
        <w:jc w:val="left"/>
        <w:rPr/>
      </w:pPr>
      <w:r>
        <w:rPr/>
        <w:t>“</w:t>
      </w:r>
      <w:r>
        <w:rPr>
          <w:rFonts w:ascii="Times New Roman" w:hAnsi="Times New Roman"/>
          <w:i/>
          <w:sz w:val="20"/>
        </w:rPr>
        <w:t>Restricted Period</w:t>
      </w:r>
      <w:r>
        <w:rPr>
          <w:rFonts w:ascii="Times New Roman" w:hAnsi="Times New Roman"/>
          <w:sz w:val="20"/>
        </w:rPr>
        <w:t xml:space="preserve">” means the 40-day distribution compliance period as defined in Regulation S.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with respect to any Person, at any time, any direct or indirect Subsidiary of such Person (including any Foreign Subsidiary) that is not then an Unrestricted Subsidiary; </w:t>
      </w:r>
      <w:r>
        <w:rPr>
          <w:rFonts w:ascii="Times New Roman" w:hAnsi="Times New Roman"/>
          <w:i/>
          <w:sz w:val="20"/>
        </w:rPr>
        <w:t xml:space="preserve">provided </w:t>
      </w:r>
      <w:r>
        <w:rPr>
          <w:rFonts w:ascii="Times New Roman" w:hAnsi="Times New Roman"/>
          <w:sz w:val="20"/>
        </w:rPr>
        <w:t>that upon an Unrestricted Subsidiary ceasing to be an Unrestricted Subsidiary, such Subsidiary shall be included in the definition of “</w:t>
      </w:r>
      <w:r>
        <w:rPr>
          <w:rFonts w:ascii="Times New Roman" w:hAnsi="Times New Roman"/>
          <w:i/>
          <w:sz w:val="20"/>
        </w:rPr>
        <w:t>Restricted Subsidiary</w:t>
      </w:r>
      <w:r>
        <w:rPr>
          <w:rFonts w:ascii="Times New Roman" w:hAnsi="Times New Roman"/>
          <w:sz w:val="20"/>
        </w:rPr>
        <w:t>.” Unless otherwise specified or the context otherwise requires, a reference to a “</w:t>
      </w:r>
      <w:r>
        <w:rPr>
          <w:rFonts w:ascii="Times New Roman" w:hAnsi="Times New Roman"/>
          <w:i/>
          <w:sz w:val="20"/>
        </w:rPr>
        <w:t>Restricted Subsidiary</w:t>
      </w:r>
      <w:r>
        <w:rPr>
          <w:rFonts w:ascii="Times New Roman" w:hAnsi="Times New Roman"/>
          <w:sz w:val="20"/>
        </w:rPr>
        <w:t xml:space="preserve">” shall be a reference to a Restricted Subsidiary of the Restricted Parties. </w:t>
      </w:r>
    </w:p>
    <w:p>
      <w:pPr>
        <w:pStyle w:val="TextBody"/>
        <w:bidi w:val="0"/>
        <w:spacing w:before="240" w:after="0"/>
        <w:jc w:val="left"/>
        <w:rPr/>
      </w:pPr>
      <w:r>
        <w:rPr/>
        <w:t>“</w:t>
      </w:r>
      <w:r>
        <w:rPr>
          <w:rFonts w:ascii="Times New Roman" w:hAnsi="Times New Roman"/>
          <w:i/>
          <w:sz w:val="20"/>
        </w:rPr>
        <w:t>Rule 144</w:t>
      </w:r>
      <w:r>
        <w:rPr>
          <w:rFonts w:ascii="Times New Roman" w:hAnsi="Times New Roman"/>
          <w:sz w:val="20"/>
        </w:rPr>
        <w:t xml:space="preserve">” means Rule 144 promulgated under the Securities Act. </w:t>
      </w:r>
    </w:p>
    <w:p>
      <w:pPr>
        <w:pStyle w:val="TextBody"/>
        <w:bidi w:val="0"/>
        <w:spacing w:before="240" w:after="0"/>
        <w:jc w:val="left"/>
        <w:rPr/>
      </w:pPr>
      <w:r>
        <w:rPr/>
        <w:t>“</w:t>
      </w:r>
      <w:r>
        <w:rPr>
          <w:rFonts w:ascii="Times New Roman" w:hAnsi="Times New Roman"/>
          <w:i/>
          <w:sz w:val="20"/>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i/>
          <w:sz w:val="20"/>
        </w:rPr>
        <w:t>Rule 903</w:t>
      </w:r>
      <w:r>
        <w:rPr>
          <w:rFonts w:ascii="Times New Roman" w:hAnsi="Times New Roman"/>
          <w:sz w:val="20"/>
        </w:rPr>
        <w:t xml:space="preserve">” means Rule 903 promulgated under the Securities Act. </w:t>
      </w:r>
    </w:p>
    <w:p>
      <w:pPr>
        <w:pStyle w:val="TextBody"/>
        <w:bidi w:val="0"/>
        <w:spacing w:before="240" w:after="0"/>
        <w:jc w:val="left"/>
        <w:rPr/>
      </w:pPr>
      <w:r>
        <w:rPr/>
        <w:t>“</w:t>
      </w:r>
      <w:r>
        <w:rPr>
          <w:rFonts w:ascii="Times New Roman" w:hAnsi="Times New Roman"/>
          <w:i/>
          <w:sz w:val="20"/>
        </w:rPr>
        <w:t>Rule 904</w:t>
      </w:r>
      <w:r>
        <w:rPr>
          <w:rFonts w:ascii="Times New Roman" w:hAnsi="Times New Roman"/>
          <w:sz w:val="20"/>
        </w:rPr>
        <w:t xml:space="preserve">” means Rule 904 promulgated under the Securities Act.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a division of The McGraw-Hill Companies, Inc., and any successor to its rating agency business. </w:t>
      </w:r>
    </w:p>
    <w:p>
      <w:pPr>
        <w:pStyle w:val="TextBody"/>
        <w:bidi w:val="0"/>
        <w:spacing w:before="240" w:after="0"/>
        <w:jc w:val="left"/>
        <w:rPr/>
      </w:pPr>
      <w:r>
        <w:rPr/>
        <w:t>“</w:t>
      </w:r>
      <w:r>
        <w:rPr>
          <w:rFonts w:ascii="Times New Roman" w:hAnsi="Times New Roman"/>
          <w:i/>
          <w:sz w:val="20"/>
        </w:rPr>
        <w:t>Sabre AS</w:t>
      </w:r>
      <w:r>
        <w:rPr>
          <w:rFonts w:ascii="Times New Roman" w:hAnsi="Times New Roman"/>
          <w:sz w:val="20"/>
        </w:rPr>
        <w:t xml:space="preserve">” means Sabre AS (Luxembourg) S.à r.l., a private limited liability company (société à responsabilité limitée) organised and existing under the laws of the Grand Duchy of Luxembourg, having its registered office at 28, Boulevard F.W. Raiffeisen, L-2411 Luxembourg, Grand Duchy of Luxembourg and being registered with the RCS under number B170188. </w:t>
      </w:r>
    </w:p>
    <w:p>
      <w:pPr>
        <w:pStyle w:val="TextBody"/>
        <w:bidi w:val="0"/>
        <w:spacing w:before="240" w:after="0"/>
        <w:jc w:val="left"/>
        <w:rPr/>
      </w:pPr>
      <w:r>
        <w:rPr/>
        <w:t>“</w:t>
      </w:r>
      <w:r>
        <w:rPr>
          <w:rFonts w:ascii="Times New Roman" w:hAnsi="Times New Roman"/>
          <w:i/>
          <w:sz w:val="20"/>
        </w:rPr>
        <w:t>Sabre Finance</w:t>
      </w:r>
      <w:r>
        <w:rPr>
          <w:rFonts w:ascii="Times New Roman" w:hAnsi="Times New Roman"/>
          <w:sz w:val="20"/>
        </w:rPr>
        <w:t xml:space="preserve">” means Sabre Finance (Luxembourg) S.à r.l., a private limited liability company (société à responsabilité limitée) organised and existing under the laws of the Grand Duchy of Luxembourg, having its registered office at 28, Boulevard F.W. Raiffeisen, L-2411 Luxembourg, Grand Duchy of Luxembourg and being registered with the RCS under number B125397.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Sabre Financing</w:t>
      </w:r>
      <w:r>
        <w:rPr>
          <w:rFonts w:ascii="Times New Roman" w:hAnsi="Times New Roman"/>
          <w:sz w:val="20"/>
        </w:rPr>
        <w:t xml:space="preserve">” means Sabre Financing Holdings LLC, a Delaware limited liability company, the direct parent of the Company and an indirect wholly-owned unrestricted subsidiary of Sabre GLBL and Sabre Holdings. </w:t>
      </w:r>
    </w:p>
    <w:p>
      <w:pPr>
        <w:pStyle w:val="TextBody"/>
        <w:bidi w:val="0"/>
        <w:spacing w:before="240" w:after="0"/>
        <w:jc w:val="left"/>
        <w:rPr/>
      </w:pPr>
      <w:r>
        <w:rPr/>
        <w:t>“</w:t>
      </w:r>
      <w:r>
        <w:rPr>
          <w:rFonts w:ascii="Times New Roman" w:hAnsi="Times New Roman"/>
          <w:i/>
          <w:sz w:val="20"/>
        </w:rPr>
        <w:t>Sabre Foreign Guarantors</w:t>
      </w:r>
      <w:r>
        <w:rPr>
          <w:rFonts w:ascii="Times New Roman" w:hAnsi="Times New Roman"/>
          <w:sz w:val="20"/>
        </w:rPr>
        <w:t xml:space="preserve">” means, collectively, (i) Sabre Australia Technologies I Pty Limited (ACN 096 308 486), (ii) Sabre Travel Network (Australia) Pty. Limited (ACN 003 696 982), (iii) Sabre UK Marketing Ltd., (iv) Sabre EMEA Marketing Limited, (v) Lux Parent, (vi) Sabre International, (vii) Sabre Finance, (viii) Sabre AS, (ix) Sabre Asia Pacific Pte. Ltd., (x) Sabre Marketing Pte. Ltd., (xi) Sabre Technology Holdings Pte. Ltd., (xii) Sabre Global Technologies Limited, (xiii) Sabre Polska Sp. z.o.o., (xiv) Sabre Global Services, S.A., (xv) Sabre Iceland ehf., and any Sabre’s future direct and indirect subsidiaries in the Guarantor Jurisdictions which will be required to Guarantee the Notes after the Issue Date in accordance with the terms of this Indenture and the Security Documents. </w:t>
      </w:r>
    </w:p>
    <w:p>
      <w:pPr>
        <w:pStyle w:val="TextBody"/>
        <w:bidi w:val="0"/>
        <w:spacing w:before="240" w:after="0"/>
        <w:jc w:val="left"/>
        <w:rPr/>
      </w:pPr>
      <w:r>
        <w:rPr/>
        <w:t>“</w:t>
      </w:r>
      <w:r>
        <w:rPr>
          <w:rFonts w:ascii="Times New Roman" w:hAnsi="Times New Roman"/>
          <w:i/>
          <w:sz w:val="20"/>
        </w:rPr>
        <w:t>Sabre GLBL</w:t>
      </w:r>
      <w:r>
        <w:rPr>
          <w:rFonts w:ascii="Times New Roman" w:hAnsi="Times New Roman"/>
          <w:sz w:val="20"/>
        </w:rPr>
        <w:t xml:space="preserve">” means Sabre GLBL Inc., a Delaware corporation and an indirect parent of Sabre Financing and the Company. </w:t>
      </w:r>
    </w:p>
    <w:p>
      <w:pPr>
        <w:pStyle w:val="TextBody"/>
        <w:bidi w:val="0"/>
        <w:spacing w:before="240" w:after="0"/>
        <w:jc w:val="left"/>
        <w:rPr/>
      </w:pPr>
      <w:r>
        <w:rPr/>
        <w:t>“</w:t>
      </w:r>
      <w:r>
        <w:rPr>
          <w:rFonts w:ascii="Times New Roman" w:hAnsi="Times New Roman"/>
          <w:i/>
          <w:sz w:val="20"/>
        </w:rPr>
        <w:t>Sabre GLBL</w:t>
      </w:r>
      <w:r>
        <w:rPr>
          <w:rFonts w:ascii="Times New Roman" w:hAnsi="Times New Roman"/>
          <w:sz w:val="20"/>
        </w:rPr>
        <w:t xml:space="preserve"> Exchangeable Notes” means Sabre GLBL’s 7.00% Senior Exchangeable Notes due 2031. </w:t>
      </w:r>
    </w:p>
    <w:p>
      <w:pPr>
        <w:pStyle w:val="TextBody"/>
        <w:bidi w:val="0"/>
        <w:spacing w:before="240" w:after="0"/>
        <w:jc w:val="left"/>
        <w:rPr/>
      </w:pPr>
      <w:r>
        <w:rPr/>
        <w:t>“</w:t>
      </w:r>
      <w:r>
        <w:rPr>
          <w:rFonts w:ascii="Times New Roman" w:hAnsi="Times New Roman"/>
          <w:i/>
          <w:sz w:val="20"/>
        </w:rPr>
        <w:t>Sabre GLBL Notes</w:t>
      </w:r>
      <w:r>
        <w:rPr>
          <w:rFonts w:ascii="Times New Roman" w:hAnsi="Times New Roman"/>
          <w:sz w:val="20"/>
        </w:rPr>
        <w:t xml:space="preserve">” means, collectively, Sabre GLBL’s (i) 10.750% Senior Secured Notes due 2029, (ii) 10.750% Senior Secured Notes due 2030, (iii) 11.125% Senior Secured Notes due 2030, and any guarantees of any of the foregoing. </w:t>
      </w:r>
    </w:p>
    <w:p>
      <w:pPr>
        <w:pStyle w:val="TextBody"/>
        <w:bidi w:val="0"/>
        <w:spacing w:before="240" w:after="0"/>
        <w:jc w:val="left"/>
        <w:rPr/>
      </w:pPr>
      <w:r>
        <w:rPr/>
        <w:t>“</w:t>
      </w:r>
      <w:r>
        <w:rPr>
          <w:rFonts w:ascii="Times New Roman" w:hAnsi="Times New Roman"/>
          <w:i/>
          <w:sz w:val="20"/>
        </w:rPr>
        <w:t>Sabre GLBL Senior Credit Facilities</w:t>
      </w:r>
      <w:r>
        <w:rPr>
          <w:rFonts w:ascii="Times New Roman" w:hAnsi="Times New Roman"/>
          <w:sz w:val="20"/>
        </w:rPr>
        <w:t xml:space="preserve">” means the term and revolving credit facilities under the Amended and Restated Credit Agreement, dated as of February 19, 2013, among Sabre GLBL, Sabre Holdings, Bank of America, N.A., as Administrative Agent, Swing Line Lender and an L/C Issuer, Deutsche Bank, AG New York Branch, as an L/C Issuer, and the lenders party thereto in their capacities as lenders thereunder, including any guarantees, collateral documents, instruments and agreements executed in connection therewith, and any amendments, supplements, modifications, extensions, renewals, restatements, refundings or refinancings thereof and any indentures, guarantees, credit facilities or commercial paper facilities that replace, refund, exchange or refinance (or successively replace, refund, exchange or refinance) any part of the loans, notes, guarantees, other credit facilities or commitments thereunder, including any such replacement, refunding or refinancing facility or indenture (or successive replacement, refunding, exchange or refinancing facility or indenture) that increases the amount borrowable thereunder or alters the maturity thereof; </w:t>
      </w:r>
      <w:r>
        <w:rPr>
          <w:rFonts w:ascii="Times New Roman" w:hAnsi="Times New Roman"/>
          <w:i/>
          <w:sz w:val="20"/>
        </w:rPr>
        <w:t>provided</w:t>
      </w:r>
      <w:r>
        <w:rPr>
          <w:rFonts w:ascii="Times New Roman" w:hAnsi="Times New Roman"/>
          <w:sz w:val="20"/>
        </w:rPr>
        <w:t xml:space="preserve"> that such increase in borrowings is permitted under the Sabre GLBL Notes. </w:t>
      </w:r>
    </w:p>
    <w:p>
      <w:pPr>
        <w:pStyle w:val="TextBody"/>
        <w:bidi w:val="0"/>
        <w:spacing w:before="240" w:after="0"/>
        <w:jc w:val="left"/>
        <w:rPr/>
      </w:pPr>
      <w:r>
        <w:rPr/>
        <w:t>“</w:t>
      </w:r>
      <w:r>
        <w:rPr>
          <w:rFonts w:ascii="Times New Roman" w:hAnsi="Times New Roman"/>
          <w:i/>
          <w:sz w:val="20"/>
        </w:rPr>
        <w:t>Sabre Holdings</w:t>
      </w:r>
      <w:r>
        <w:rPr>
          <w:rFonts w:ascii="Times New Roman" w:hAnsi="Times New Roman"/>
          <w:sz w:val="20"/>
        </w:rPr>
        <w:t xml:space="preserve">” means Sabre Holdings Corporation, a Delaware corporation and an indirect parent of Sabre Financing and the Company. </w:t>
      </w:r>
    </w:p>
    <w:p>
      <w:pPr>
        <w:pStyle w:val="TextBody"/>
        <w:bidi w:val="0"/>
        <w:spacing w:before="240" w:after="0"/>
        <w:jc w:val="left"/>
        <w:rPr/>
      </w:pPr>
      <w:r>
        <w:rPr/>
        <w:t>“</w:t>
      </w:r>
      <w:r>
        <w:rPr>
          <w:rFonts w:ascii="Times New Roman" w:hAnsi="Times New Roman"/>
          <w:i/>
          <w:sz w:val="20"/>
        </w:rPr>
        <w:t>Sabre International</w:t>
      </w:r>
      <w:r>
        <w:rPr>
          <w:rFonts w:ascii="Times New Roman" w:hAnsi="Times New Roman"/>
          <w:sz w:val="20"/>
        </w:rPr>
        <w:t xml:space="preserve">” means Sabre International (Luxembourg) S.à r.l., a private limited liability company (société à responsabilité) organised and existing under the laws of the Grand Duchy of Luxembourg, having its registered office at 28, Boulevard F.W. Raiffeisen, L-2411 Luxembourg, Grand Duchy of Luxembourg and being registered with the RCS under number B125396.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Sale and Lease-Back Transaction</w:t>
      </w:r>
      <w:r>
        <w:rPr>
          <w:rFonts w:ascii="Times New Roman" w:hAnsi="Times New Roman"/>
          <w:sz w:val="20"/>
        </w:rPr>
        <w:t xml:space="preserve">” means any arrangement providing for the leasing to a Restricted Party of any real or tangible personal property, which property has been or is to be sold or transferred by such Restricted Party to a third Person in contemplation of such leasing.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i/>
          <w:sz w:val="20"/>
        </w:rPr>
        <w:t>Secured Indebtedness</w:t>
      </w:r>
      <w:r>
        <w:rPr>
          <w:rFonts w:ascii="Times New Roman" w:hAnsi="Times New Roman"/>
          <w:sz w:val="20"/>
        </w:rPr>
        <w:t xml:space="preserve">” means any Indebtedness of a Restricted Party secured by a Lien.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of the SEC promulgated thereunder. </w:t>
      </w:r>
    </w:p>
    <w:p>
      <w:pPr>
        <w:pStyle w:val="TextBody"/>
        <w:bidi w:val="0"/>
        <w:spacing w:before="240" w:after="0"/>
        <w:jc w:val="left"/>
        <w:rPr/>
      </w:pPr>
      <w:r>
        <w:rPr/>
        <w:t>“</w:t>
      </w:r>
      <w:r>
        <w:rPr>
          <w:rFonts w:ascii="Times New Roman" w:hAnsi="Times New Roman"/>
          <w:i/>
          <w:sz w:val="20"/>
        </w:rPr>
        <w:t>Securitization Assets</w:t>
      </w:r>
      <w:r>
        <w:rPr>
          <w:rFonts w:ascii="Times New Roman" w:hAnsi="Times New Roman"/>
          <w:sz w:val="20"/>
        </w:rPr>
        <w:t xml:space="preserve">” means the accounts receivable, royalty or other revenue streams and other rights to payment subject to a Qualified Securitization Financing and the proceeds thereof. </w:t>
      </w:r>
    </w:p>
    <w:p>
      <w:pPr>
        <w:pStyle w:val="TextBody"/>
        <w:bidi w:val="0"/>
        <w:spacing w:before="240" w:after="0"/>
        <w:jc w:val="left"/>
        <w:rPr/>
      </w:pPr>
      <w:r>
        <w:rPr/>
        <w:t>“</w:t>
      </w:r>
      <w:r>
        <w:rPr>
          <w:rFonts w:ascii="Times New Roman" w:hAnsi="Times New Roman"/>
          <w:i/>
          <w:sz w:val="20"/>
        </w:rPr>
        <w:t>Securitization Fees</w:t>
      </w:r>
      <w:r>
        <w:rPr>
          <w:rFonts w:ascii="Times New Roman" w:hAnsi="Times New Roman"/>
          <w:sz w:val="20"/>
        </w:rPr>
        <w:t xml:space="preserve">” means distributions or payments made directly or by means of discounts with respect to any participation interest issued or sold in connection with, and other fees paid to a Person that is not a Securitization Subsidiary in connection with any Qualified Securitization Financing. </w:t>
      </w:r>
    </w:p>
    <w:p>
      <w:pPr>
        <w:pStyle w:val="TextBody"/>
        <w:bidi w:val="0"/>
        <w:spacing w:before="240" w:after="0"/>
        <w:jc w:val="left"/>
        <w:rPr/>
      </w:pPr>
      <w:r>
        <w:rPr/>
        <w:t>“</w:t>
      </w:r>
      <w:r>
        <w:rPr>
          <w:rFonts w:ascii="Times New Roman" w:hAnsi="Times New Roman"/>
          <w:i/>
          <w:sz w:val="20"/>
        </w:rPr>
        <w:t>Securitization Financing</w:t>
      </w:r>
      <w:r>
        <w:rPr>
          <w:rFonts w:ascii="Times New Roman" w:hAnsi="Times New Roman"/>
          <w:sz w:val="20"/>
        </w:rPr>
        <w:t xml:space="preserve">” means any transaction or series of transactions that may be entered into by a Restricted Party pursuant to which such Restricted Party may sell, convey or otherwise transfer to (a) a Securitization Subsidiary (in the case of a transfer by a Restricted Party) or (b) any other Person (in the case of a transfer by a Securitization Subsidiary), or may grant a security interest in, any Securitization Assets of such Restricted Party,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w:t>
      </w:r>
    </w:p>
    <w:p>
      <w:pPr>
        <w:pStyle w:val="TextBody"/>
        <w:bidi w:val="0"/>
        <w:spacing w:before="240" w:after="0"/>
        <w:jc w:val="left"/>
        <w:rPr/>
      </w:pPr>
      <w:r>
        <w:rPr/>
        <w:t>“</w:t>
      </w:r>
      <w:r>
        <w:rPr>
          <w:rFonts w:ascii="Times New Roman" w:hAnsi="Times New Roman"/>
          <w:i/>
          <w:sz w:val="20"/>
        </w:rPr>
        <w:t>Securitization Repurchase Obligation</w:t>
      </w:r>
      <w:r>
        <w:rPr>
          <w:rFonts w:ascii="Times New Roman" w:hAnsi="Times New Roman"/>
          <w:sz w:val="20"/>
        </w:rPr>
        <w:t xml:space="preserve">” means any obligation of a seller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 </w:t>
      </w:r>
    </w:p>
    <w:p>
      <w:pPr>
        <w:pStyle w:val="TextBody"/>
        <w:bidi w:val="0"/>
        <w:spacing w:before="240" w:after="0"/>
        <w:jc w:val="left"/>
        <w:rPr/>
      </w:pPr>
      <w:r>
        <w:rPr/>
        <w:t>“</w:t>
      </w:r>
      <w:r>
        <w:rPr>
          <w:rFonts w:ascii="Times New Roman" w:hAnsi="Times New Roman"/>
          <w:i/>
          <w:sz w:val="20"/>
        </w:rPr>
        <w:t>Securitization Subsidiary</w:t>
      </w:r>
      <w:r>
        <w:rPr>
          <w:rFonts w:ascii="Times New Roman" w:hAnsi="Times New Roman"/>
          <w:sz w:val="20"/>
        </w:rPr>
        <w:t xml:space="preserve">” means a Subsidiary of Sabre GLBL (or another Person formed for the purposes of engaging in a Qualified Securitization Financing in which the Restricted Party or any Subsidiary thereof makes an Investment and to which the Restricted Party or any Subsidiary thereof transfers Securitization Assets and related assets) that engages in no activities other than in connection with the financing of Securitization Assets of the Restricted Party or its Subsidiaries, all proceeds thereof and all rights (contingent and other), collateral and other assets relating thereto, and any business or activities incidental or related to such business, and (a) no portion of the Indebtedness or any other obligations (contingent or otherwise) of which (i) is guaranteed by a Restricted Party, other than another Securitization Subsidiary (excluding guarantees of obligations (other than the principal of, and interest on, Indebtedness) pursuant to Standard Securitization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Undertakings), (ii) is recourse to or obligates a Restricted Party, other than another Securitization Subsidiary, in any way other than pursuant to Standard Securitization Undertakings or (iii) subjects any property or asset of a Restricted Party, other than another Securitization Subsidiary, directly or indirectly, contingently or otherwise, to the satisfaction thereof, other than pursuant to Standard Securitization Undertakings, (b) with which none of the Restricted Parties, other than another Securitization Subsidiary, has any material contract, agreement, arrangement or understanding other than on terms which the Company reasonably believes to be no less favorable to such Restricted Party or such Subsidiary than those that might be obtained at the time from Persons that are not Affiliates of the applicable Restricted Party and (c) to which none of the Restricted Parties, other than another Securitization Subsidiary, has any obligation to maintain or preserve such entity’s financial condition or cause such entity to achieve certain levels of operating results. </w:t>
      </w:r>
    </w:p>
    <w:p>
      <w:pPr>
        <w:pStyle w:val="TextBody"/>
        <w:bidi w:val="0"/>
        <w:spacing w:before="240" w:after="0"/>
        <w:jc w:val="left"/>
        <w:rPr/>
      </w:pPr>
      <w:r>
        <w:rPr/>
        <w:t>“</w:t>
      </w:r>
      <w:r>
        <w:rPr>
          <w:rFonts w:ascii="Times New Roman" w:hAnsi="Times New Roman"/>
          <w:i/>
          <w:sz w:val="20"/>
        </w:rPr>
        <w:t>Security Agreement</w:t>
      </w:r>
      <w:r>
        <w:rPr>
          <w:rFonts w:ascii="Times New Roman" w:hAnsi="Times New Roman"/>
          <w:sz w:val="20"/>
        </w:rPr>
        <w:t xml:space="preserve">” means the Pledge and Security Agreement, dated as of the Issue Date, by and among the Company, Sabre Financing, the Guarantors party thereto and the Collateral Agent. </w:t>
      </w:r>
    </w:p>
    <w:p>
      <w:pPr>
        <w:pStyle w:val="TextBody"/>
        <w:bidi w:val="0"/>
        <w:spacing w:before="240" w:after="0"/>
        <w:jc w:val="left"/>
        <w:rPr/>
      </w:pPr>
      <w:r>
        <w:rPr/>
        <w:t>“</w:t>
      </w:r>
      <w:r>
        <w:rPr>
          <w:rFonts w:ascii="Times New Roman" w:hAnsi="Times New Roman"/>
          <w:i/>
          <w:sz w:val="20"/>
        </w:rPr>
        <w:t>Security Documents</w:t>
      </w:r>
      <w:r>
        <w:rPr>
          <w:rFonts w:ascii="Times New Roman" w:hAnsi="Times New Roman"/>
          <w:sz w:val="20"/>
        </w:rPr>
        <w:t xml:space="preserve">” means collectively, the Security Agreement, any security agreement, any intellectual property security agreements, any mortgages, any security agreement supplements, the Foreign Security Documents and each other agreement, instrument or other document entered into in favor of the Collateral Agent for purposes of securing the Notes Obligations. </w:t>
      </w:r>
    </w:p>
    <w:p>
      <w:pPr>
        <w:pStyle w:val="TextBody"/>
        <w:bidi w:val="0"/>
        <w:spacing w:before="240" w:after="0"/>
        <w:jc w:val="left"/>
        <w:rPr/>
      </w:pPr>
      <w:r>
        <w:rPr/>
        <w:t>“</w:t>
      </w:r>
      <w:r>
        <w:rPr>
          <w:rFonts w:ascii="Times New Roman" w:hAnsi="Times New Roman"/>
          <w:i/>
          <w:sz w:val="20"/>
        </w:rPr>
        <w:t>Senior Indebtedness</w:t>
      </w:r>
      <w:r>
        <w:rPr>
          <w:rFonts w:ascii="Times New Roman" w:hAnsi="Times New Roman"/>
          <w:sz w:val="20"/>
        </w:rPr>
        <w:t xml:space="preserve">” means Indebtedness of a Restricted Party unless the instrument under which such Indebtedness is incurred expressly provides that it is subordinated in right of payment to the Notes or any related Guarantee.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means any Restricted Party that, were it and all the other Restricted Parties each a Subsidiary of Sabre Financing, would be a “significant subsidiary” as defined in Article 1, Rule 1-02 of Regulation S-X, promulgated pursuant to the Securities Act, as such regulation is in effect on the Issue Date. </w:t>
      </w:r>
    </w:p>
    <w:p>
      <w:pPr>
        <w:pStyle w:val="TextBody"/>
        <w:bidi w:val="0"/>
        <w:spacing w:before="240" w:after="0"/>
        <w:jc w:val="left"/>
        <w:rPr/>
      </w:pPr>
      <w:r>
        <w:rPr/>
        <w:t>“</w:t>
      </w:r>
      <w:r>
        <w:rPr>
          <w:rFonts w:ascii="Times New Roman" w:hAnsi="Times New Roman"/>
          <w:i/>
          <w:sz w:val="20"/>
        </w:rPr>
        <w:t>Similar Business</w:t>
      </w:r>
      <w:r>
        <w:rPr>
          <w:rFonts w:ascii="Times New Roman" w:hAnsi="Times New Roman"/>
          <w:sz w:val="20"/>
        </w:rPr>
        <w:t xml:space="preserve">” means (1) any business conducted or proposed to be conducted by a Restricted Party on the Issue Date or (2) any business or other activities that are reasonably similar, incidental, ancillary, complementary or related to, or a reasonable extension, development or expansion of, the businesses in which a Restricted Party were engaged on the Issue Date. </w:t>
      </w:r>
    </w:p>
    <w:p>
      <w:pPr>
        <w:pStyle w:val="TextBody"/>
        <w:bidi w:val="0"/>
        <w:spacing w:before="360" w:after="0"/>
        <w:jc w:val="left"/>
        <w:rPr/>
      </w:pPr>
      <w:r>
        <w:rPr/>
        <w:t>“</w:t>
      </w:r>
      <w:r>
        <w:rPr>
          <w:rFonts w:ascii="Times New Roman" w:hAnsi="Times New Roman"/>
          <w:i/>
          <w:sz w:val="20"/>
        </w:rPr>
        <w:t>Specified Transaction</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(a) any Investment that results in a Person becoming a Restricted Subsidiary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(b) any designation by such Person of any Subsidiary to be an Unrestricted Subsidiary of such Person or of an Unrestricted Subsidiary to be a Restricted Subsidiary of such Person, in each case, in accordance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issuance or disposition by such Person or any of its Restricted Subsidiaries of Equity Interests such that any of such Person’s Restricted Subsidiaries ceases to be a Restricted Subsidiary; </w:t>
      </w:r>
    </w:p>
    <w:p>
      <w:pPr>
        <w:pStyle w:val="TextBody"/>
        <w:bidi w:val="0"/>
        <w:spacing w:before="120" w:after="0"/>
        <w:jc w:val="left"/>
        <w:rPr>
          <w:rFonts w:ascii="Times New Roman" w:hAnsi="Times New Roman"/>
          <w:sz w:val="20"/>
        </w:rPr>
      </w:pPr>
      <w:r>
        <w:rPr>
          <w:rFonts w:ascii="Times New Roman" w:hAnsi="Times New Roman"/>
          <w:sz w:val="20"/>
        </w:rPr>
        <w:t>(d) any acquisition or disposition by such Person or any of its Restricted Subsidiaries of property or assets constituting a business unit, line of business or division from or to any Person other than such Person or any of its Restricted Subsidiaries (each, a “</w:t>
      </w:r>
      <w:r>
        <w:rPr>
          <w:rFonts w:ascii="Times New Roman" w:hAnsi="Times New Roman"/>
          <w:i/>
          <w:sz w:val="20"/>
        </w:rPr>
        <w:t>Permitted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merger, consolidation or amalgamation involving such Person or any of its Restricted Subsidiaries (other than with or into such Person or any of its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(f) any closure of a business unit, line of business or division by such Person or any of its Restricted Subsidiaries. </w:t>
      </w:r>
    </w:p>
    <w:p>
      <w:pPr>
        <w:pStyle w:val="TextBody"/>
        <w:bidi w:val="0"/>
        <w:spacing w:before="240" w:after="0"/>
        <w:jc w:val="left"/>
        <w:rPr/>
      </w:pPr>
      <w:r>
        <w:rPr/>
        <w:t>“</w:t>
      </w:r>
      <w:r>
        <w:rPr>
          <w:rFonts w:ascii="Times New Roman" w:hAnsi="Times New Roman"/>
          <w:i/>
          <w:sz w:val="20"/>
        </w:rPr>
        <w:t>Standard Securitization Undertakings</w:t>
      </w:r>
      <w:r>
        <w:rPr>
          <w:rFonts w:ascii="Times New Roman" w:hAnsi="Times New Roman"/>
          <w:sz w:val="20"/>
        </w:rPr>
        <w:t xml:space="preserve">” means representations, warranties, covenants and indemnities entered into by the Company or any Restricted Party of the Company in a Securitization Financing. </w:t>
      </w:r>
    </w:p>
    <w:p>
      <w:pPr>
        <w:pStyle w:val="TextBody"/>
        <w:bidi w:val="0"/>
        <w:spacing w:before="240" w:after="0"/>
        <w:jc w:val="left"/>
        <w:rPr/>
      </w:pPr>
      <w:r>
        <w:rPr/>
        <w:t>“</w:t>
      </w:r>
      <w:r>
        <w:rPr>
          <w:rFonts w:ascii="Times New Roman" w:hAnsi="Times New Roman"/>
          <w:i/>
          <w:sz w:val="20"/>
        </w:rPr>
        <w:t>Subordinated Indebtedness</w:t>
      </w:r>
      <w:r>
        <w:rPr>
          <w:rFonts w:ascii="Times New Roman" w:hAnsi="Times New Roman"/>
          <w:sz w:val="20"/>
        </w:rPr>
        <w:t xml:space="preserve">” means,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of the Company which is by its terms subordinated in right of payment to the Notes; and </w:t>
      </w:r>
    </w:p>
    <w:p>
      <w:pPr>
        <w:pStyle w:val="TextBody"/>
        <w:bidi w:val="0"/>
        <w:spacing w:before="120" w:after="0"/>
        <w:jc w:val="left"/>
        <w:rPr>
          <w:rFonts w:ascii="Times New Roman" w:hAnsi="Times New Roman"/>
          <w:sz w:val="20"/>
        </w:rPr>
      </w:pPr>
      <w:r>
        <w:rPr>
          <w:rFonts w:ascii="Times New Roman" w:hAnsi="Times New Roman"/>
          <w:sz w:val="20"/>
        </w:rPr>
        <w:t xml:space="preserve">(2) any Indebtedness of any Guarantor which is by its terms subordinated in right of payment to the Guarantee of such entity of the Notes. </w:t>
      </w:r>
    </w:p>
    <w:p>
      <w:pPr>
        <w:pStyle w:val="TextBody"/>
        <w:bidi w:val="0"/>
        <w:spacing w:before="240" w:after="0"/>
        <w:jc w:val="left"/>
        <w:rPr/>
      </w:pPr>
      <w:r>
        <w:rPr/>
        <w:t>“</w:t>
      </w:r>
      <w:r>
        <w:rPr>
          <w:rFonts w:ascii="Times New Roman" w:hAnsi="Times New Roman"/>
          <w:i/>
          <w:sz w:val="20"/>
        </w:rPr>
        <w:t>Subsequent Equity Offering</w:t>
      </w:r>
      <w:r>
        <w:rPr>
          <w:rFonts w:ascii="Times New Roman" w:hAnsi="Times New Roman"/>
          <w:sz w:val="20"/>
        </w:rPr>
        <w:t xml:space="preserve">” means any public or private sale of common stock or Preferred Stock of Sabre GLBL or any of its direct or indirect parent companies (excluding Disqualified Stock (as defined under the New Intercompany Loan)), other than: </w:t>
      </w:r>
    </w:p>
    <w:p>
      <w:pPr>
        <w:pStyle w:val="TextBody"/>
        <w:bidi w:val="0"/>
        <w:spacing w:before="120" w:after="0"/>
        <w:jc w:val="left"/>
        <w:rPr>
          <w:rFonts w:ascii="Times New Roman" w:hAnsi="Times New Roman"/>
          <w:sz w:val="20"/>
        </w:rPr>
      </w:pPr>
      <w:r>
        <w:rPr>
          <w:rFonts w:ascii="Times New Roman" w:hAnsi="Times New Roman"/>
          <w:sz w:val="20"/>
        </w:rPr>
        <w:t xml:space="preserve">(1) public offerings with respect to Sabre GLBL’s or any direct or indirect parent company’s common stock registered on Form S-4 or Form S-8; </w:t>
      </w:r>
    </w:p>
    <w:p>
      <w:pPr>
        <w:pStyle w:val="TextBody"/>
        <w:bidi w:val="0"/>
        <w:spacing w:before="120" w:after="0"/>
        <w:jc w:val="left"/>
        <w:rPr>
          <w:rFonts w:ascii="Times New Roman" w:hAnsi="Times New Roman"/>
          <w:sz w:val="20"/>
        </w:rPr>
      </w:pPr>
      <w:r>
        <w:rPr>
          <w:rFonts w:ascii="Times New Roman" w:hAnsi="Times New Roman"/>
          <w:sz w:val="20"/>
        </w:rPr>
        <w:t xml:space="preserve">(2) issuances to any Subsidiary of Sabre GLBL; </w:t>
      </w:r>
    </w:p>
    <w:p>
      <w:pPr>
        <w:pStyle w:val="TextBody"/>
        <w:bidi w:val="0"/>
        <w:spacing w:before="120" w:after="0"/>
        <w:jc w:val="left"/>
        <w:rPr>
          <w:rFonts w:ascii="Times New Roman" w:hAnsi="Times New Roman"/>
          <w:sz w:val="20"/>
        </w:rPr>
      </w:pPr>
      <w:r>
        <w:rPr>
          <w:rFonts w:ascii="Times New Roman" w:hAnsi="Times New Roman"/>
          <w:sz w:val="20"/>
        </w:rPr>
        <w:t xml:space="preserve">(3) any such public or private sale that constitutes an Excluded Contribution (as defined under the New Intercompany Loan) or a Contributed Holdings Investment (as defined in the New Intercompany Loan); and </w:t>
      </w:r>
    </w:p>
    <w:p>
      <w:pPr>
        <w:pStyle w:val="TextBody"/>
        <w:bidi w:val="0"/>
        <w:spacing w:before="120" w:after="0"/>
        <w:jc w:val="left"/>
        <w:rPr>
          <w:rFonts w:ascii="Times New Roman" w:hAnsi="Times New Roman"/>
          <w:sz w:val="20"/>
        </w:rPr>
      </w:pPr>
      <w:r>
        <w:rPr>
          <w:rFonts w:ascii="Times New Roman" w:hAnsi="Times New Roman"/>
          <w:sz w:val="20"/>
        </w:rPr>
        <w:t xml:space="preserve">(4) offerings or issuances by Sabre GLBL or any of its direct or indirect parent companies (to the extent the net cash proceeds thereof are contributed to the common equity capital of Sabre GLBL or used to purchase Capital Stock (other than Disqualified Stock) (in each case, as defined under the New Intercompany Loan) of Sabre GLBL from it, whether or not such subsequent contribution or purchase occurs prior to or after the Issue Date) pursuant to agreements entered into prior to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Subsidiary</w:t>
      </w:r>
      <w:r>
        <w:rPr>
          <w:rFonts w:ascii="Times New Roman" w:hAnsi="Times New Roman"/>
          <w:sz w:val="20"/>
        </w:rPr>
        <w:t xml:space="preserve">” means, with respect to any Person, a corporation, partnership, joint venture, limited liability company or other business entity (excluding, for the avoidance of doubt, charitable foundations)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p>
    <w:p>
      <w:pPr>
        <w:pStyle w:val="TextBody"/>
        <w:bidi w:val="0"/>
        <w:spacing w:before="240" w:after="0"/>
        <w:jc w:val="left"/>
        <w:rPr/>
      </w:pPr>
      <w:r>
        <w:rPr/>
        <w:t>“</w:t>
      </w:r>
      <w:r>
        <w:rPr>
          <w:rFonts w:ascii="Times New Roman" w:hAnsi="Times New Roman"/>
          <w:i/>
          <w:sz w:val="20"/>
        </w:rPr>
        <w:t>Total Assets</w:t>
      </w:r>
      <w:r>
        <w:rPr>
          <w:rFonts w:ascii="Times New Roman" w:hAnsi="Times New Roman"/>
          <w:sz w:val="20"/>
        </w:rPr>
        <w:t xml:space="preserve">” means the total assets of the Restricted Group, determined on a consolidated basis in accordance with GAAP, as shown on the most recent balance sheets of such persons as may be expressly stated. </w:t>
      </w:r>
    </w:p>
    <w:p>
      <w:pPr>
        <w:pStyle w:val="TextBody"/>
        <w:bidi w:val="0"/>
        <w:spacing w:before="240" w:after="0"/>
        <w:jc w:val="left"/>
        <w:rPr/>
      </w:pPr>
      <w:r>
        <w:rPr/>
        <w:t>“</w:t>
      </w:r>
      <w:r>
        <w:rPr>
          <w:rFonts w:ascii="Times New Roman" w:hAnsi="Times New Roman"/>
          <w:i/>
          <w:sz w:val="20"/>
        </w:rPr>
        <w:t>Transaction Expenses</w:t>
      </w:r>
      <w:r>
        <w:rPr>
          <w:rFonts w:ascii="Times New Roman" w:hAnsi="Times New Roman"/>
          <w:sz w:val="20"/>
        </w:rPr>
        <w:t xml:space="preserve">” means any fees or expenses incurred or paid by a Restricted Party in connection with the issuance of the Notes issued on the Issue Date and the use of proceeds therefrom.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as of any Redemption Date, the yield to maturity as of such Redemption Date of United States Treasury Securities with a constant maturity (as compiled and published in the most recent Federal Reserve Statistical Release H.15(519) that has become publicly available at least two Business Days prior to the Redemption Date (or, if such Statistical Release is no longer published, any publicly available source of similar market data)) most nearly equal to the period from the Redemption Date to October 15, 2029; </w:t>
      </w:r>
      <w:r>
        <w:rPr>
          <w:rFonts w:ascii="Times New Roman" w:hAnsi="Times New Roman"/>
          <w:i/>
          <w:sz w:val="20"/>
        </w:rPr>
        <w:t xml:space="preserve">provided </w:t>
      </w:r>
      <w:r>
        <w:rPr>
          <w:rFonts w:ascii="Times New Roman" w:hAnsi="Times New Roman"/>
          <w:sz w:val="20"/>
        </w:rPr>
        <w:t xml:space="preserve">that if the period from the Redemption Date to such date is less than one year, the weekly average yield on actually traded United States Treasury Securities adjusted to a constant maturity of one year will be used. </w:t>
      </w:r>
    </w:p>
    <w:p>
      <w:pPr>
        <w:pStyle w:val="TextBody"/>
        <w:bidi w:val="0"/>
        <w:spacing w:before="240" w:after="0"/>
        <w:jc w:val="left"/>
        <w:rPr/>
      </w:pPr>
      <w:r>
        <w:rPr/>
        <w:t>“</w:t>
      </w:r>
      <w:r>
        <w:rPr>
          <w:rFonts w:ascii="Times New Roman" w:hAnsi="Times New Roman"/>
          <w:i/>
          <w:sz w:val="20"/>
        </w:rPr>
        <w:t>Treasury Securities</w:t>
      </w:r>
      <w:r>
        <w:rPr>
          <w:rFonts w:ascii="Times New Roman" w:hAnsi="Times New Roman"/>
          <w:sz w:val="20"/>
        </w:rPr>
        <w:t xml:space="preserve">” means any investment in obligations issued or guaranteed by the United States government or any agency thereof, in each case, maturing no later than October 15, 2032.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Wilmington Trust, National Association, in its capacity as trustee under this Indenture, until a successor trustee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i/>
          <w:sz w:val="20"/>
        </w:rPr>
        <w:t>Underlying Debt</w:t>
      </w:r>
      <w:r>
        <w:rPr>
          <w:rFonts w:ascii="Times New Roman" w:hAnsi="Times New Roman"/>
          <w:sz w:val="20"/>
        </w:rPr>
        <w:t xml:space="preserve">” means in relation to the Company or any Guarantor and at any time, each obligation (whether present or future, actual or contingent) owing by the Company or such Guarantor to a First Lien Secured Party under this Indenture, the Notes or the Security Documents (including for the avoidance of doubt any change or increase in those obligations pursuant to or in connection with any amendment or supplement or restatement or novation of this Indenture, the Notes or any Security Document, in each case whether or not anticipated as of the date of this Indenture) excluding the Company’s or such Guarantor’s Parallel Debt, as applicable. </w:t>
      </w:r>
    </w:p>
    <w:p>
      <w:pPr>
        <w:pStyle w:val="TextBody"/>
        <w:bidi w:val="0"/>
        <w:spacing w:before="240" w:after="0"/>
        <w:jc w:val="left"/>
        <w:rPr/>
      </w:pPr>
      <w:r>
        <w:rPr/>
        <w:t>“</w:t>
      </w:r>
      <w:r>
        <w:rPr>
          <w:rFonts w:ascii="Times New Roman" w:hAnsi="Times New Roman"/>
          <w:i/>
          <w:sz w:val="20"/>
        </w:rPr>
        <w:t>Unrestricted Definitive Note</w:t>
      </w:r>
      <w:r>
        <w:rPr>
          <w:rFonts w:ascii="Times New Roman" w:hAnsi="Times New Roman"/>
          <w:sz w:val="20"/>
        </w:rPr>
        <w:t xml:space="preserve">” means a Definitive Note that does not bear and is not required to bear the Private Placement Legend. </w:t>
      </w:r>
    </w:p>
    <w:p>
      <w:pPr>
        <w:pStyle w:val="TextBody"/>
        <w:bidi w:val="0"/>
        <w:spacing w:before="240" w:after="0"/>
        <w:jc w:val="left"/>
        <w:rPr/>
      </w:pPr>
      <w:r>
        <w:rPr/>
        <w:t>“</w:t>
      </w:r>
      <w:r>
        <w:rPr>
          <w:rFonts w:ascii="Times New Roman" w:hAnsi="Times New Roman"/>
          <w:i/>
          <w:sz w:val="20"/>
        </w:rPr>
        <w:t>Unrestricted Global Note</w:t>
      </w:r>
      <w:r>
        <w:rPr>
          <w:rFonts w:ascii="Times New Roman" w:hAnsi="Times New Roman"/>
          <w:sz w:val="20"/>
        </w:rPr>
        <w:t xml:space="preserve">” means a Global Note that does not bear and is not required to bear the Private Placement Legend.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any Subsidiary of the Company (but not a Subsidiary of Sabre Financing which is not a Subsidiary of the Company), of Lux Parent or of the Polish Guarantor which at the time of determination is an Unrestricted Subsidiary (as designated by the Company, Lux Parent or the Polish Guarantor, as provided below); and </w:t>
      </w:r>
    </w:p>
    <w:p>
      <w:pPr>
        <w:pStyle w:val="TextBody"/>
        <w:bidi w:val="0"/>
        <w:spacing w:before="120" w:after="0"/>
        <w:jc w:val="left"/>
        <w:rPr>
          <w:rFonts w:ascii="Times New Roman" w:hAnsi="Times New Roman"/>
          <w:sz w:val="20"/>
        </w:rPr>
      </w:pPr>
      <w:r>
        <w:rPr>
          <w:rFonts w:ascii="Times New Roman" w:hAnsi="Times New Roman"/>
          <w:sz w:val="20"/>
        </w:rPr>
        <w:t xml:space="preserve">(2) any Subsidiary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The Company, Lux Parent and the Polish Guarantor may designate any of their Subsidiaries (including any existing Subsidiary and any newly acquired or newly formed Subsidiary) to be an Unrestricted Subsidiary unless such Subsidiary or any of its Subsidiaries owns any Equity Interests or Indebtedness of, or owns or holds any Lien on, any property of, the Company, Lux Parent, the Polish Guarantor or any of their respective Subsidiaries (other than solely any Subsidiary of the Subsidiary to be so designated);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such designation is not prohibited by Section 4.07 hereof; and </w:t>
      </w:r>
    </w:p>
    <w:p>
      <w:pPr>
        <w:pStyle w:val="TextBody"/>
        <w:bidi w:val="0"/>
        <w:spacing w:before="120" w:after="0"/>
        <w:jc w:val="left"/>
        <w:rPr>
          <w:rFonts w:ascii="Times New Roman" w:hAnsi="Times New Roman"/>
          <w:sz w:val="20"/>
        </w:rPr>
      </w:pPr>
      <w:r>
        <w:rPr>
          <w:rFonts w:ascii="Times New Roman" w:hAnsi="Times New Roman"/>
          <w:sz w:val="20"/>
        </w:rPr>
        <w:t xml:space="preserve">(2)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any Restricted Party except for guarantees by any Restricted Party incurred in accordance with the applicable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a Restricted Party shall only be permitted to be designated as an Unrestricted Subsidiary (x) if such Restricted Party constitutes or will substantially concurrently constitute an “Unrestricted Subsidiary” under the New Intercompany Loan and (y) in connection with the creation of a bona fide joint venture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Any such designation by the Company shall be notified by the Company to the Trustee by promptly delivering to the Trustee a copy of the resolution of the board of directors (or a similar governing body) of the Company or any committee thereof giving effect to such designation and an Officer’s Certificate certifying that such designation complied with the foregoing provisions. </w:t>
      </w:r>
    </w:p>
    <w:p>
      <w:pPr>
        <w:pStyle w:val="TextBody"/>
        <w:bidi w:val="0"/>
        <w:spacing w:before="240" w:after="0"/>
        <w:jc w:val="left"/>
        <w:rPr/>
      </w:pPr>
      <w:r>
        <w:rPr/>
        <w:t>“</w:t>
      </w:r>
      <w:r>
        <w:rPr>
          <w:rFonts w:ascii="Times New Roman" w:hAnsi="Times New Roman"/>
          <w:i/>
          <w:sz w:val="20"/>
        </w:rPr>
        <w:t>U.S. Person</w:t>
      </w:r>
      <w:r>
        <w:rPr>
          <w:rFonts w:ascii="Times New Roman" w:hAnsi="Times New Roman"/>
          <w:sz w:val="20"/>
        </w:rPr>
        <w:t xml:space="preserve">” means a U.S. Person as defined in Rule 902(k) promulgated under the Securities Act. </w:t>
      </w:r>
    </w:p>
    <w:p>
      <w:pPr>
        <w:pStyle w:val="TextBody"/>
        <w:bidi w:val="0"/>
        <w:spacing w:before="240" w:after="0"/>
        <w:jc w:val="left"/>
        <w:rPr/>
      </w:pPr>
      <w:r>
        <w:rPr/>
        <w:t>“</w:t>
      </w:r>
      <w:r>
        <w:rPr>
          <w:rFonts w:ascii="Times New Roman" w:hAnsi="Times New Roman"/>
          <w:i/>
          <w:sz w:val="20"/>
        </w:rPr>
        <w:t>U.S. Subsidiary</w:t>
      </w:r>
      <w:r>
        <w:rPr>
          <w:rFonts w:ascii="Times New Roman" w:hAnsi="Times New Roman"/>
          <w:sz w:val="20"/>
        </w:rPr>
        <w:t xml:space="preserve">” means, with respect to any Person, any Restricted Subsidiary of such Person that is organized or existing under the laws of the United States, any state thereof or the District of Columbia.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at the time entitled to vote in the election of the board of directors (or a similar governing body)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Weighted Average Life to Maturity</w:t>
      </w:r>
      <w:r>
        <w:rPr>
          <w:rFonts w:ascii="Times New Roman" w:hAnsi="Times New Roman"/>
          <w:sz w:val="20"/>
        </w:rPr>
        <w:t xml:space="preserve">” means, when applied to any Indebtedness, Disqualified Stock or Preferred Stock, as the case may be, at any date, the quotient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w:t>
      </w:r>
    </w:p>
    <w:p>
      <w:pPr>
        <w:pStyle w:val="TextBody"/>
        <w:bidi w:val="0"/>
        <w:spacing w:before="120" w:after="0"/>
        <w:jc w:val="left"/>
        <w:rPr>
          <w:rFonts w:ascii="Times New Roman" w:hAnsi="Times New Roman"/>
          <w:sz w:val="20"/>
        </w:rPr>
      </w:pPr>
      <w:r>
        <w:rPr>
          <w:rFonts w:ascii="Times New Roman" w:hAnsi="Times New Roman"/>
          <w:sz w:val="20"/>
        </w:rPr>
        <w:t xml:space="preserve">(2) the sum of all such payments. </w:t>
      </w:r>
    </w:p>
    <w:p>
      <w:pPr>
        <w:pStyle w:val="TextBody"/>
        <w:bidi w:val="0"/>
        <w:spacing w:before="240" w:after="0"/>
        <w:jc w:val="left"/>
        <w:rPr/>
      </w:pPr>
      <w:r>
        <w:rPr/>
        <w:t>“</w:t>
      </w:r>
      <w:r>
        <w:rPr>
          <w:rFonts w:ascii="Times New Roman" w:hAnsi="Times New Roman"/>
          <w:i/>
          <w:sz w:val="20"/>
        </w:rPr>
        <w:t>Wholly-Owned Subsidiary</w:t>
      </w:r>
      <w:r>
        <w:rPr>
          <w:rFonts w:ascii="Times New Roman" w:hAnsi="Times New Roman"/>
          <w:sz w:val="20"/>
        </w:rPr>
        <w:t xml:space="preserve">” of any Person means a Subsidiary of such Person, 100% of the outstanding Equity Interests of which (other than directors’ qualifying shares and shares issued to foreign nationals as required by applicable law) shall at the time be owned by such Person or by one or more Wholly-Owned Subsidiaries of such Person or by such Person and one or more Wholly-Owned Subsidiaries of such Person. </w:t>
      </w:r>
    </w:p>
    <w:p>
      <w:pPr>
        <w:pStyle w:val="TextBody"/>
        <w:bidi w:val="0"/>
        <w:spacing w:before="36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3"/>
        <w:gridCol w:w="122"/>
        <w:gridCol w:w="4890"/>
      </w:tblGrid>
      <w:tr>
        <w:trPr/>
        <w:tc>
          <w:tcPr>
            <w:tcW w:w="519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0" w:type="dxa"/>
            <w:tcBorders/>
            <w:vAlign w:val="center"/>
          </w:tcPr>
          <w:p>
            <w:pPr>
              <w:pStyle w:val="TableContents"/>
              <w:bidi w:val="0"/>
              <w:spacing w:before="0" w:after="283"/>
              <w:jc w:val="left"/>
              <w:rPr>
                <w:sz w:val="4"/>
                <w:szCs w:val="4"/>
              </w:rPr>
            </w:pPr>
            <w:r>
              <w:rPr>
                <w:sz w:val="4"/>
                <w:szCs w:val="4"/>
              </w:rPr>
            </w:r>
          </w:p>
        </w:tc>
      </w:tr>
      <w:tr>
        <w:trPr/>
        <w:tc>
          <w:tcPr>
            <w:tcW w:w="519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122" w:type="dxa"/>
            <w:tcBorders/>
            <w:vAlign w:val="bottom"/>
          </w:tcPr>
          <w:p>
            <w:pPr>
              <w:pStyle w:val="TableContents"/>
              <w:bidi w:val="0"/>
              <w:spacing w:before="0" w:after="283"/>
              <w:jc w:val="left"/>
              <w:rPr/>
            </w:pPr>
            <w:r>
              <w:rPr/>
              <w:t>  </w:t>
            </w:r>
          </w:p>
        </w:tc>
        <w:tc>
          <w:tcPr>
            <w:tcW w:w="489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Defined in Section</w:t>
            </w:r>
          </w:p>
        </w:tc>
      </w:tr>
      <w:tr>
        <w:trPr/>
        <w:tc>
          <w:tcPr>
            <w:tcW w:w="5193" w:type="dxa"/>
            <w:tcBorders/>
          </w:tcPr>
          <w:p>
            <w:pPr>
              <w:pStyle w:val="TableContents"/>
              <w:bidi w:val="0"/>
              <w:spacing w:before="0" w:after="283"/>
              <w:jc w:val="left"/>
              <w:rPr/>
            </w:pPr>
            <w:r>
              <w:rPr/>
              <w:t>“</w:t>
            </w:r>
            <w:r>
              <w:rPr>
                <w:i/>
              </w:rPr>
              <w:t>Acceptable Commitment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4.10</w:t>
            </w:r>
          </w:p>
        </w:tc>
      </w:tr>
      <w:tr>
        <w:trPr/>
        <w:tc>
          <w:tcPr>
            <w:tcW w:w="5193" w:type="dxa"/>
            <w:tcBorders/>
          </w:tcPr>
          <w:p>
            <w:pPr>
              <w:pStyle w:val="TableContents"/>
              <w:bidi w:val="0"/>
              <w:spacing w:before="0" w:after="283"/>
              <w:jc w:val="left"/>
              <w:rPr/>
            </w:pPr>
            <w:r>
              <w:rPr/>
              <w:t>“</w:t>
            </w:r>
            <w:r>
              <w:rPr>
                <w:i/>
              </w:rPr>
              <w:t>Affiliate Transaction</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4.11</w:t>
            </w:r>
          </w:p>
        </w:tc>
      </w:tr>
      <w:tr>
        <w:trPr/>
        <w:tc>
          <w:tcPr>
            <w:tcW w:w="5193" w:type="dxa"/>
            <w:tcBorders/>
          </w:tcPr>
          <w:p>
            <w:pPr>
              <w:pStyle w:val="TableContents"/>
              <w:bidi w:val="0"/>
              <w:spacing w:before="0" w:after="283"/>
              <w:jc w:val="left"/>
              <w:rPr/>
            </w:pPr>
            <w:r>
              <w:rPr/>
              <w:t>“</w:t>
            </w:r>
            <w:r>
              <w:rPr>
                <w:i/>
              </w:rPr>
              <w:t>Applicable Premium Deficit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8.04</w:t>
            </w:r>
          </w:p>
        </w:tc>
      </w:tr>
      <w:tr>
        <w:trPr/>
        <w:tc>
          <w:tcPr>
            <w:tcW w:w="5193" w:type="dxa"/>
            <w:tcBorders/>
          </w:tcPr>
          <w:p>
            <w:pPr>
              <w:pStyle w:val="TableContents"/>
              <w:bidi w:val="0"/>
              <w:spacing w:before="0" w:after="283"/>
              <w:jc w:val="left"/>
              <w:rPr/>
            </w:pPr>
            <w:r>
              <w:rPr/>
              <w:t>“</w:t>
            </w:r>
            <w:r>
              <w:rPr>
                <w:i/>
              </w:rPr>
              <w:t>Asset Sale Offer</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3.09</w:t>
            </w:r>
          </w:p>
        </w:tc>
      </w:tr>
      <w:tr>
        <w:trPr/>
        <w:tc>
          <w:tcPr>
            <w:tcW w:w="5193" w:type="dxa"/>
            <w:tcBorders/>
          </w:tcPr>
          <w:p>
            <w:pPr>
              <w:pStyle w:val="TableContents"/>
              <w:bidi w:val="0"/>
              <w:spacing w:before="0" w:after="283"/>
              <w:jc w:val="left"/>
              <w:rPr/>
            </w:pPr>
            <w:r>
              <w:rPr/>
              <w:t>“</w:t>
            </w:r>
            <w:r>
              <w:rPr>
                <w:i/>
              </w:rPr>
              <w:t>Authentication Order</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2.02</w:t>
            </w:r>
          </w:p>
        </w:tc>
      </w:tr>
      <w:tr>
        <w:trPr/>
        <w:tc>
          <w:tcPr>
            <w:tcW w:w="5193" w:type="dxa"/>
            <w:tcBorders/>
          </w:tcPr>
          <w:p>
            <w:pPr>
              <w:pStyle w:val="TableContents"/>
              <w:bidi w:val="0"/>
              <w:spacing w:before="0" w:after="283"/>
              <w:jc w:val="left"/>
              <w:rPr/>
            </w:pPr>
            <w:r>
              <w:rPr/>
              <w:t>“</w:t>
            </w:r>
            <w:r>
              <w:rPr>
                <w:i/>
              </w:rPr>
              <w:t>Change of Control Offer</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4.15</w:t>
            </w:r>
          </w:p>
        </w:tc>
      </w:tr>
      <w:tr>
        <w:trPr/>
        <w:tc>
          <w:tcPr>
            <w:tcW w:w="5193" w:type="dxa"/>
            <w:tcBorders/>
          </w:tcPr>
          <w:p>
            <w:pPr>
              <w:pStyle w:val="TableContents"/>
              <w:bidi w:val="0"/>
              <w:spacing w:before="0" w:after="283"/>
              <w:jc w:val="left"/>
              <w:rPr/>
            </w:pPr>
            <w:r>
              <w:rPr/>
              <w:t>“</w:t>
            </w:r>
            <w:r>
              <w:rPr>
                <w:i/>
              </w:rPr>
              <w:t>Change of Control Payment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4.15</w:t>
            </w:r>
          </w:p>
        </w:tc>
      </w:tr>
      <w:tr>
        <w:trPr/>
        <w:tc>
          <w:tcPr>
            <w:tcW w:w="5193" w:type="dxa"/>
            <w:tcBorders/>
          </w:tcPr>
          <w:p>
            <w:pPr>
              <w:pStyle w:val="TableContents"/>
              <w:bidi w:val="0"/>
              <w:spacing w:before="0" w:after="283"/>
              <w:jc w:val="left"/>
              <w:rPr/>
            </w:pPr>
            <w:r>
              <w:rPr/>
              <w:t>“</w:t>
            </w:r>
            <w:r>
              <w:rPr>
                <w:i/>
              </w:rPr>
              <w:t>Change of Control Payment Date</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4.15</w:t>
            </w:r>
          </w:p>
        </w:tc>
      </w:tr>
      <w:tr>
        <w:trPr/>
        <w:tc>
          <w:tcPr>
            <w:tcW w:w="5193" w:type="dxa"/>
            <w:tcBorders/>
          </w:tcPr>
          <w:p>
            <w:pPr>
              <w:pStyle w:val="TableContents"/>
              <w:bidi w:val="0"/>
              <w:spacing w:before="0" w:after="283"/>
              <w:jc w:val="left"/>
              <w:rPr/>
            </w:pPr>
            <w:r>
              <w:rPr/>
              <w:t>“</w:t>
            </w:r>
            <w:r>
              <w:rPr>
                <w:i/>
              </w:rPr>
              <w:t>Covenant Defeasance</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8.03</w:t>
            </w:r>
          </w:p>
        </w:tc>
      </w:tr>
      <w:tr>
        <w:trPr/>
        <w:tc>
          <w:tcPr>
            <w:tcW w:w="5193" w:type="dxa"/>
            <w:tcBorders/>
          </w:tcPr>
          <w:p>
            <w:pPr>
              <w:pStyle w:val="TableContents"/>
              <w:bidi w:val="0"/>
              <w:spacing w:before="0" w:after="283"/>
              <w:jc w:val="left"/>
              <w:rPr/>
            </w:pPr>
            <w:r>
              <w:rPr/>
              <w:t>“</w:t>
            </w:r>
            <w:r>
              <w:rPr>
                <w:i/>
              </w:rPr>
              <w:t>DTC</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2.03</w:t>
            </w:r>
          </w:p>
        </w:tc>
      </w:tr>
      <w:tr>
        <w:trPr/>
        <w:tc>
          <w:tcPr>
            <w:tcW w:w="5193" w:type="dxa"/>
            <w:tcBorders/>
          </w:tcPr>
          <w:p>
            <w:pPr>
              <w:pStyle w:val="TableContents"/>
              <w:bidi w:val="0"/>
              <w:spacing w:before="0" w:after="283"/>
              <w:jc w:val="left"/>
              <w:rPr/>
            </w:pPr>
            <w:r>
              <w:rPr/>
              <w:t>“</w:t>
            </w:r>
            <w:r>
              <w:rPr>
                <w:i/>
              </w:rPr>
              <w:t>Event of Default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6.01</w:t>
            </w:r>
          </w:p>
        </w:tc>
      </w:tr>
      <w:tr>
        <w:trPr/>
        <w:tc>
          <w:tcPr>
            <w:tcW w:w="5193" w:type="dxa"/>
            <w:tcBorders/>
          </w:tcPr>
          <w:p>
            <w:pPr>
              <w:pStyle w:val="TableContents"/>
              <w:bidi w:val="0"/>
              <w:spacing w:before="0" w:after="283"/>
              <w:jc w:val="left"/>
              <w:rPr/>
            </w:pPr>
            <w:r>
              <w:rPr/>
              <w:t>“</w:t>
            </w:r>
            <w:r>
              <w:rPr>
                <w:i/>
              </w:rPr>
              <w:t>Excess Proceeds</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4.10</w:t>
            </w:r>
          </w:p>
        </w:tc>
      </w:tr>
      <w:tr>
        <w:trPr/>
        <w:tc>
          <w:tcPr>
            <w:tcW w:w="5193" w:type="dxa"/>
            <w:tcBorders/>
          </w:tcPr>
          <w:p>
            <w:pPr>
              <w:pStyle w:val="TableContents"/>
              <w:bidi w:val="0"/>
              <w:spacing w:before="0" w:after="283"/>
              <w:jc w:val="left"/>
              <w:rPr/>
            </w:pPr>
            <w:r>
              <w:rPr/>
              <w:t>“</w:t>
            </w:r>
            <w:r>
              <w:rPr>
                <w:i/>
              </w:rPr>
              <w:t>Guarantor Coverage Test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4.16</w:t>
            </w:r>
          </w:p>
        </w:tc>
      </w:tr>
      <w:tr>
        <w:trPr/>
        <w:tc>
          <w:tcPr>
            <w:tcW w:w="5193" w:type="dxa"/>
            <w:tcBorders/>
          </w:tcPr>
          <w:p>
            <w:pPr>
              <w:pStyle w:val="TableContents"/>
              <w:bidi w:val="0"/>
              <w:spacing w:before="0" w:after="283"/>
              <w:jc w:val="left"/>
              <w:rPr/>
            </w:pPr>
            <w:r>
              <w:rPr/>
              <w:t>“</w:t>
            </w:r>
            <w:r>
              <w:rPr>
                <w:i/>
              </w:rPr>
              <w:t>incur</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4.09</w:t>
            </w:r>
          </w:p>
        </w:tc>
      </w:tr>
      <w:tr>
        <w:trPr/>
        <w:tc>
          <w:tcPr>
            <w:tcW w:w="5193" w:type="dxa"/>
            <w:tcBorders/>
          </w:tcPr>
          <w:p>
            <w:pPr>
              <w:pStyle w:val="TableContents"/>
              <w:bidi w:val="0"/>
              <w:spacing w:before="0" w:after="283"/>
              <w:jc w:val="left"/>
              <w:rPr/>
            </w:pPr>
            <w:r>
              <w:rPr/>
              <w:t>“</w:t>
            </w:r>
            <w:r>
              <w:rPr>
                <w:i/>
              </w:rPr>
              <w:t>Intercompany Actions</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7.10</w:t>
            </w:r>
          </w:p>
        </w:tc>
      </w:tr>
      <w:tr>
        <w:trPr/>
        <w:tc>
          <w:tcPr>
            <w:tcW w:w="5193" w:type="dxa"/>
            <w:tcBorders/>
          </w:tcPr>
          <w:p>
            <w:pPr>
              <w:pStyle w:val="TableContents"/>
              <w:bidi w:val="0"/>
              <w:spacing w:before="0" w:after="283"/>
              <w:jc w:val="left"/>
              <w:rPr/>
            </w:pPr>
            <w:r>
              <w:rPr/>
              <w:t>“</w:t>
            </w:r>
            <w:r>
              <w:rPr>
                <w:i/>
              </w:rPr>
              <w:t>Legal Defeasance</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8.02</w:t>
            </w:r>
          </w:p>
        </w:tc>
      </w:tr>
      <w:tr>
        <w:trPr/>
        <w:tc>
          <w:tcPr>
            <w:tcW w:w="5193" w:type="dxa"/>
            <w:tcBorders/>
          </w:tcPr>
          <w:p>
            <w:pPr>
              <w:pStyle w:val="TableContents"/>
              <w:bidi w:val="0"/>
              <w:spacing w:before="0" w:after="283"/>
              <w:jc w:val="left"/>
              <w:rPr/>
            </w:pPr>
            <w:r>
              <w:rPr/>
              <w:t>“</w:t>
            </w:r>
            <w:r>
              <w:rPr>
                <w:i/>
              </w:rPr>
              <w:t>Offer Amount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3.09</w:t>
            </w:r>
          </w:p>
        </w:tc>
      </w:tr>
      <w:tr>
        <w:trPr/>
        <w:tc>
          <w:tcPr>
            <w:tcW w:w="5193" w:type="dxa"/>
            <w:tcBorders/>
          </w:tcPr>
          <w:p>
            <w:pPr>
              <w:pStyle w:val="TableContents"/>
              <w:bidi w:val="0"/>
              <w:spacing w:before="0" w:after="283"/>
              <w:jc w:val="left"/>
              <w:rPr/>
            </w:pPr>
            <w:r>
              <w:rPr/>
              <w:t>“</w:t>
            </w:r>
            <w:r>
              <w:rPr>
                <w:i/>
              </w:rPr>
              <w:t>Offer Period</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3.09</w:t>
            </w:r>
          </w:p>
        </w:tc>
      </w:tr>
      <w:tr>
        <w:trPr/>
        <w:tc>
          <w:tcPr>
            <w:tcW w:w="5193" w:type="dxa"/>
            <w:tcBorders/>
          </w:tcPr>
          <w:p>
            <w:pPr>
              <w:pStyle w:val="TableContents"/>
              <w:bidi w:val="0"/>
              <w:spacing w:before="0" w:after="283"/>
              <w:jc w:val="left"/>
              <w:rPr/>
            </w:pPr>
            <w:r>
              <w:rPr/>
              <w:t>“</w:t>
            </w:r>
            <w:r>
              <w:rPr>
                <w:i/>
              </w:rPr>
              <w:t>Paying Agent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2.03</w:t>
            </w:r>
          </w:p>
        </w:tc>
      </w:tr>
      <w:tr>
        <w:trPr/>
        <w:tc>
          <w:tcPr>
            <w:tcW w:w="5193" w:type="dxa"/>
            <w:tcBorders/>
          </w:tcPr>
          <w:p>
            <w:pPr>
              <w:pStyle w:val="TableContents"/>
              <w:bidi w:val="0"/>
              <w:spacing w:before="0" w:after="283"/>
              <w:jc w:val="left"/>
              <w:rPr/>
            </w:pPr>
            <w:r>
              <w:rPr/>
              <w:t>“</w:t>
            </w:r>
            <w:r>
              <w:rPr>
                <w:i/>
              </w:rPr>
              <w:t>payment default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6.01</w:t>
            </w:r>
          </w:p>
        </w:tc>
      </w:tr>
      <w:tr>
        <w:trPr/>
        <w:tc>
          <w:tcPr>
            <w:tcW w:w="5193" w:type="dxa"/>
            <w:tcBorders/>
          </w:tcPr>
          <w:p>
            <w:pPr>
              <w:pStyle w:val="TableContents"/>
              <w:bidi w:val="0"/>
              <w:spacing w:before="0" w:after="283"/>
              <w:jc w:val="left"/>
              <w:rPr/>
            </w:pPr>
            <w:r>
              <w:rPr/>
              <w:t>“</w:t>
            </w:r>
            <w:r>
              <w:rPr>
                <w:i/>
              </w:rPr>
              <w:t>Pari Passu Indebtedness</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3.09</w:t>
            </w:r>
          </w:p>
        </w:tc>
      </w:tr>
      <w:tr>
        <w:trPr/>
        <w:tc>
          <w:tcPr>
            <w:tcW w:w="5193" w:type="dxa"/>
            <w:tcBorders/>
          </w:tcPr>
          <w:p>
            <w:pPr>
              <w:pStyle w:val="TableContents"/>
              <w:bidi w:val="0"/>
              <w:spacing w:before="0" w:after="283"/>
              <w:jc w:val="left"/>
              <w:rPr/>
            </w:pPr>
            <w:r>
              <w:rPr/>
              <w:t>“</w:t>
            </w:r>
            <w:r>
              <w:rPr>
                <w:i/>
              </w:rPr>
              <w:t>Post-Closing Assumption Date</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4.17</w:t>
            </w:r>
          </w:p>
        </w:tc>
      </w:tr>
      <w:tr>
        <w:trPr/>
        <w:tc>
          <w:tcPr>
            <w:tcW w:w="5193" w:type="dxa"/>
            <w:tcBorders/>
          </w:tcPr>
          <w:p>
            <w:pPr>
              <w:pStyle w:val="TableContents"/>
              <w:bidi w:val="0"/>
              <w:spacing w:before="0" w:after="283"/>
              <w:jc w:val="left"/>
              <w:rPr/>
            </w:pPr>
            <w:r>
              <w:rPr/>
              <w:t>“</w:t>
            </w:r>
            <w:r>
              <w:rPr>
                <w:i/>
              </w:rPr>
              <w:t>Purchase Date</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3.09</w:t>
            </w:r>
          </w:p>
        </w:tc>
      </w:tr>
      <w:tr>
        <w:trPr/>
        <w:tc>
          <w:tcPr>
            <w:tcW w:w="5193" w:type="dxa"/>
            <w:tcBorders/>
          </w:tcPr>
          <w:p>
            <w:pPr>
              <w:pStyle w:val="TableContents"/>
              <w:bidi w:val="0"/>
              <w:spacing w:before="0" w:after="283"/>
              <w:jc w:val="left"/>
              <w:rPr/>
            </w:pPr>
            <w:r>
              <w:rPr/>
              <w:t>“</w:t>
            </w:r>
            <w:r>
              <w:rPr>
                <w:i/>
              </w:rPr>
              <w:t>Refinancing Indebtedness</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4.09</w:t>
            </w:r>
          </w:p>
        </w:tc>
      </w:tr>
      <w:tr>
        <w:trPr/>
        <w:tc>
          <w:tcPr>
            <w:tcW w:w="5193" w:type="dxa"/>
            <w:tcBorders/>
          </w:tcPr>
          <w:p>
            <w:pPr>
              <w:pStyle w:val="TableContents"/>
              <w:bidi w:val="0"/>
              <w:spacing w:before="0" w:after="283"/>
              <w:jc w:val="left"/>
              <w:rPr/>
            </w:pPr>
            <w:r>
              <w:rPr/>
              <w:t>“</w:t>
            </w:r>
            <w:r>
              <w:rPr>
                <w:i/>
              </w:rPr>
              <w:t>Refunding Capital Stock</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4.07</w:t>
            </w:r>
          </w:p>
        </w:tc>
      </w:tr>
      <w:tr>
        <w:trPr/>
        <w:tc>
          <w:tcPr>
            <w:tcW w:w="5193" w:type="dxa"/>
            <w:tcBorders/>
          </w:tcPr>
          <w:p>
            <w:pPr>
              <w:pStyle w:val="TableContents"/>
              <w:bidi w:val="0"/>
              <w:spacing w:before="0" w:after="283"/>
              <w:jc w:val="left"/>
              <w:rPr/>
            </w:pPr>
            <w:r>
              <w:rPr/>
              <w:t>“</w:t>
            </w:r>
            <w:r>
              <w:rPr>
                <w:i/>
              </w:rPr>
              <w:t>Registrar</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2.03</w:t>
            </w:r>
          </w:p>
        </w:tc>
      </w:tr>
      <w:tr>
        <w:trPr/>
        <w:tc>
          <w:tcPr>
            <w:tcW w:w="5193" w:type="dxa"/>
            <w:tcBorders/>
          </w:tcPr>
          <w:p>
            <w:pPr>
              <w:pStyle w:val="TableContents"/>
              <w:bidi w:val="0"/>
              <w:spacing w:before="0" w:after="283"/>
              <w:jc w:val="left"/>
              <w:rPr/>
            </w:pPr>
            <w:r>
              <w:rPr/>
              <w:t>“</w:t>
            </w:r>
            <w:r>
              <w:rPr>
                <w:i/>
              </w:rPr>
              <w:t>Restricted Group</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4.16</w:t>
            </w:r>
          </w:p>
        </w:tc>
      </w:tr>
      <w:tr>
        <w:trPr/>
        <w:tc>
          <w:tcPr>
            <w:tcW w:w="5193" w:type="dxa"/>
            <w:tcBorders/>
          </w:tcPr>
          <w:p>
            <w:pPr>
              <w:pStyle w:val="TableContents"/>
              <w:bidi w:val="0"/>
              <w:spacing w:before="0" w:after="283"/>
              <w:jc w:val="left"/>
              <w:rPr/>
            </w:pPr>
            <w:r>
              <w:rPr/>
              <w:t>“</w:t>
            </w:r>
            <w:r>
              <w:rPr>
                <w:i/>
              </w:rPr>
              <w:t>Restricted Payments</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4.07</w:t>
            </w:r>
          </w:p>
        </w:tc>
      </w:tr>
      <w:tr>
        <w:trPr/>
        <w:tc>
          <w:tcPr>
            <w:tcW w:w="5193" w:type="dxa"/>
            <w:tcBorders/>
          </w:tcPr>
          <w:p>
            <w:pPr>
              <w:pStyle w:val="TableContents"/>
              <w:bidi w:val="0"/>
              <w:spacing w:before="0" w:after="283"/>
              <w:jc w:val="left"/>
              <w:rPr/>
            </w:pPr>
            <w:r>
              <w:rPr/>
              <w:t>“</w:t>
            </w:r>
            <w:r>
              <w:rPr>
                <w:i/>
              </w:rPr>
              <w:t>Second Commitment</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4.10</w:t>
            </w:r>
          </w:p>
        </w:tc>
      </w:tr>
      <w:tr>
        <w:trPr/>
        <w:tc>
          <w:tcPr>
            <w:tcW w:w="5193" w:type="dxa"/>
            <w:tcBorders/>
          </w:tcPr>
          <w:p>
            <w:pPr>
              <w:pStyle w:val="TableContents"/>
              <w:bidi w:val="0"/>
              <w:spacing w:before="0" w:after="283"/>
              <w:jc w:val="left"/>
              <w:rPr/>
            </w:pPr>
            <w:r>
              <w:rPr/>
              <w:t>“</w:t>
            </w:r>
            <w:r>
              <w:rPr>
                <w:i/>
              </w:rPr>
              <w:t>Successor Company</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5.01</w:t>
            </w:r>
          </w:p>
        </w:tc>
      </w:tr>
      <w:tr>
        <w:trPr/>
        <w:tc>
          <w:tcPr>
            <w:tcW w:w="5193" w:type="dxa"/>
            <w:tcBorders/>
          </w:tcPr>
          <w:p>
            <w:pPr>
              <w:pStyle w:val="TableContents"/>
              <w:bidi w:val="0"/>
              <w:spacing w:before="0" w:after="283"/>
              <w:jc w:val="left"/>
              <w:rPr/>
            </w:pPr>
            <w:r>
              <w:rPr/>
              <w:t>“</w:t>
            </w:r>
            <w:r>
              <w:rPr>
                <w:i/>
              </w:rPr>
              <w:t>Successor Guarantor</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11.04</w:t>
            </w:r>
          </w:p>
        </w:tc>
      </w:tr>
      <w:tr>
        <w:trPr/>
        <w:tc>
          <w:tcPr>
            <w:tcW w:w="5193" w:type="dxa"/>
            <w:tcBorders/>
          </w:tcPr>
          <w:p>
            <w:pPr>
              <w:pStyle w:val="TableContents"/>
              <w:bidi w:val="0"/>
              <w:spacing w:before="0" w:after="283"/>
              <w:jc w:val="left"/>
              <w:rPr/>
            </w:pPr>
            <w:r>
              <w:rPr/>
              <w:t>“</w:t>
            </w:r>
            <w:r>
              <w:rPr>
                <w:i/>
              </w:rPr>
              <w:t>Treasury Capital Stock</w:t>
            </w:r>
            <w:r>
              <w:rPr/>
              <w:t>”</w:t>
            </w:r>
          </w:p>
        </w:tc>
        <w:tc>
          <w:tcPr>
            <w:tcW w:w="122"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center"/>
              <w:rPr/>
            </w:pPr>
            <w:r>
              <w:rPr/>
              <w:t>4.07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(2)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(3)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(4) “including” is not limiting; </w:t>
      </w:r>
    </w:p>
    <w:p>
      <w:pPr>
        <w:pStyle w:val="TextBody"/>
        <w:bidi w:val="0"/>
        <w:spacing w:before="120" w:after="0"/>
        <w:jc w:val="left"/>
        <w:rPr>
          <w:rFonts w:ascii="Times New Roman" w:hAnsi="Times New Roman"/>
          <w:sz w:val="20"/>
        </w:rPr>
      </w:pPr>
      <w:r>
        <w:rPr>
          <w:rFonts w:ascii="Times New Roman" w:hAnsi="Times New Roman"/>
          <w:sz w:val="20"/>
        </w:rPr>
        <w:t xml:space="preserve">(5)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(6) “will” shall be interpreted to express a command; </w:t>
      </w:r>
    </w:p>
    <w:p>
      <w:pPr>
        <w:pStyle w:val="TextBody"/>
        <w:bidi w:val="0"/>
        <w:spacing w:before="120" w:after="0"/>
        <w:jc w:val="left"/>
        <w:rPr>
          <w:rFonts w:ascii="Times New Roman" w:hAnsi="Times New Roman"/>
          <w:sz w:val="20"/>
        </w:rPr>
      </w:pPr>
      <w:r>
        <w:rPr>
          <w:rFonts w:ascii="Times New Roman" w:hAnsi="Times New Roman"/>
          <w:sz w:val="20"/>
        </w:rPr>
        <w:t xml:space="preserve">(7) provisions apply to successive events and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(8) references to sections of or rules under the Securities Act will be deemed to include substitute, replacement of successor sections or rules adopted by the SEC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Luxembourg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each Security Document, where it relates to a person (i) incorporated, (ii) established, (iii) constituted or (iv) formed in Luxembourg, a reference to: </w:t>
      </w:r>
    </w:p>
    <w:p>
      <w:pPr>
        <w:pStyle w:val="TextBody"/>
        <w:bidi w:val="0"/>
        <w:spacing w:before="120" w:after="0"/>
        <w:jc w:val="left"/>
        <w:rPr>
          <w:rFonts w:ascii="Times New Roman" w:hAnsi="Times New Roman"/>
          <w:sz w:val="20"/>
        </w:rPr>
      </w:pPr>
      <w:r>
        <w:rPr>
          <w:rFonts w:ascii="Times New Roman" w:hAnsi="Times New Roman"/>
          <w:sz w:val="20"/>
        </w:rPr>
        <w:t xml:space="preserve">(a) director, manager or officer includes a gérant or an administrateur; </w:t>
      </w:r>
    </w:p>
    <w:p>
      <w:pPr>
        <w:pStyle w:val="TextBody"/>
        <w:bidi w:val="0"/>
        <w:spacing w:before="240" w:after="0"/>
        <w:jc w:val="left"/>
        <w:rPr>
          <w:rFonts w:ascii="Times New Roman" w:hAnsi="Times New Roman"/>
          <w:sz w:val="20"/>
        </w:rPr>
      </w:pPr>
      <w:r>
        <w:rPr>
          <w:rFonts w:ascii="Times New Roman" w:hAnsi="Times New Roman"/>
          <w:sz w:val="20"/>
        </w:rPr>
        <w:t xml:space="preserve">(b) a winding-up, administration, reorganisation, liquidation, insolvency or dissolution, administration or reorganisation, composition, compromise, assignment or arrangement includes, without limitation, bankruptcy </w:t>
      </w:r>
      <w:r>
        <w:rPr>
          <w:rFonts w:ascii="Times New Roman" w:hAnsi="Times New Roman"/>
          <w:i/>
          <w:sz w:val="20"/>
        </w:rPr>
        <w:t>(faillite</w:t>
      </w:r>
      <w:r>
        <w:rPr>
          <w:rFonts w:ascii="Times New Roman" w:hAnsi="Times New Roman"/>
          <w:sz w:val="20"/>
        </w:rPr>
        <w:t xml:space="preserve">), insolvency, voluntary or judicial liquidation </w:t>
      </w:r>
      <w:r>
        <w:rPr>
          <w:rFonts w:ascii="Times New Roman" w:hAnsi="Times New Roman"/>
          <w:i/>
          <w:sz w:val="20"/>
        </w:rPr>
        <w:t>(liquidation volontaire ou judiciaire</w:t>
      </w:r>
      <w:r>
        <w:rPr>
          <w:rFonts w:ascii="Times New Roman" w:hAnsi="Times New Roman"/>
          <w:sz w:val="20"/>
        </w:rPr>
        <w:t xml:space="preserve">), administrative dissolution without liquidation procedure </w:t>
      </w:r>
      <w:r>
        <w:rPr>
          <w:rFonts w:ascii="Times New Roman" w:hAnsi="Times New Roman"/>
          <w:i/>
          <w:sz w:val="20"/>
        </w:rPr>
        <w:t>(procédure de dissolution administrative sans liquidation</w:t>
      </w:r>
      <w:r>
        <w:rPr>
          <w:rFonts w:ascii="Times New Roman" w:hAnsi="Times New Roman"/>
          <w:sz w:val="20"/>
        </w:rPr>
        <w:t>), amicable (out-of-court) reorganisation proceedings (including any request to appoint a conciliator) or judicial reorganisation proceedings (including by way of mutual or collective agreement or transfer of assets or activities by court order) within the meaning of the Luxembourg law of 7 August 2023 on business continuity, restructuring and the modernisation of the bankruptcy regime (</w:t>
      </w:r>
      <w:r>
        <w:rPr>
          <w:rFonts w:ascii="Times New Roman" w:hAnsi="Times New Roman"/>
          <w:i/>
          <w:sz w:val="20"/>
        </w:rPr>
        <w:t>the “2023 Law</w:t>
      </w:r>
      <w:r>
        <w:rPr>
          <w:rFonts w:ascii="Times New Roman" w:hAnsi="Times New Roman"/>
          <w:sz w:val="20"/>
        </w:rPr>
        <w:t>”), moratorium or reprieve from payment (</w:t>
      </w:r>
      <w:r>
        <w:rPr>
          <w:rFonts w:ascii="Times New Roman" w:hAnsi="Times New Roman"/>
          <w:i/>
          <w:sz w:val="20"/>
        </w:rPr>
        <w:t>sursis de paiement</w:t>
      </w:r>
      <w:r>
        <w:rPr>
          <w:rFonts w:ascii="Times New Roman" w:hAnsi="Times New Roman"/>
          <w:sz w:val="20"/>
        </w:rPr>
        <w:t xml:space="preserve">), general settlement with creditors, reorganisation or similar laws affecting the rights of creditors generally; </w:t>
      </w:r>
    </w:p>
    <w:p>
      <w:pPr>
        <w:pStyle w:val="TextBody"/>
        <w:bidi w:val="0"/>
        <w:spacing w:before="240" w:after="0"/>
        <w:jc w:val="left"/>
        <w:rPr>
          <w:rFonts w:ascii="Times New Roman" w:hAnsi="Times New Roman"/>
          <w:sz w:val="20"/>
        </w:rPr>
      </w:pPr>
      <w:r>
        <w:rPr>
          <w:rFonts w:ascii="Times New Roman" w:hAnsi="Times New Roman"/>
          <w:sz w:val="20"/>
        </w:rPr>
        <w:t xml:space="preserve">(c) an agent includes, without limitation, </w:t>
      </w:r>
      <w:r>
        <w:rPr>
          <w:rFonts w:ascii="Times New Roman" w:hAnsi="Times New Roman"/>
          <w:i/>
          <w:sz w:val="20"/>
        </w:rPr>
        <w:t>a mandataire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 attachment includes a </w:t>
      </w:r>
      <w:r>
        <w:rPr>
          <w:rFonts w:ascii="Times New Roman" w:hAnsi="Times New Roman"/>
          <w:i/>
          <w:sz w:val="20"/>
        </w:rPr>
        <w:t>saisie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 liquidator, administrative receiver, trustee in bankruptcy, trustee, custodian, sequestrator, conservator, compulsory manager, receiver, administrator or similar officer includes, without any limitation, any: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juge-commissaire</w:t>
      </w:r>
      <w:r>
        <w:rPr>
          <w:rFonts w:ascii="Times New Roman" w:hAnsi="Times New Roman"/>
          <w:sz w:val="20"/>
        </w:rPr>
        <w:t xml:space="preserve"> and/or insolvency receiver (</w:t>
      </w:r>
      <w:r>
        <w:rPr>
          <w:rFonts w:ascii="Times New Roman" w:hAnsi="Times New Roman"/>
          <w:i/>
          <w:sz w:val="20"/>
        </w:rPr>
        <w:t>curateur</w:t>
      </w:r>
      <w:r>
        <w:rPr>
          <w:rFonts w:ascii="Times New Roman" w:hAnsi="Times New Roman"/>
          <w:sz w:val="20"/>
        </w:rPr>
        <w:t xml:space="preserve">) appointed under the Luxembourg act of 10 August 1915 on commercial companies as amended;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liquidateur</w:t>
      </w:r>
      <w:r>
        <w:rPr>
          <w:rFonts w:ascii="Times New Roman" w:hAnsi="Times New Roman"/>
          <w:sz w:val="20"/>
        </w:rPr>
        <w:t xml:space="preserve"> appointed under Articles 1100-1 to 1100-15 (inclusive) of the Luxembourg act of 10 August 1915 on commercial companies, as amended;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juge-commissaire</w:t>
      </w:r>
      <w:r>
        <w:rPr>
          <w:rFonts w:ascii="Times New Roman" w:hAnsi="Times New Roman"/>
          <w:sz w:val="20"/>
        </w:rPr>
        <w:t xml:space="preserve"> and/or </w:t>
      </w:r>
      <w:r>
        <w:rPr>
          <w:rFonts w:ascii="Times New Roman" w:hAnsi="Times New Roman"/>
          <w:i/>
          <w:sz w:val="20"/>
        </w:rPr>
        <w:t>liquidateur</w:t>
      </w:r>
      <w:r>
        <w:rPr>
          <w:rFonts w:ascii="Times New Roman" w:hAnsi="Times New Roman"/>
          <w:sz w:val="20"/>
        </w:rPr>
        <w:t xml:space="preserve"> appointed under Article 1200-1 of the Luxembourg act of 10 August 1915 on commercial companies, as amended;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commissaire</w:t>
      </w:r>
      <w:r>
        <w:rPr>
          <w:rFonts w:ascii="Times New Roman" w:hAnsi="Times New Roman"/>
          <w:sz w:val="20"/>
        </w:rPr>
        <w:t xml:space="preserve"> appointed under the Grand-Ducal decree of 24 May 1935 on the controlled management regime or under Articles 593 to 614 (inclusive) of the Luxembourg Commercial Code; and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Juge délégué</w:t>
      </w:r>
      <w:r>
        <w:rPr>
          <w:rFonts w:ascii="Times New Roman" w:hAnsi="Times New Roman"/>
          <w:sz w:val="20"/>
        </w:rPr>
        <w:t xml:space="preserve"> appointed under the Luxembourg act of 14 April 1886 on the composition to avoid bankruptcy,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conciliateur d’entreprise</w:t>
      </w:r>
      <w:r>
        <w:rPr>
          <w:rFonts w:ascii="Times New Roman" w:hAnsi="Times New Roman"/>
          <w:sz w:val="20"/>
        </w:rPr>
        <w:t xml:space="preserve">, </w:t>
      </w:r>
      <w:r>
        <w:rPr>
          <w:rFonts w:ascii="Times New Roman" w:hAnsi="Times New Roman"/>
          <w:i/>
          <w:sz w:val="20"/>
        </w:rPr>
        <w:t>mandataire ad hoc, mandataire de justice</w:t>
      </w:r>
      <w:r>
        <w:rPr>
          <w:rFonts w:ascii="Times New Roman" w:hAnsi="Times New Roman"/>
          <w:sz w:val="20"/>
        </w:rPr>
        <w:t xml:space="preserve">, </w:t>
      </w:r>
      <w:r>
        <w:rPr>
          <w:rFonts w:ascii="Times New Roman" w:hAnsi="Times New Roman"/>
          <w:i/>
          <w:sz w:val="20"/>
        </w:rPr>
        <w:t>juge délégué</w:t>
      </w:r>
      <w:r>
        <w:rPr>
          <w:rFonts w:ascii="Times New Roman" w:hAnsi="Times New Roman"/>
          <w:sz w:val="20"/>
        </w:rPr>
        <w:t xml:space="preserve"> or </w:t>
      </w:r>
      <w:r>
        <w:rPr>
          <w:rFonts w:ascii="Times New Roman" w:hAnsi="Times New Roman"/>
          <w:i/>
          <w:sz w:val="20"/>
        </w:rPr>
        <w:t>administrateur provisoire, curateur</w:t>
      </w:r>
      <w:r>
        <w:rPr>
          <w:rFonts w:ascii="Times New Roman" w:hAnsi="Times New Roman"/>
          <w:sz w:val="20"/>
        </w:rPr>
        <w:t xml:space="preserve"> or similar officer pursuant to any voluntary or judicial insolvency, winding up, liquidation or similar proceedings or similar officer appointed under the 2023 Law. </w:t>
      </w:r>
    </w:p>
    <w:p>
      <w:pPr>
        <w:pStyle w:val="TextBody"/>
        <w:bidi w:val="0"/>
        <w:spacing w:before="240" w:after="0"/>
        <w:jc w:val="left"/>
        <w:rPr>
          <w:rFonts w:ascii="Times New Roman" w:hAnsi="Times New Roman"/>
          <w:sz w:val="20"/>
        </w:rPr>
      </w:pPr>
      <w:r>
        <w:rPr>
          <w:rFonts w:ascii="Times New Roman" w:hAnsi="Times New Roman"/>
          <w:sz w:val="20"/>
        </w:rPr>
        <w:t xml:space="preserve">(f) a security, a lien or a security interest includes, without limitation, any </w:t>
      </w:r>
      <w:r>
        <w:rPr>
          <w:rFonts w:ascii="Times New Roman" w:hAnsi="Times New Roman"/>
          <w:i/>
          <w:sz w:val="20"/>
        </w:rPr>
        <w:t>hypothèque</w:t>
      </w:r>
      <w:r>
        <w:rPr>
          <w:rFonts w:ascii="Times New Roman" w:hAnsi="Times New Roman"/>
          <w:sz w:val="20"/>
        </w:rPr>
        <w:t xml:space="preserve">, </w:t>
      </w:r>
      <w:r>
        <w:rPr>
          <w:rFonts w:ascii="Times New Roman" w:hAnsi="Times New Roman"/>
          <w:i/>
          <w:sz w:val="20"/>
        </w:rPr>
        <w:t>nantissement</w:t>
      </w:r>
      <w:r>
        <w:rPr>
          <w:rFonts w:ascii="Times New Roman" w:hAnsi="Times New Roman"/>
          <w:sz w:val="20"/>
        </w:rPr>
        <w:t xml:space="preserve">, </w:t>
      </w:r>
      <w:r>
        <w:rPr>
          <w:rFonts w:ascii="Times New Roman" w:hAnsi="Times New Roman"/>
          <w:i/>
          <w:sz w:val="20"/>
        </w:rPr>
        <w:t>gage</w:t>
      </w:r>
      <w:r>
        <w:rPr>
          <w:rFonts w:ascii="Times New Roman" w:hAnsi="Times New Roman"/>
          <w:sz w:val="20"/>
        </w:rPr>
        <w:t xml:space="preserve">, </w:t>
      </w:r>
      <w:r>
        <w:rPr>
          <w:rFonts w:ascii="Times New Roman" w:hAnsi="Times New Roman"/>
          <w:i/>
          <w:sz w:val="20"/>
        </w:rPr>
        <w:t>privilège, accord de transfert de propriété á titre de garantie</w:t>
      </w:r>
      <w:r>
        <w:rPr>
          <w:rFonts w:ascii="Times New Roman" w:hAnsi="Times New Roman"/>
          <w:sz w:val="20"/>
        </w:rPr>
        <w:t xml:space="preserve">, </w:t>
      </w:r>
      <w:r>
        <w:rPr>
          <w:rFonts w:ascii="Times New Roman" w:hAnsi="Times New Roman"/>
          <w:i/>
          <w:sz w:val="20"/>
        </w:rPr>
        <w:t>gage sur fonds de commerce</w:t>
      </w:r>
      <w:r>
        <w:rPr>
          <w:rFonts w:ascii="Times New Roman" w:hAnsi="Times New Roman"/>
          <w:sz w:val="20"/>
        </w:rPr>
        <w:t xml:space="preserve">, </w:t>
      </w:r>
      <w:r>
        <w:rPr>
          <w:rFonts w:ascii="Times New Roman" w:hAnsi="Times New Roman"/>
          <w:i/>
          <w:sz w:val="20"/>
        </w:rPr>
        <w:t>mise en pension, droit de retention</w:t>
      </w:r>
      <w:r>
        <w:rPr>
          <w:rFonts w:ascii="Times New Roman" w:hAnsi="Times New Roman"/>
          <w:sz w:val="20"/>
        </w:rPr>
        <w:t xml:space="preserve"> or </w:t>
      </w:r>
      <w:r>
        <w:rPr>
          <w:rFonts w:ascii="Times New Roman" w:hAnsi="Times New Roman"/>
          <w:i/>
          <w:sz w:val="20"/>
        </w:rPr>
        <w:t>sureté réelle</w:t>
      </w:r>
      <w:r>
        <w:rPr>
          <w:rFonts w:ascii="Times New Roman" w:hAnsi="Times New Roman"/>
          <w:sz w:val="20"/>
        </w:rPr>
        <w:t xml:space="preserve"> and any type of real security (</w:t>
      </w:r>
      <w:r>
        <w:rPr>
          <w:rFonts w:ascii="Times New Roman" w:hAnsi="Times New Roman"/>
          <w:i/>
          <w:sz w:val="20"/>
        </w:rPr>
        <w:t>sûreté réelle</w:t>
      </w:r>
      <w:r>
        <w:rPr>
          <w:rFonts w:ascii="Times New Roman" w:hAnsi="Times New Roman"/>
          <w:sz w:val="20"/>
        </w:rPr>
        <w:t xml:space="preserve">) or agreement or arrangement having a similar effect whatsoever whether granted or arising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(g) a person being unable to pay its debts or a person admitting inability to pay its debts includes that person being a state of </w:t>
      </w:r>
      <w:r>
        <w:rPr>
          <w:rFonts w:ascii="Times New Roman" w:hAnsi="Times New Roman"/>
          <w:i/>
          <w:sz w:val="20"/>
        </w:rPr>
        <w:t>cessation de paiement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gross negligence means </w:t>
      </w:r>
      <w:r>
        <w:rPr>
          <w:rFonts w:ascii="Times New Roman" w:hAnsi="Times New Roman"/>
          <w:i/>
          <w:sz w:val="20"/>
        </w:rPr>
        <w:t>faute lourde</w:t>
      </w:r>
      <w:r>
        <w:rPr>
          <w:rFonts w:ascii="Times New Roman" w:hAnsi="Times New Roman"/>
          <w:sz w:val="20"/>
        </w:rPr>
        <w:t xml:space="preserve"> and willful misconduct means </w:t>
      </w:r>
      <w:r>
        <w:rPr>
          <w:rFonts w:ascii="Times New Roman" w:hAnsi="Times New Roman"/>
          <w:i/>
          <w:sz w:val="20"/>
        </w:rPr>
        <w:t>dol</w:t>
      </w:r>
      <w:r>
        <w:rPr>
          <w:rFonts w:ascii="Times New Roman" w:hAnsi="Times New Roman"/>
          <w:sz w:val="20"/>
        </w:rPr>
        <w:t xml:space="preserve"> or </w:t>
      </w:r>
      <w:r>
        <w:rPr>
          <w:rFonts w:ascii="Times New Roman" w:hAnsi="Times New Roman"/>
          <w:i/>
          <w:sz w:val="20"/>
        </w:rPr>
        <w:t>faute dolosive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 a set-off includes, for purposes of Luxembourg law, legal set-off; </w:t>
      </w:r>
    </w:p>
    <w:p>
      <w:pPr>
        <w:pStyle w:val="TextBody"/>
        <w:bidi w:val="0"/>
        <w:spacing w:before="240" w:after="0"/>
        <w:jc w:val="left"/>
        <w:rPr>
          <w:rFonts w:ascii="Times New Roman" w:hAnsi="Times New Roman"/>
          <w:sz w:val="20"/>
        </w:rPr>
      </w:pPr>
      <w:r>
        <w:rPr>
          <w:rFonts w:ascii="Times New Roman" w:hAnsi="Times New Roman"/>
          <w:sz w:val="20"/>
        </w:rPr>
        <w:t>(j) a guarantee includes any guarantee which is independent from the debt to which it relates and excludes any suretyship (</w:t>
      </w:r>
      <w:r>
        <w:rPr>
          <w:rFonts w:ascii="Times New Roman" w:hAnsi="Times New Roman"/>
          <w:i/>
          <w:sz w:val="20"/>
        </w:rPr>
        <w:t>cautionnement</w:t>
      </w:r>
      <w:r>
        <w:rPr>
          <w:rFonts w:ascii="Times New Roman" w:hAnsi="Times New Roman"/>
          <w:sz w:val="20"/>
        </w:rPr>
        <w:t xml:space="preserve">) within the meaning of Articles 2011 and seq of the Luxembourg Civil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commencing negotiations with one or more of its creditors with a view to rescheduling any of its indebtedness includes any negotiations with that purpose conducted in order to reach an amicable agreement (</w:t>
      </w:r>
      <w:r>
        <w:rPr>
          <w:rFonts w:ascii="Times New Roman" w:hAnsi="Times New Roman"/>
          <w:i/>
          <w:sz w:val="20"/>
        </w:rPr>
        <w:t>accord amiable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(l) by-laws or constitutional documents includes its up-to-date (restated) articles of association (</w:t>
      </w:r>
      <w:r>
        <w:rPr>
          <w:rFonts w:ascii="Times New Roman" w:hAnsi="Times New Roman"/>
          <w:i/>
          <w:sz w:val="20"/>
        </w:rPr>
        <w:t>statuts coordonnés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i/>
          <w:sz w:val="20"/>
        </w:rPr>
        <w:t>Australian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Banking Code of Practice (Australia).</w:t>
      </w:r>
      <w:r>
        <w:rPr>
          <w:rFonts w:ascii="Times New Roman" w:hAnsi="Times New Roman"/>
          <w:sz w:val="20"/>
        </w:rPr>
        <w:t xml:space="preserve"> The parties agree that the Australian Banking Association Banking Code of Practice does not apply to this Indenture nor the transactions under it.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Notes and the Trustee’s certificate of authentication will be substantially in the form of Exhibits A1 and A2 hereto. The Notes may have notations, legends or endorsements required by law, stock exchange rule or usage. Each Note will be dated the date of its authentication. The Notes shall be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will constitute, and are hereby expressly made, a part of this Indenture, and the Company, the Guarantors, the Trustee and the Collateral Agent,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Global Notes</w:t>
      </w:r>
      <w:r>
        <w:rPr>
          <w:rFonts w:ascii="Times New Roman" w:hAnsi="Times New Roman"/>
          <w:sz w:val="20"/>
        </w:rPr>
        <w:t xml:space="preserve">. Notes issued in global form will be substantially in the form of Exhibits A1 or A2 hereto (including the Global Note Legend thereon and the “Schedule of Exchanges of Interests in the Global Note” attached thereto). Notes issued in definitive form will be substantially in the form of Exhibit A1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Temporary Global Notes</w:t>
      </w:r>
      <w:r>
        <w:rPr>
          <w:rFonts w:ascii="Times New Roman" w:hAnsi="Times New Roman"/>
          <w:sz w:val="20"/>
        </w:rPr>
        <w:t xml:space="preserve">. Notes offered and sold in reliance on Regulation S will be issued initially in the form of the Regulation S Temporary Global Note, which will be deposited on behalf of the purchasers of the Notes represented thereby with the Trustee, as custodian for the Depositary, and registered in the name of the Depositary or the nominee of the Depositary for the accounts of designated agents holding on behalf of Euroclear or Clearstream, duly executed by the Company and authenticated by the Trustee as hereinafter provided. Following the termination of the applicable Restricted Period, the Regulation S Temporary Global Note Legend shall be deemed removed from the Regulation S Temporary Global Note for the Notes, following which temporary beneficial interests in the Regulation S Temporary Global Note shall automatically become beneficial interests in the Regulation S Permanent Global Note of the Notes pursuant to the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a Regulation S Temporary Global Note for the Notes and a Regulation S Permanent Global Note of the Notes may from time to time be increased or decreased by adjustments made on the records of the Trustee and/or the Paying Agent and the Depositary or their respective nominees, as the case may be, in connection with transfers of interest as hereinafter provided.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Euroclear and Clearstream Procedures Applicable</w:t>
      </w:r>
      <w:r>
        <w:rPr>
          <w:rFonts w:ascii="Times New Roman" w:hAnsi="Times New Roman"/>
          <w:sz w:val="20"/>
        </w:rPr>
        <w:t xml:space="preserve">. The provisions of the “Operating Procedures of the Euroclear System” and “Terms and Conditions Governing Use of Euroclear” and the “General Terms and Conditions of Clearstream Banking” and “Customer Handbook” of Clearstream will be applicable to transfers of beneficial interests in the Regulation S Temporary Global Note and the Regulation S Permanent Global Note that are held by Participants through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least one Officer must sign the Notes on behalf of the Company by manual, electronic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Note no longer holds that office at the time a Note is authenticated, the Note will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Note will not be valid until authenticated by the manual signature of the Trustee. The signature will be conclusive evidence that the Note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The Trustee will, upon receipt of a written order of the Company signed by an Officer (an “</w:t>
      </w:r>
      <w:r>
        <w:rPr>
          <w:rFonts w:ascii="Times New Roman" w:hAnsi="Times New Roman"/>
          <w:i/>
          <w:sz w:val="20"/>
        </w:rPr>
        <w:t>Authentication Order</w:t>
      </w:r>
      <w:r>
        <w:rPr>
          <w:rFonts w:ascii="Times New Roman" w:hAnsi="Times New Roman"/>
          <w:sz w:val="20"/>
        </w:rPr>
        <w:t xml:space="preserve">”), authenticate Notes for original issue that may be validly issued under this Indenture. The aggregate principal amount of Notes outstanding at any time may not exceed the aggregate principal amount of Notes authorized for issuance by the Company pursuant to one or more Authentication Orders, except as provided in Section 2.07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Registrar and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maintain an office or agency where Notes may be presented for registration of transfer or for exchange (“</w:t>
      </w:r>
      <w:r>
        <w:rPr>
          <w:rFonts w:ascii="Times New Roman" w:hAnsi="Times New Roman"/>
          <w:i/>
          <w:sz w:val="20"/>
        </w:rPr>
        <w:t>Registrar</w:t>
      </w:r>
      <w:r>
        <w:rPr>
          <w:rFonts w:ascii="Times New Roman" w:hAnsi="Times New Roman"/>
          <w:sz w:val="20"/>
        </w:rPr>
        <w:t>”) and an office or agency where Notes may be presented for payment (“</w:t>
      </w:r>
      <w:r>
        <w:rPr>
          <w:rFonts w:ascii="Times New Roman" w:hAnsi="Times New Roman"/>
          <w:i/>
          <w:sz w:val="20"/>
        </w:rPr>
        <w:t>Paying Agent</w:t>
      </w:r>
      <w:r>
        <w:rPr>
          <w:rFonts w:ascii="Times New Roman" w:hAnsi="Times New Roman"/>
          <w:sz w:val="20"/>
        </w:rPr>
        <w:t xml:space="preserve">”).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The Company initially appoints The Depository Trust Company (“</w:t>
      </w:r>
      <w:r>
        <w:rPr>
          <w:rFonts w:ascii="Times New Roman" w:hAnsi="Times New Roman"/>
          <w:i/>
          <w:sz w:val="20"/>
        </w:rPr>
        <w:t>DTC</w:t>
      </w:r>
      <w:r>
        <w:rPr>
          <w:rFonts w:ascii="Times New Roman" w:hAnsi="Times New Roman"/>
          <w:sz w:val="20"/>
        </w:rPr>
        <w:t xml:space="preserve">”) to act as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to act as the Registrar and Paying Agent and to act as Custodian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Paying Agent to Hold Money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require each Paying Agent other than the Trustee to agree in writing that the Paying Agent will hold in trust for the benefit of Holders or the Trustee all money held by the Paying Agent for the payment of principal of, premium on, if any, or interest, if any,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will have no further liability for the money. If the Company or a Subsidiary of the Company acts as Paying Agent, it will segregate and hold in a separate trust fund for the benefit of the Holders all money held by it as Paying Agent. Upon any bankruptcy or reorganization proceedings relating to the Company, the Trustee will serve as Paying Agent for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Global Notes</w:t>
      </w:r>
      <w:r>
        <w:rPr>
          <w:rFonts w:ascii="Times New Roman" w:hAnsi="Times New Roman"/>
          <w:sz w:val="20"/>
        </w:rPr>
        <w:t xml:space="preserve">.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(2) the Company in its sole discretion determines that the Global Notes (in whole but not in part) should be exchanged for Definitive Notes and delivers a written notice to such effect to the Trustee; provided that in no event shall the Regulation S Temporary Global Note be exchanged by the Company for Definitive Notes prior to (A) the expiration of the Restricted Period and (B) the receipt by the Registrar of any certificates required pursuant to Rule 903(b)(3)(ii)(B)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Global Notes may be exchanged in whole or in part for Definitive Notes upon request of the Holders if there has occurred and is continuing an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either of the events in clauses (1) or (2) of this Section 2.06(a),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 and Exchange of Beneficial Interests in the Global N</w:t>
      </w:r>
      <w:r>
        <w:rPr>
          <w:rFonts w:ascii="Times New Roman" w:hAnsi="Times New Roman"/>
          <w:sz w:val="20"/>
        </w:rPr>
        <w:t xml:space="preserve">otes. The transfer and exchange of beneficial interests in the 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Transfer of Beneficial Interests in the Same Global Note</w:t>
      </w:r>
      <w:r>
        <w:rPr>
          <w:rFonts w:ascii="Times New Roman" w:hAnsi="Times New Roman"/>
          <w:sz w:val="20"/>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Section 2.06(b)(1) hereof, the transferor of such beneficial interest must deliver to the Registrar either: </w:t>
      </w:r>
    </w:p>
    <w:p>
      <w:pPr>
        <w:pStyle w:val="TextBody"/>
        <w:bidi w:val="0"/>
        <w:spacing w:before="120" w:after="0"/>
        <w:jc w:val="left"/>
        <w:rPr>
          <w:rFonts w:ascii="Times New Roman" w:hAnsi="Times New Roman"/>
          <w:sz w:val="20"/>
        </w:rPr>
      </w:pPr>
      <w:r>
        <w:rPr>
          <w:rFonts w:ascii="Times New Roman" w:hAnsi="Times New Roman"/>
          <w:sz w:val="20"/>
        </w:rPr>
        <w:t xml:space="preserve">(A)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in accordance with the Applicable Procedures containing information regarding the Participant account to be credited with such increase; or </w:t>
      </w:r>
    </w:p>
    <w:p>
      <w:pPr>
        <w:pStyle w:val="TextBody"/>
        <w:bidi w:val="0"/>
        <w:spacing w:before="120" w:after="0"/>
        <w:jc w:val="left"/>
        <w:rPr>
          <w:rFonts w:ascii="Times New Roman" w:hAnsi="Times New Roman"/>
          <w:sz w:val="20"/>
        </w:rPr>
      </w:pPr>
      <w:r>
        <w:rPr>
          <w:rFonts w:ascii="Times New Roman" w:hAnsi="Times New Roman"/>
          <w:sz w:val="20"/>
        </w:rPr>
        <w:t xml:space="preserve">(B)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cause to be issued a Definitive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by the Depositary to the Registrar containing information regarding the Person in whose name such Definitive Note shall be registered to effect the transfer or exchange referred to in clause (1) above;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no event shall Definitive Notes be issued upon the transfer or exchange of beneficial interests in the Regulation S Temporary Global Note prior to (A) the expiration of the Restricted Period and (B) the receipt by the Registrar of any certificates required pursuant to Rule 903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Transfer of Beneficial Interests to Another Restricted Global Note</w:t>
      </w:r>
      <w:r>
        <w:rPr>
          <w:rFonts w:ascii="Times New Roman" w:hAnsi="Times New Roman"/>
          <w:sz w:val="20"/>
        </w:rPr>
        <w:t xml:space="preserve">. A beneficial interest in any Restricted Global Note may be transferred to a Person who takes delivery thereof in the form of a beneficial interest in another Restricted Global Note if the transfer complies with the requirements of Section 2.06(b)(2) hereof and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transferee will take delivery in the form of a beneficial interest in the 144A Global Note, then the transferor must deliver a certificate in the form of Exhibit B hereto, including the certifications in item (1)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transferee will take delivery in the form of a beneficial interest in the Regulation S Temporary Global Note or the Regulation S Permanent Global Note, then the transferor must deliver a certificate in the form of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(4) 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hereof and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 </w:t>
      </w:r>
    </w:p>
    <w:p>
      <w:pPr>
        <w:pStyle w:val="TextBody"/>
        <w:bidi w:val="0"/>
        <w:spacing w:before="120" w:after="0"/>
        <w:jc w:val="left"/>
        <w:rPr>
          <w:rFonts w:ascii="Times New Roman" w:hAnsi="Times New Roman"/>
          <w:sz w:val="20"/>
        </w:rPr>
      </w:pPr>
      <w:r>
        <w:rPr>
          <w:rFonts w:ascii="Times New Roman" w:hAnsi="Times New Roman"/>
          <w:sz w:val="20"/>
        </w:rPr>
        <w:t xml:space="preserve">(B) 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 </w:t>
      </w:r>
    </w:p>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any such transfer is effected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an Unrestricted Global Note cannot be exchanged for, or transferred to Persons who take delivery thereof in the form of, a beneficial interest in a Restricted Global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or Exchange of Beneficial Interests for Definitive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Beneficial Interests in Restricted Global Notes to Restricted Definitive Notes</w:t>
      </w:r>
      <w:r>
        <w:rPr>
          <w:rFonts w:ascii="Times New Roman" w:hAnsi="Times New Roman"/>
          <w:sz w:val="20"/>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beneficial interest in a Restricted Global Note proposes to exchange such beneficial interest for a Restricted Definitive Note, a certificate from such holder in the form of Exhibit C hereto, including the certifications in item (2)(a) thereof; </w:t>
      </w:r>
    </w:p>
    <w:p>
      <w:pPr>
        <w:pStyle w:val="TextBody"/>
        <w:bidi w:val="0"/>
        <w:spacing w:before="120" w:after="0"/>
        <w:jc w:val="left"/>
        <w:rPr>
          <w:rFonts w:ascii="Times New Roman" w:hAnsi="Times New Roman"/>
          <w:sz w:val="20"/>
        </w:rPr>
      </w:pPr>
      <w:r>
        <w:rPr>
          <w:rFonts w:ascii="Times New Roman" w:hAnsi="Times New Roman"/>
          <w:sz w:val="20"/>
        </w:rPr>
        <w:t xml:space="preserve">(B) if such beneficial interest is being transferred to a QIB in accordance with Rule 144A, a certificate to the effect set forth in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(C) if such beneficial interest is being transferred to a Non-U.S. Person in an offshore transaction in accordance with Rule 903 or Rule 904, a certificate to the effect set forth in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(D) if such beneficial interest is being transferred pursuant to an exemption from the registration requirements of the Securities Act in accordance with Rule 144, a certificate to the effect set forth in Exhibit B hereto, including the certifications in item (3)(a) thereof; </w:t>
      </w:r>
    </w:p>
    <w:p>
      <w:pPr>
        <w:pStyle w:val="TextBody"/>
        <w:bidi w:val="0"/>
        <w:spacing w:before="120" w:after="0"/>
        <w:jc w:val="left"/>
        <w:rPr>
          <w:rFonts w:ascii="Times New Roman" w:hAnsi="Times New Roman"/>
          <w:sz w:val="20"/>
        </w:rPr>
      </w:pPr>
      <w:r>
        <w:rPr>
          <w:rFonts w:ascii="Times New Roman" w:hAnsi="Times New Roman"/>
          <w:sz w:val="20"/>
        </w:rPr>
        <w:t xml:space="preserve">(E) if such beneficial interest is being transferred to the Company or any of its Subsidiaries, a certificate to the effect set forth in Exhibit B hereto, including the certifications in item (3)(b) thereof; or </w:t>
      </w:r>
    </w:p>
    <w:p>
      <w:pPr>
        <w:pStyle w:val="TextBody"/>
        <w:bidi w:val="0"/>
        <w:spacing w:before="120" w:after="0"/>
        <w:jc w:val="left"/>
        <w:rPr>
          <w:rFonts w:ascii="Times New Roman" w:hAnsi="Times New Roman"/>
          <w:sz w:val="20"/>
        </w:rPr>
      </w:pPr>
      <w:r>
        <w:rPr>
          <w:rFonts w:ascii="Times New Roman" w:hAnsi="Times New Roman"/>
          <w:sz w:val="20"/>
        </w:rPr>
        <w:t xml:space="preserve">(F) if such beneficial interest is being transferred pursuant to an effective registration statement under the Securities Act, a certificate to the effect set forth in Exhibit B hereto, including the certifications in item (3)(c)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Beneficial Interests in Regulation S Temporary Global Note to Definitive Notes</w:t>
      </w:r>
      <w:r>
        <w:rPr>
          <w:rFonts w:ascii="Times New Roman" w:hAnsi="Times New Roman"/>
          <w:sz w:val="20"/>
        </w:rPr>
        <w:t xml:space="preserve">. Notwithstanding Sections 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 except in the case of a transfer pursuant to an exemption from the registration requirements of the Securities Act other than Rule 903 or Rule 904.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Beneficial Interests in Restricted Global Notes to Unrestricted Definitive Notes</w:t>
      </w:r>
      <w:r>
        <w:rPr>
          <w:rFonts w:ascii="Times New Roman" w:hAnsi="Times New Roman"/>
          <w:sz w:val="20"/>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beneficial interest in a Restricted Global Note proposes to exchange such beneficial interest for an Unrestricted Definitive Note, a certificate from such holder in the form of Exhibit C hereto, including the certifications in item (1)(b) thereof; or </w:t>
      </w:r>
    </w:p>
    <w:p>
      <w:pPr>
        <w:pStyle w:val="TextBody"/>
        <w:bidi w:val="0"/>
        <w:spacing w:before="120" w:after="0"/>
        <w:jc w:val="left"/>
        <w:rPr>
          <w:rFonts w:ascii="Times New Roman" w:hAnsi="Times New Roman"/>
          <w:sz w:val="20"/>
        </w:rPr>
      </w:pPr>
      <w:r>
        <w:rPr>
          <w:rFonts w:ascii="Times New Roman" w:hAnsi="Times New Roman"/>
          <w:sz w:val="20"/>
        </w:rPr>
        <w:t xml:space="preserve">(B) 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 </w:t>
      </w:r>
    </w:p>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(3),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Beneficial Interests in Unrestricted Global Notes to Unrestricted</w:t>
      </w:r>
      <w:r>
        <w:rPr>
          <w:rFonts w:ascii="Times New Roman" w:hAnsi="Times New Roman"/>
          <w:sz w:val="20"/>
        </w:rPr>
        <w:t xml:space="preserve"> </w:t>
      </w:r>
      <w:r>
        <w:rPr>
          <w:rFonts w:ascii="Times New Roman" w:hAnsi="Times New Roman"/>
          <w:i/>
          <w:sz w:val="20"/>
        </w:rPr>
        <w:t>Definitive Notes</w:t>
      </w:r>
      <w:r>
        <w:rPr>
          <w:rFonts w:ascii="Times New Roman" w:hAnsi="Times New Roman"/>
          <w:sz w:val="20"/>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Unrestricted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2.06(c)(4)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2.06(c)(4) will not bear the Private Placement Legend.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Beneficial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Restricted Definitive Notes to Beneficial Interests in Restricted Global Notes</w:t>
      </w:r>
      <w:r>
        <w:rPr>
          <w:rFonts w:ascii="Times New Roman" w:hAnsi="Times New Roman"/>
          <w:sz w:val="20"/>
        </w:rPr>
        <w:t xml:space="preserve">.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Restricted Definitive Note proposes to exchange such Note for a beneficial interest in a Restricted Global Note, a certificate from such Holder in the form of Exhibit C hereto, including the certifications in item (2)(b) thereof; </w:t>
      </w:r>
    </w:p>
    <w:p>
      <w:pPr>
        <w:pStyle w:val="TextBody"/>
        <w:bidi w:val="0"/>
        <w:spacing w:before="120" w:after="0"/>
        <w:jc w:val="left"/>
        <w:rPr>
          <w:rFonts w:ascii="Times New Roman" w:hAnsi="Times New Roman"/>
          <w:sz w:val="20"/>
        </w:rPr>
      </w:pPr>
      <w:r>
        <w:rPr>
          <w:rFonts w:ascii="Times New Roman" w:hAnsi="Times New Roman"/>
          <w:sz w:val="20"/>
        </w:rPr>
        <w:t xml:space="preserve">(B) if such Restricted Definitive Note is being transferred to a QIB in accordance with Rule 144A, a certificate to the effect set forth in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(C) if such Restricted Definitive Note is being transferred to a Non-U.S. Person in an offshore transaction in accordance with Rule 903 or Rule 904, a certificate to the effect set forth in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(D) if such Restricted Definitive Note is being transferred pursuant to an exemption from the registration requirements of the Securities Act in accordance with Rule 144, a certificate to the effect set forth in Exhibit B hereto, including the certifications in item (3)(a) thereof; </w:t>
      </w:r>
    </w:p>
    <w:p>
      <w:pPr>
        <w:pStyle w:val="TextBody"/>
        <w:bidi w:val="0"/>
        <w:spacing w:before="120" w:after="0"/>
        <w:jc w:val="left"/>
        <w:rPr>
          <w:rFonts w:ascii="Times New Roman" w:hAnsi="Times New Roman"/>
          <w:sz w:val="20"/>
        </w:rPr>
      </w:pPr>
      <w:r>
        <w:rPr>
          <w:rFonts w:ascii="Times New Roman" w:hAnsi="Times New Roman"/>
          <w:sz w:val="20"/>
        </w:rPr>
        <w:t xml:space="preserve">(E) if such Restricted Definitive Note is being transferred to the Company or any of its Subsidiaries, a certificate to the effect set forth in Exhibit B hereto, including the certifications in item (3)(b) thereof; or </w:t>
      </w:r>
    </w:p>
    <w:p>
      <w:pPr>
        <w:pStyle w:val="TextBody"/>
        <w:bidi w:val="0"/>
        <w:spacing w:before="120" w:after="0"/>
        <w:jc w:val="left"/>
        <w:rPr>
          <w:rFonts w:ascii="Times New Roman" w:hAnsi="Times New Roman"/>
          <w:sz w:val="20"/>
        </w:rPr>
      </w:pPr>
      <w:r>
        <w:rPr>
          <w:rFonts w:ascii="Times New Roman" w:hAnsi="Times New Roman"/>
          <w:sz w:val="20"/>
        </w:rPr>
        <w:t xml:space="preserve">(F) if such Restricted Definitive Note is being transferred pursuant to an effective registration statement under the Securities Act, a certificate to the effect set forth in Exhibit B hereto, including the certifications in item (3)(c) thereof,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cancel the Restricted Definitive Note, increase or cause to be increased the aggregate principal amount of, in the case of clause (A) above, the appropriate Restricted Global Note, in the case of clauses (B), (D), (E) or (F) above, the 144A Global Note, and in the case of clause (C) above, the Regulation S Global Note.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Restricted Definitive Notes to Beneficial Interests in Unrestricted Global Notes</w:t>
      </w:r>
      <w:r>
        <w:rPr>
          <w:rFonts w:ascii="Times New Roman" w:hAnsi="Times New Roman"/>
          <w:sz w:val="20"/>
        </w:rPr>
        <w:t xml:space="preserve">.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Definitive Notes proposes to exchange such Notes for a beneficial interest in the Unrestricted Global Note, a certificate from such Holder in the form of Exhibit C hereto, including the certifications in item (1)(c)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 </w:t>
      </w:r>
    </w:p>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Upon satisfaction of the conditions of any of the subparagraphs in this Section 2.06(d)(2), the Trustee will cancel the Definitive Notes and increase or cause to be increased the aggregate principal amount of the Unrestricted Global Note.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Unrestricted Definitive Notes to Beneficial Interests in Unrestricted Global Notes</w:t>
      </w:r>
      <w:r>
        <w:rPr>
          <w:rFonts w:ascii="Times New Roman" w:hAnsi="Times New Roman"/>
          <w:sz w:val="20"/>
        </w:rPr>
        <w:t xml:space="preserve">.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 </w:t>
      </w:r>
    </w:p>
    <w:p>
      <w:pPr>
        <w:pStyle w:val="TextBody"/>
        <w:bidi w:val="0"/>
        <w:spacing w:before="120" w:after="0"/>
        <w:jc w:val="left"/>
        <w:rPr>
          <w:rFonts w:ascii="Times New Roman" w:hAnsi="Times New Roman"/>
          <w:sz w:val="20"/>
        </w:rPr>
      </w:pPr>
      <w:r>
        <w:rPr>
          <w:rFonts w:ascii="Times New Roman" w:hAnsi="Times New Roman"/>
          <w:sz w:val="20"/>
        </w:rPr>
        <w:t xml:space="preserve">If any such exchange or transfer from a Definitive Note to a beneficial interest is effected pursuant to subparagraphs (2) or (3) 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Transfer and Exchange of Definitive Notes for Definitive Notes. </w:t>
      </w:r>
      <w:r>
        <w:rPr>
          <w:rFonts w:ascii="Times New Roman" w:hAnsi="Times New Roman"/>
          <w:sz w:val="20"/>
        </w:rPr>
        <w:t xml:space="preserve">Upon request by a Holder of Definitive Notes and 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Restricted Definitive Notes to Restricted Definitive Notes</w:t>
      </w:r>
      <w:r>
        <w:rPr>
          <w:rFonts w:ascii="Times New Roman" w:hAnsi="Times New Roman"/>
          <w:sz w:val="20"/>
        </w:rPr>
        <w:t xml:space="preserve">. Any Restricted Definitive Note may be transferred to and registered in the name of Persons who take delivery thereof in the form of a Restricted Definitive Note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transfer will be made pursuant to Rule 144A, then the transferor must deliver a certificate in the form of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(B) if the transfer will be made pursuant to Rule 903 or Rule 904, then the transferor must deliver a certificate in the form of Exhibit B hereto, including the certifications in item (2) thereof; and </w:t>
      </w:r>
    </w:p>
    <w:p>
      <w:pPr>
        <w:pStyle w:val="TextBody"/>
        <w:bidi w:val="0"/>
        <w:spacing w:before="120" w:after="0"/>
        <w:jc w:val="left"/>
        <w:rPr>
          <w:rFonts w:ascii="Times New Roman" w:hAnsi="Times New Roman"/>
          <w:sz w:val="20"/>
        </w:rPr>
      </w:pPr>
      <w:r>
        <w:rPr>
          <w:rFonts w:ascii="Times New Roman" w:hAnsi="Times New Roman"/>
          <w:sz w:val="20"/>
        </w:rPr>
        <w:t xml:space="preserve">(C) 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Restricted Definitive Notes to Unrestricted Definitive Notes</w:t>
      </w:r>
      <w:r>
        <w:rPr>
          <w:rFonts w:ascii="Times New Roman" w:hAnsi="Times New Roman"/>
          <w:sz w:val="20"/>
        </w:rPr>
        <w:t xml:space="preserve">. Any Restricted Definitive Note may be exchanged by the Holder thereof for an Unrestricted Definitive Note or transferred to a Person or Persons who take delivery thereof in the form of an Unrestricted Definitive Note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Restricted Definitive Notes proposes to exchange such Notes for an Unrestricted Definitive Note, a certificate from such Holder in the form of Exhibit C hereto, including the certifications in item (1)(d) thereof; or </w:t>
      </w:r>
    </w:p>
    <w:p>
      <w:pPr>
        <w:pStyle w:val="TextBody"/>
        <w:bidi w:val="0"/>
        <w:spacing w:before="120" w:after="0"/>
        <w:jc w:val="left"/>
        <w:rPr>
          <w:rFonts w:ascii="Times New Roman" w:hAnsi="Times New Roman"/>
          <w:sz w:val="20"/>
        </w:rPr>
      </w:pPr>
      <w:r>
        <w:rPr>
          <w:rFonts w:ascii="Times New Roman" w:hAnsi="Times New Roman"/>
          <w:sz w:val="20"/>
        </w:rPr>
        <w:t xml:space="preserve">(B) 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 </w:t>
      </w:r>
    </w:p>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Unrestricted Definitive Notes to Unrestricted Definitive Notes</w:t>
      </w:r>
      <w:r>
        <w:rPr>
          <w:rFonts w:ascii="Times New Roman" w:hAnsi="Times New Roman"/>
          <w:sz w:val="20"/>
        </w:rPr>
        <w:t xml:space="preserve">.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Legends. </w:t>
      </w:r>
      <w:r>
        <w:rPr>
          <w:rFonts w:ascii="Times New Roman" w:hAnsi="Times New Roman"/>
          <w:sz w:val="20"/>
        </w:rPr>
        <w:t xml:space="preserve">The following legends will appear on the face of all Global Notes and Definitive Notes issued under this Indenture unless specifically stated otherwise in the applicable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Private Placement Legend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Except as permitted by subparagraph (B) below, each Global Note and each Definitive Note (and all Notes issued in exchange therefor or substitution thereof) shall bear the legend in substantially the following form: </w:t>
      </w:r>
    </w:p>
    <w:p>
      <w:pPr>
        <w:pStyle w:val="TextBody"/>
        <w:bidi w:val="0"/>
        <w:spacing w:before="240" w:after="0"/>
        <w:jc w:val="left"/>
        <w:rPr/>
      </w:pPr>
      <w:r>
        <w:rPr/>
        <w:t>“</w:t>
      </w:r>
      <w:r>
        <w:rPr>
          <w:rFonts w:ascii="Times New Roman" w:hAnsi="Times New Roman"/>
          <w:sz w:val="20"/>
        </w:rPr>
        <w:t xml:space="preserve">THE NOTES EVIDENCED HEREBY HAVE NOT BEEN REGISTERED UNDER THE UNITED STATES SECURITIES ACT OF 1933 (THE “SECURITIES ACT”) OR THE SECURITIES LAWS OF ANY STATE OR OTHER JURISDICTION AND, ACCORDINGLY, MAY NOT BE OFFERED, SOLD, PLEDGED OR OTHERWISE TRANSFERRED WITHIN THE UNITED STATES OR TO, OR FOR THE ACCOUNT OF, U.S. PERSONS, EXCEPT IN ACCORDANCE WITH THE FOLLOWING SENTENCE. BY ITS ACQUISITION HEREOF OR OF A BENEFICIAL INTEREST HEREIN, THE ACQUIRER (1) REPRESENTS THAT (A) IT AND ANY ACCOUNT FOR WHICH IT IS ACTING IS A “QUALIFIED INSTITUTIONAL BUYER” (WITHIN THE MEANING OF RULE 144A UNDER THE SECURITIES ACT) AND THAT IT EXERCISES SOLE INVESTMENT DISCRETION WITH RESPECT TO EACH SUCH ACCOUNT, OR (B) IT IS NOT A U.S. PERSON (WITHIN THE MEANING OF REGULATION S UNDER THE SECURITIES ACT), IS NOT ACQUIRING THIS SECURITY FOR THE ACCOUNT OR BENEFIT OF A U.S. PERSON AND IS ACQUIRING THIS SECURITY IN AN OFFSHORE TRANSACTION IN COMPLIANCE WITH REGULATION S UNDER THE SECURITIES ACT, (2) AGREES FOR THE BENEFIT OF SABRE FINANCIAL BORROWER, LLC (THE “COMPANY”) THAT PRIOR TO THE DATE (THE “RESALE RESTRICTION TERMINATION DATE”) THAT IS [IN THE CASE OF RULE 144A NOTES: ONE YEAR AFTER THE LATER OF THE ISSUE DATE HEREOF AND THE LAST DATE ON WHICH THE COMPANY OR ANY AFFILIATE OF THE COMPANY WAS THE OWNER OF THIS SECURITY (OR ANY PREDECESSOR OF SUCH SECURITY),] [IN THE CASE OF REGULATION S NOTES: 40 DAYS AFTER THE LATER OF THE ISSUE DATE HEREOF AND THE DATE ON WHICH THIS SECURITY (OR ANY PREDECESSOR OF SUCH SECURITY) WAS FIRST OFFERED TO PERSONS OTHER THAN DISTRIBUTORS (AS DEFINED IN RULE 902 OF REGULATION S) IN RELIANCE ON REGULATION S], IT WILL NOT OFFER, SELL PLEDGE OR OTHERWISE TRANSFER THIS NOTE OR ANY BENEFICIAL INTEREST HEREIN, EXCEPT IN ACCORDANCE WITH THE SECURITIES ACT AND ANY APPLICABLE SECURITIES LAWS OF ANY STATE OF THE UNITED STATES AND ONLY (A) TO SABRE FINANCING HOLDINGS LLC, SABRE FINANCIAL BORROWER, LLC OR ANY WHOLLY-OWNED SUBSIDIARY THEREOF, (B) PURSUANT TO A REGISTRATION STATEMENT WHICH HAS BECOME EFFECTIVE UNDER THE SECURITIES ACT, (C) IN THE UNITED STATES, SO LONG AS THE NEW NOTES REMAIN ELIGIBLE FOR RESALE PURSUANT TO RULE 144A, TO A PERSON WHO IT REASONABLY BELIEVES IS A QUALIFIED INSTITUTIONAL BUYER ACQUIRING FOR ITS OWN ACCOUNT OR FOR THE ACCOUNT OF ONE OR MORE OTHER QUALIFIED INSTITUTIONAL BUYERS IN A TRANSACTION MEETING THE REQUIREMENTS OF RULE 144A AND TO WHOM NOTICE IS GIVEN THAT SUCH RESALE, PLEDGE OR TRANSFER IS BEING MADE IN RELIANCE ON RULE 144A, (D) OUTSIDE THE UNITED STATES IN AN OFFSHORE TRANSACTION IN COMPLIANCE WITH RULE 904 OF REGULATION S UNDER THE SECURITIES ACT, OR (E) PURSUANT TO AN EXEMPTION FROM REGISTRATION PROVIDED BY RULE 144 UNDER THE SECURITIES ACT (IF AVAILABLE) OR ANY OTHER AVAILABLE EXEMPTION FROM THE REGISTRATION REQUIREMENTS OF THE SECURITIES ACT. PRIOR TO THE REGISTRATION OF ANY TRANSFER IN ACCORDANCE WITH (2)(E) ABOVE, THE COMPANY RESERVES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any Global Note or Definitive Note issued pursuant to subparagraphs (b)(4), (c)(3), (c)(4), (d)(2), (d)(3), (e)(2), or (e)(3) of this Section 2.06 (and all Notes issued in exchange therefor or substitution thereof) will not bear the Private Placement Legend.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Global Note Legend</w:t>
      </w:r>
      <w:r>
        <w:rPr>
          <w:rFonts w:ascii="Times New Roman" w:hAnsi="Times New Roman"/>
          <w:sz w:val="20"/>
        </w:rPr>
        <w:t xml:space="preserve">. Each Global Note will bear a legend in substantially the following form: </w:t>
      </w:r>
    </w:p>
    <w:p>
      <w:pPr>
        <w:pStyle w:val="TextBody"/>
        <w:bidi w:val="0"/>
        <w:spacing w:before="120" w:after="0"/>
        <w:jc w:val="left"/>
        <w:rPr/>
      </w:pPr>
      <w:r>
        <w:rPr/>
        <w:t>“</w:t>
      </w:r>
      <w:r>
        <w:rPr>
          <w:rFonts w:ascii="Times New Roman" w:hAnsi="Times New Roman"/>
          <w:sz w:val="20"/>
        </w:rPr>
        <w:t xml:space="preserve">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Regulation S Temporary Global Note Legend</w:t>
      </w:r>
      <w:r>
        <w:rPr>
          <w:rFonts w:ascii="Times New Roman" w:hAnsi="Times New Roman"/>
          <w:sz w:val="20"/>
        </w:rPr>
        <w:t xml:space="preserve">. The Regulation S Temporary Global Note will bear a legend in substantially the following form: </w:t>
      </w:r>
    </w:p>
    <w:p>
      <w:pPr>
        <w:pStyle w:val="TextBody"/>
        <w:bidi w:val="0"/>
        <w:spacing w:before="120" w:after="0"/>
        <w:jc w:val="left"/>
        <w:rPr/>
      </w:pPr>
      <w:r>
        <w:rPr/>
        <w:t>“</w:t>
      </w:r>
      <w:r>
        <w:rPr>
          <w:rFonts w:ascii="Times New Roman" w:hAnsi="Times New Roman"/>
          <w:sz w:val="20"/>
        </w:rPr>
        <w:t xml:space="preserve">THE RIGHTS ATTACHING TO THIS REGULATION S TEMPORARY GLOBAL NOTE, AND THE CONDITIONS AND PROCEDURES GOVERNING ITS EXCHANGE FOR DEFINITIVE NOTES, ARE AS SPECIFIED IN THE INDENTURE (AS DEFINED HEREIN). THIS LEGEND WILL BE DEEMED REMOVED AFTER THE EXPIRATION OF FORTY DAYS FROM THE LATER OF (i) THE DATE ON WHICH THESE NOTES WERE FIRST OFFERED AND (ii) THE DATE OF ISSUE OF THESE NOTES.”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Cancellation and/or Adjustment of Global Notes. </w:t>
      </w:r>
      <w:r>
        <w:rPr>
          <w:rFonts w:ascii="Times New Roman" w:hAnsi="Times New Roman"/>
          <w:sz w:val="20"/>
        </w:rPr>
        <w:t xml:space="preserve">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General Provisions Relating to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To permit registrations of transfers and exchanges, the Company will execute and the Trustee will authenticate Global Notes and Definitive Notes upon receipt of an Authentication Order in accordance with Section 2.02 hereof or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4.15 and 9.04 hereof). </w:t>
      </w:r>
    </w:p>
    <w:p>
      <w:pPr>
        <w:pStyle w:val="TextBody"/>
        <w:bidi w:val="0"/>
        <w:spacing w:before="120" w:after="0"/>
        <w:jc w:val="left"/>
        <w:rPr>
          <w:rFonts w:ascii="Times New Roman" w:hAnsi="Times New Roman"/>
          <w:sz w:val="20"/>
        </w:rPr>
      </w:pPr>
      <w:r>
        <w:rPr>
          <w:rFonts w:ascii="Times New Roman" w:hAnsi="Times New Roman"/>
          <w:sz w:val="20"/>
        </w:rPr>
        <w:t xml:space="preserve">(3) The Registrar will not be required to register the transfer of or exchange of any Note selected for redemption in whole or in part, except the unredeemed portion of any Note being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(4) 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Neither the Registrar nor the Company will be required: </w:t>
      </w:r>
    </w:p>
    <w:p>
      <w:pPr>
        <w:pStyle w:val="TextBody"/>
        <w:bidi w:val="0"/>
        <w:spacing w:before="120" w:after="0"/>
        <w:jc w:val="left"/>
        <w:rPr>
          <w:rFonts w:ascii="Times New Roman" w:hAnsi="Times New Roman"/>
          <w:sz w:val="20"/>
        </w:rPr>
      </w:pPr>
      <w:r>
        <w:rPr>
          <w:rFonts w:ascii="Times New Roman" w:hAnsi="Times New Roman"/>
          <w:sz w:val="20"/>
        </w:rPr>
        <w:t xml:space="preserve">(A) to issue, to register the transfer of or to exchange any Notes during a period beginning at the opening of business 15 days before mailing of a notice of redemption of Notes for redemption under Section 3.02 hereof and ending at the close of business on the day of such mailing; </w:t>
      </w:r>
    </w:p>
    <w:p>
      <w:pPr>
        <w:pStyle w:val="TextBody"/>
        <w:bidi w:val="0"/>
        <w:spacing w:before="120" w:after="0"/>
        <w:jc w:val="left"/>
        <w:rPr>
          <w:rFonts w:ascii="Times New Roman" w:hAnsi="Times New Roman"/>
          <w:sz w:val="20"/>
        </w:rPr>
      </w:pPr>
      <w:r>
        <w:rPr>
          <w:rFonts w:ascii="Times New Roman" w:hAnsi="Times New Roman"/>
          <w:sz w:val="20"/>
        </w:rPr>
        <w:t xml:space="preserve">(B) to register the transfer of or to exchange any Note selected for redemption in whole or in part, except the unredeemed portion of any Note being redeemed in part; or </w:t>
      </w:r>
    </w:p>
    <w:p>
      <w:pPr>
        <w:pStyle w:val="TextBody"/>
        <w:bidi w:val="0"/>
        <w:spacing w:before="120" w:after="0"/>
        <w:jc w:val="left"/>
        <w:rPr>
          <w:rFonts w:ascii="Times New Roman" w:hAnsi="Times New Roman"/>
          <w:sz w:val="20"/>
        </w:rPr>
      </w:pPr>
      <w:r>
        <w:rPr>
          <w:rFonts w:ascii="Times New Roman" w:hAnsi="Times New Roman"/>
          <w:sz w:val="20"/>
        </w:rPr>
        <w:t xml:space="preserve">(C) to register the transfer of or to exchange a Note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 Members of, or participants in, DTC shall have no rights under this Indenture with respect to any Global Note held on their behalf by DTC or by the Custodian as the custodian of DTC or under such Global Note, and DTC may be treated by the Company, the Trustee, the Collateral Agent and any agent of the Company, the Trustee or the Collateral Agent as the absolute owner of such Global Note for all purposes whatsoever. Notwithstanding the foregoing, nothing herein shall prevent the Company, the Trustee, the Collateral Agent or any agent of the Company, the Trustee or the Collateral Agent from giving effect to any written certification, proxy or other authorization furnished by DTC or impair, as between DTC and its participants, the operation of customary practices of DTC governing the exercise of the rights of a holder of a beneficial interest in any Global Note. </w:t>
      </w:r>
    </w:p>
    <w:p>
      <w:pPr>
        <w:pStyle w:val="TextBody"/>
        <w:bidi w:val="0"/>
        <w:spacing w:before="120" w:after="0"/>
        <w:jc w:val="left"/>
        <w:rPr>
          <w:rFonts w:ascii="Times New Roman" w:hAnsi="Times New Roman"/>
          <w:sz w:val="20"/>
        </w:rPr>
      </w:pPr>
      <w:r>
        <w:rPr>
          <w:rFonts w:ascii="Times New Roman" w:hAnsi="Times New Roman"/>
          <w:sz w:val="20"/>
        </w:rPr>
        <w:t xml:space="preserve">(7) The Trustee will authenticate Global Notes and Definitive Notes in accordance with the provisions of Section 2.02 hereof. </w:t>
      </w:r>
    </w:p>
    <w:p>
      <w:pPr>
        <w:pStyle w:val="TextBody"/>
        <w:bidi w:val="0"/>
        <w:spacing w:before="120" w:after="0"/>
        <w:jc w:val="left"/>
        <w:rPr>
          <w:rFonts w:ascii="Times New Roman" w:hAnsi="Times New Roman"/>
          <w:sz w:val="20"/>
        </w:rPr>
      </w:pPr>
      <w:r>
        <w:rPr>
          <w:rFonts w:ascii="Times New Roman" w:hAnsi="Times New Roman"/>
          <w:sz w:val="20"/>
        </w:rPr>
        <w:t xml:space="preserve">(8) All certifications, certificates and Opinions of Counsel required to be submitted to the Registrar pursuant to this Section 2.06 to effect a registration of transfer or exchange may be submitted by facsimile. </w:t>
      </w:r>
    </w:p>
    <w:p>
      <w:pPr>
        <w:pStyle w:val="TextBody"/>
        <w:bidi w:val="0"/>
        <w:spacing w:before="120" w:after="0"/>
        <w:jc w:val="left"/>
        <w:rPr>
          <w:rFonts w:ascii="Times New Roman" w:hAnsi="Times New Roman"/>
          <w:sz w:val="20"/>
        </w:rPr>
      </w:pPr>
      <w:r>
        <w:rPr>
          <w:rFonts w:ascii="Times New Roman" w:hAnsi="Times New Roman"/>
          <w:sz w:val="20"/>
        </w:rPr>
        <w:t xml:space="preserve">(9)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Neither the Trustee nor any Agent shall have any responsibility or liability for any actions taken or not taken by the Depositary. The Trustee shall have no responsibility or obligation to any beneficial owner of a Global Note, a member of, or a participant in, DTC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rely and shall be fully protected in relying upon information furnished by DTC with respect to its members, participants and any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(11) In connection with any proposed transfer or exchange of Definitive Notes, the Holder that is the transferor of the Note and the Company, to the extent that the information is reasonably available to the Company, shall use commercially reasonably efforts to provide the Trustee with all information as is reasonably requested by the Trustee and necessary to allow the Trustee to comply with any applicable tax reporting obligations, including without limitation any cost basis reporting obligations under Section 6045 of the Code. The Trustee may rely on information provided to it and shall have no responsibility to verify or ensure the accuracy of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Replacement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 including Trustee’s expenses.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note is an additional obligation of the Company and will be entitled to all of the benefits of this Indenture equally and proportionately with all other Notes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Outstanding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an Affiliate of the Company shall not be deemed to be outstanding for purposes of Section 3.07(a)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Note is replaced pursuant to Section 2.07 hereof, it ceases to be outstanding unless the Trustee receives proof satisfactory to it that the replaced Note is held by a protected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principal amount of any Note is considered paid under Section 4.01 hereof, it ceases to be outstanding and interest on it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Treasury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conclusively relying on any such direction, waiver or consent, only Notes that a Responsible Officer of the Trustee actually knows are so owned will be so disregarded.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Temporary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temporary Notes will be entitled to all of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requirements of the Exchange Act) in accordance with its customary procedures. Certification of the disposition of all canceled Notes will be delivered to the Company upon its written request. The Company may not issue new Notes to replace Notes that it has paid or that have been delivered to the Trustee for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Defaulted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provided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i/>
          <w:sz w:val="20"/>
        </w:rPr>
        <w:t>CUSIP Numbers and ISINs.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Notes may use “CUSIP” numbers and ISINs (if then generally in use), and, if so, the Trustee shall use “CUSIP” numbers and ISINs in notices of redemption as a convenience to Holders; </w:t>
      </w:r>
      <w:r>
        <w:rPr>
          <w:rFonts w:ascii="Times New Roman" w:hAnsi="Times New Roman"/>
          <w:i/>
          <w:sz w:val="20"/>
        </w:rPr>
        <w:t xml:space="preserve">provided </w:t>
      </w:r>
      <w:r>
        <w:rPr>
          <w:rFonts w:ascii="Times New Roman" w:hAnsi="Times New Roman"/>
          <w:sz w:val="20"/>
        </w:rPr>
        <w:t xml:space="preserve">that the Trustee shall have no liability for any defect in the “CUSIP” numbers or ISINs as they appear on any Note, notice or elsewhere, and, </w:t>
      </w:r>
      <w:r>
        <w:rPr>
          <w:rFonts w:ascii="Times New Roman" w:hAnsi="Times New Roman"/>
          <w:i/>
          <w:sz w:val="20"/>
        </w:rPr>
        <w:t xml:space="preserve">provided further </w:t>
      </w:r>
      <w:r>
        <w:rPr>
          <w:rFonts w:ascii="Times New Roman" w:hAnsi="Times New Roman"/>
          <w:sz w:val="20"/>
        </w:rPr>
        <w:t xml:space="preserve">that any such notice may state that no representation is made as to the correctness of such numbers either as printed on the Securities or as contained in any notice of a redemption and that reliance may be placed only on the other identification numbers printed on the Notes, and any such redemption shall not be affected by any defect in or omission of such numbers. The Company will promptly notify the Trustee in writing of any change in the “CUSIP” numbers or ISINs.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REDEMPTION AND PREPAYMENT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Notices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Notes pursuant to the optional redemption provisions of Section 3.07 hereof, it must furnish to the Trustee, at least 10 days but not more than 60 days before a Redemption Date, an Officer’s Certificate setting forth: </w:t>
      </w:r>
    </w:p>
    <w:p>
      <w:pPr>
        <w:pStyle w:val="TextBody"/>
        <w:bidi w:val="0"/>
        <w:spacing w:before="120" w:after="0"/>
        <w:jc w:val="left"/>
        <w:rPr>
          <w:rFonts w:ascii="Times New Roman" w:hAnsi="Times New Roman"/>
          <w:sz w:val="20"/>
        </w:rPr>
      </w:pPr>
      <w:r>
        <w:rPr>
          <w:rFonts w:ascii="Times New Roman" w:hAnsi="Times New Roman"/>
          <w:sz w:val="20"/>
        </w:rPr>
        <w:t xml:space="preserve">(1) the clause of this Indenture pursuant to which the redemption shall occur;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(3) the principal amount of Notes to be redeemed; and </w:t>
      </w:r>
    </w:p>
    <w:p>
      <w:pPr>
        <w:pStyle w:val="TextBody"/>
        <w:bidi w:val="0"/>
        <w:spacing w:before="120" w:after="0"/>
        <w:jc w:val="left"/>
        <w:rPr>
          <w:rFonts w:ascii="Times New Roman" w:hAnsi="Times New Roman"/>
          <w:sz w:val="20"/>
        </w:rPr>
      </w:pPr>
      <w:r>
        <w:rPr>
          <w:rFonts w:ascii="Times New Roman" w:hAnsi="Times New Roman"/>
          <w:sz w:val="20"/>
        </w:rPr>
        <w:t xml:space="preserve">(4)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Selection of Notes to Be Redeemed or Purchased.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or purchased in an offer to purchase at any time, the Trustee will select Notes for redemption or purchase (1) in compliance with customary DTC procedures or (2) by lot or on a </w:t>
      </w:r>
      <w:r>
        <w:rPr>
          <w:rFonts w:ascii="Times New Roman" w:hAnsi="Times New Roman"/>
          <w:i/>
          <w:sz w:val="20"/>
        </w:rPr>
        <w:t xml:space="preserve">pro rata </w:t>
      </w:r>
      <w:r>
        <w:rPr>
          <w:rFonts w:ascii="Times New Roman" w:hAnsi="Times New Roman"/>
          <w:sz w:val="20"/>
        </w:rPr>
        <w:t xml:space="preserve">basis or by such other method as most nearly approximates a </w:t>
      </w:r>
      <w:r>
        <w:rPr>
          <w:rFonts w:ascii="Times New Roman" w:hAnsi="Times New Roman"/>
          <w:i/>
          <w:sz w:val="20"/>
        </w:rPr>
        <w:t xml:space="preserve">pro rata </w:t>
      </w:r>
      <w:r>
        <w:rPr>
          <w:rFonts w:ascii="Times New Roman" w:hAnsi="Times New Roman"/>
          <w:sz w:val="20"/>
        </w:rPr>
        <w:t xml:space="preserve">basis subject to customary DTC procedures. </w:t>
      </w:r>
    </w:p>
    <w:p>
      <w:pPr>
        <w:pStyle w:val="TextBody"/>
        <w:bidi w:val="0"/>
        <w:spacing w:before="240" w:after="0"/>
        <w:jc w:val="left"/>
        <w:rPr>
          <w:rFonts w:ascii="Times New Roman" w:hAnsi="Times New Roman"/>
          <w:sz w:val="20"/>
        </w:rPr>
      </w:pPr>
      <w:r>
        <w:rPr>
          <w:rFonts w:ascii="Times New Roman" w:hAnsi="Times New Roman"/>
          <w:sz w:val="20"/>
        </w:rPr>
        <w:t xml:space="preserve">If any Notes are listed on an exchange, and the rules of such exchange so require, the Company will notify the exchange of any such notice of redemption. In addition, the Company will notify the exchange of the principal amount of any Notes outstanding following any partial redemption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partial redemption or purchase by lot, the particular Notes to be redeemed or purchased will be selected, unless otherwise provided herein, not less than 10 nor more than 60 days prior to the redemption or purchase date by the Trustee from the outstanding Notes not previously called for redemption or purchase.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$2,000 or whole multiples of $1,000 in excess thereof; except that if all of the Notes of a Holder are to be redeemed or purchased, the entire outstanding amount of Notes held by such Holder shall be redeemed or purchased. Except as provided in the preceding sentence, provisions of this Indenture that apply to Notes called for redemption or purchase also apply to portions of Notes called for redemption or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3.09 hereof, at least 10 days but not more than 60 days before a Redemption Date, the Company will mail or cause to be mailed, by first class mail or otherwise in accordance with the procedures of the Depositary,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12 hereof. </w:t>
      </w:r>
    </w:p>
    <w:p>
      <w:pPr>
        <w:pStyle w:val="TextBody"/>
        <w:bidi w:val="0"/>
        <w:spacing w:before="240" w:after="0"/>
        <w:jc w:val="left"/>
        <w:rPr>
          <w:rFonts w:ascii="Times New Roman" w:hAnsi="Times New Roman"/>
          <w:sz w:val="20"/>
        </w:rPr>
      </w:pPr>
      <w:r>
        <w:rPr>
          <w:rFonts w:ascii="Times New Roman" w:hAnsi="Times New Roman"/>
          <w:sz w:val="20"/>
        </w:rPr>
        <w:t xml:space="preserve">The notice will identify the Notes to be redeemed and will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(3) 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 </w:t>
      </w:r>
    </w:p>
    <w:p>
      <w:pPr>
        <w:pStyle w:val="TextBody"/>
        <w:bidi w:val="0"/>
        <w:spacing w:before="120" w:after="0"/>
        <w:jc w:val="left"/>
        <w:rPr>
          <w:rFonts w:ascii="Times New Roman" w:hAnsi="Times New Roman"/>
          <w:sz w:val="20"/>
        </w:rPr>
      </w:pPr>
      <w:r>
        <w:rPr>
          <w:rFonts w:ascii="Times New Roman" w:hAnsi="Times New Roman"/>
          <w:sz w:val="20"/>
        </w:rPr>
        <w:t xml:space="preserve">(4)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(5) that Notes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(6) that, unless the Company defaults in making such redemption payment, interest on Notes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(7) the paragraph of the Notes and/or Section of this Indenture pursuant to which the Notes called for redemption are being redeemed;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that no representation is made as to the correctness or accuracy of the CUSIP number, if any, listed in such notice or printed on the Notes.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will give the notice of redemption in the Company’s name and at its expense.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notice of redemption is mailed in accordance with Section 3.03 hereof, Notes called for redemption become due and payable on the Redemption Date at the redemption price, subject to the following sentence. Notice of any redemption may, at the Company’s discretion, be subject to one or more conditions precedent, including, without limitation, the consummation of an incurrence or issuance of debt or equity or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One Business Day prior to the redemption date, the Company will deposit with the Trustee or with the Paying Agent money sufficient to pay the redemption price of and accrued interest, if any, on all Notes to be redeemed on that date. The Trustee or the Paying Agent will promptly return to the Company any money deposited with the Trustee or the Paying Agent by the Company in excess of the amounts necessary to pay the redemption price of and accrued interest, if any, on all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i/>
          <w:sz w:val="20"/>
        </w:rPr>
        <w:t>Notes Redeemed or Purchased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October 15, 2029, the Company may redeem all or a part of the Notes, at a redemption price equal to 100% of the principal amount of the Notes redeemed plus the Applicable Premium as of, plus accrued and unpaid interest, if any, on the Notes redeemed, to, but excluding, the Redemption Date, subject to the right of Holders of record on the relevant record date to receive interest due on the relevant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any time, in connection with any tender offer or other offer to purchase any series of Notes (including pursuant to a Change of Control Offer or Asset Sale Offer), if not less than 90% in aggregate principal amount of the outstanding Notes of such series validly tender and do not withdraw such Notes in such offer, all of the holders of such series of Notes will be deemed to have consented to such tender or other offer and accordingly, the Company or any third party purchasing or acquiring the Notes in lieu of the Company will have the right, upon not less than 10 nor more than 60 days’ prior notice, given not more than 60 days following such purchase, to redeem all Notes of such series that remain outstanding following such purchase at a price equal to the price paid to holders in such purchase, plus accrued and unpaid interest, if any, on such Notes to, but excluding, the Redemption Date (subject to the right of holders of record on the relevant record date to receive interest due on the relevant interest payment date falling prior to or on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At any time and from time to time on or prior to October 15, 2029, the Company may redeem in the aggregate up to 40% of the original aggregate principal amount of the Notes with the net cash proceeds of one or more Subsequent Equity Offerings (1) by Sabre GLBL or (2) by any direct or indirect parent of Sabre GLBL to the extent the net cash proceeds thereof are contributed to the common equity capital of Sabre GLBL or used to purchase Capital Stock (other than Disqualified Stock) (in each case, as defined in the New Intercompany Loan) of Sabre GLBL from it, at a redemption price (expressed as a percentage of principal amount thereof) of 109.875%, plus accrued and unpaid interest to, but excluding, the Redemption Date (subject to the right of holders of record on the relevant record date to receive interest due on the relevant interest payment date); </w:t>
      </w:r>
      <w:r>
        <w:rPr>
          <w:rFonts w:ascii="Times New Roman" w:hAnsi="Times New Roman"/>
          <w:i/>
          <w:sz w:val="20"/>
        </w:rPr>
        <w:t>provided</w:t>
      </w:r>
      <w:r>
        <w:rPr>
          <w:rFonts w:ascii="Times New Roman" w:hAnsi="Times New Roman"/>
          <w:sz w:val="20"/>
        </w:rPr>
        <w:t xml:space="preserve">, however, that </w:t>
      </w:r>
    </w:p>
    <w:p>
      <w:pPr>
        <w:pStyle w:val="TextBody"/>
        <w:bidi w:val="0"/>
        <w:spacing w:before="120" w:after="0"/>
        <w:jc w:val="left"/>
        <w:rPr>
          <w:rFonts w:ascii="Times New Roman" w:hAnsi="Times New Roman"/>
          <w:sz w:val="20"/>
        </w:rPr>
      </w:pPr>
      <w:r>
        <w:rPr>
          <w:rFonts w:ascii="Times New Roman" w:hAnsi="Times New Roman"/>
          <w:sz w:val="20"/>
        </w:rPr>
        <w:t xml:space="preserve">(1) at least 50% of the original aggregate principal amount of the Notes must remain outstanding after each such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that such redemption shall occur within 180 days after the date on which any such Subsequent Equity Offering is consummated upon not less than ten nor more than 60 days’ notice mailed by first-class mail to each holder of Notes being redeemed and otherwise in accordance with the procedures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Except pursuant to the preceding paragraphs (a) through (c), the Notes will not be redeemable at the Company’s option prior to October 15, 2029. </w:t>
      </w:r>
    </w:p>
    <w:p>
      <w:pPr>
        <w:pStyle w:val="TextBody"/>
        <w:bidi w:val="0"/>
        <w:spacing w:before="240" w:after="0"/>
        <w:jc w:val="left"/>
        <w:rPr>
          <w:rFonts w:ascii="Times New Roman" w:hAnsi="Times New Roman"/>
          <w:sz w:val="20"/>
        </w:rPr>
      </w:pPr>
      <w:r>
        <w:rPr>
          <w:rFonts w:ascii="Times New Roman" w:hAnsi="Times New Roman"/>
          <w:sz w:val="20"/>
        </w:rPr>
        <w:t xml:space="preserve">(e) On and after October 15, 2029, the Company may, at its option, on one or more occasions, redeem all or a portion of the Notes at redemption prices (expressed as percentages of the aggregate principal amount thereof) set forth below, plus accrued and unpaid interest, if any, on the Notes redeemed, to, but excluding, the Redemption Date, if redeemed during the 12-month period beginning on October 15 of the years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5"/>
        <w:gridCol w:w="355"/>
        <w:gridCol w:w="73"/>
        <w:gridCol w:w="1058"/>
        <w:gridCol w:w="278"/>
      </w:tblGrid>
      <w:tr>
        <w:trPr/>
        <w:tc>
          <w:tcPr>
            <w:tcW w:w="517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7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Year</w:t>
            </w:r>
          </w:p>
        </w:tc>
        <w:tc>
          <w:tcPr>
            <w:tcW w:w="35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t>Percentage</w:t>
            </w:r>
          </w:p>
        </w:tc>
        <w:tc>
          <w:tcPr>
            <w:tcW w:w="278"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104.938</w:t>
            </w:r>
          </w:p>
        </w:tc>
        <w:tc>
          <w:tcPr>
            <w:tcW w:w="278" w:type="dxa"/>
            <w:tcBorders/>
            <w:shd w:fill="CCEEFF" w:val="clear"/>
            <w:vAlign w:val="bottom"/>
          </w:tcPr>
          <w:p>
            <w:pPr>
              <w:pStyle w:val="TableContents"/>
              <w:bidi w:val="0"/>
              <w:spacing w:before="0" w:after="283"/>
              <w:jc w:val="left"/>
              <w:rPr/>
            </w:pPr>
            <w:r>
              <w:rPr/>
              <w:t>% </w:t>
            </w:r>
          </w:p>
        </w:tc>
      </w:tr>
      <w:tr>
        <w:trPr/>
        <w:tc>
          <w:tcPr>
            <w:tcW w:w="517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102.469</w:t>
            </w:r>
          </w:p>
        </w:tc>
        <w:tc>
          <w:tcPr>
            <w:tcW w:w="278"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100.000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If the Company receives any voluntary or mandatory prepayment of principal under the New Intercompany Loan, the Company shall retain such amount and promptly use such amount to redeem the maximum principal amount of Notes that can be redeemed with such amount (after taking into account accrued and unpaid interest and any applicable redemption premium required to be paid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(g) Any redemption pursuant to this Section 3.07 shall be made pursuant to the provisions of Sections 3.01 through 3.06 hereof. </w:t>
      </w:r>
    </w:p>
    <w:p>
      <w:pPr>
        <w:pStyle w:val="TextBody"/>
        <w:bidi w:val="0"/>
        <w:spacing w:before="240" w:after="0"/>
        <w:jc w:val="left"/>
        <w:rPr>
          <w:rFonts w:ascii="Times New Roman" w:hAnsi="Times New Roman"/>
          <w:sz w:val="20"/>
        </w:rPr>
      </w:pPr>
      <w:r>
        <w:rPr>
          <w:rFonts w:ascii="Times New Roman" w:hAnsi="Times New Roman"/>
          <w:sz w:val="20"/>
        </w:rPr>
        <w:t xml:space="preserve">(h) Notice of any redemption (including with net cash proceeds of a Subsequent Equity Offering) may, at the Company’s discretion, be subject to one or more conditions precedent, including, without limitation, the consummation of an incurrence or issuance of debt or equity or a Change of Control. If any Notes are listed on an exchange, and the rules of such exchange so require, the Company will notify the exchange of any such notice of redemption. In addition, the Company will notify the exchange of the principal amount of any Notes outstanding following any partial redemption of Notes. If any condition precedent has not been satisfied, the Company shall, provide written notice to the Trustee and Holders by 10 A.M., New York City time, on the Redemption Date, stating that such condition has not been satisfied, the notice of redemption is rescinded or delayed and the redemption shall not occur or shall be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i/>
          <w:sz w:val="20"/>
        </w:rPr>
        <w:t>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required to make any mandatory redemption or sinking fund payments with respect to the Notes. However, under certain circumstances, the Company may be required to offer to purchase Notes as described under Sections 4.10 and 4.15 hereof. The Company may at any time and from time to time purchase Notes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i/>
          <w:sz w:val="20"/>
        </w:rPr>
        <w:t>Offer to Purchase by Application of Excess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the event that, pursuant to Section 4.10 hereof, the Company is required to commence an offer to all Holders to purchase Notes (an “</w:t>
      </w:r>
      <w:r>
        <w:rPr>
          <w:rFonts w:ascii="Times New Roman" w:hAnsi="Times New Roman"/>
          <w:i/>
          <w:sz w:val="20"/>
        </w:rPr>
        <w:t>Asset Sale Offer</w:t>
      </w:r>
      <w:r>
        <w:rPr>
          <w:rFonts w:ascii="Times New Roman" w:hAnsi="Times New Roman"/>
          <w:sz w:val="20"/>
        </w:rPr>
        <w:t xml:space="preserve">”), it will follow the procedures specified below. </w:t>
      </w:r>
    </w:p>
    <w:p>
      <w:pPr>
        <w:pStyle w:val="TextBody"/>
        <w:bidi w:val="0"/>
        <w:spacing w:before="240" w:after="0"/>
        <w:jc w:val="left"/>
        <w:rPr>
          <w:rFonts w:ascii="Times New Roman" w:hAnsi="Times New Roman"/>
          <w:sz w:val="20"/>
        </w:rPr>
      </w:pPr>
      <w:r>
        <w:rPr>
          <w:rFonts w:ascii="Times New Roman" w:hAnsi="Times New Roman"/>
          <w:sz w:val="20"/>
        </w:rPr>
        <w:t>The Asset Sale Offer shall be made to all Holders and if required by the terms of any Indebtedness that is pari passu in right of payment with the Notes (“</w:t>
      </w:r>
      <w:r>
        <w:rPr>
          <w:rFonts w:ascii="Times New Roman" w:hAnsi="Times New Roman"/>
          <w:i/>
          <w:sz w:val="20"/>
        </w:rPr>
        <w:t>Pari Passu Indebtedness</w:t>
      </w:r>
      <w:r>
        <w:rPr>
          <w:rFonts w:ascii="Times New Roman" w:hAnsi="Times New Roman"/>
          <w:sz w:val="20"/>
        </w:rPr>
        <w:t>”) to the Holders of such Pari Passu Indebtedness. The Asset Sale Offer will remain open for a period of at least 20 Business Days following its commencement and not more than 30 Business Days, except to the extent that a longer period is required by applicable law (the “</w:t>
      </w:r>
      <w:r>
        <w:rPr>
          <w:rFonts w:ascii="Times New Roman" w:hAnsi="Times New Roman"/>
          <w:i/>
          <w:sz w:val="20"/>
        </w:rPr>
        <w:t>Offer Period</w:t>
      </w:r>
      <w:r>
        <w:rPr>
          <w:rFonts w:ascii="Times New Roman" w:hAnsi="Times New Roman"/>
          <w:sz w:val="20"/>
        </w:rPr>
        <w:t>”). No later than three Business Days after the termination of the Offer Period (the “</w:t>
      </w:r>
      <w:r>
        <w:rPr>
          <w:rFonts w:ascii="Times New Roman" w:hAnsi="Times New Roman"/>
          <w:i/>
          <w:sz w:val="20"/>
        </w:rPr>
        <w:t>Purchase Date</w:t>
      </w:r>
      <w:r>
        <w:rPr>
          <w:rFonts w:ascii="Times New Roman" w:hAnsi="Times New Roman"/>
          <w:sz w:val="20"/>
        </w:rPr>
        <w:t>”), the Company will apply all Excess Proceeds (the “</w:t>
      </w:r>
      <w:r>
        <w:rPr>
          <w:rFonts w:ascii="Times New Roman" w:hAnsi="Times New Roman"/>
          <w:i/>
          <w:sz w:val="20"/>
        </w:rPr>
        <w:t>Offer Amount</w:t>
      </w:r>
      <w:r>
        <w:rPr>
          <w:rFonts w:ascii="Times New Roman" w:hAnsi="Times New Roman"/>
          <w:sz w:val="20"/>
        </w:rPr>
        <w:t xml:space="preserve">”) to the purchase of Notes and such Pari Passu Indebtedness (on a </w:t>
      </w:r>
      <w:r>
        <w:rPr>
          <w:rFonts w:ascii="Times New Roman" w:hAnsi="Times New Roman"/>
          <w:i/>
          <w:sz w:val="20"/>
        </w:rPr>
        <w:t xml:space="preserve">pro rata </w:t>
      </w:r>
      <w:r>
        <w:rPr>
          <w:rFonts w:ascii="Times New Roman" w:hAnsi="Times New Roman"/>
          <w:sz w:val="20"/>
        </w:rPr>
        <w:t xml:space="preserve">basis based on the principal amount of Notes and such Pari Passu Indebtedness surrendered, if applicable) or, if less than the Offer Amount has been tendered, all Notes and other Indebtedness tendered in response to the Asset Sale Offer. Payment for any Notes so purchased will be made in the same manner as interest payments are made. </w:t>
      </w:r>
    </w:p>
    <w:p>
      <w:pPr>
        <w:pStyle w:val="TextBody"/>
        <w:bidi w:val="0"/>
        <w:spacing w:before="240" w:after="0"/>
        <w:jc w:val="left"/>
        <w:rPr>
          <w:rFonts w:ascii="Times New Roman" w:hAnsi="Times New Roman"/>
          <w:sz w:val="20"/>
        </w:rPr>
      </w:pPr>
      <w:r>
        <w:rPr>
          <w:rFonts w:ascii="Times New Roman" w:hAnsi="Times New Roman"/>
          <w:sz w:val="20"/>
        </w:rPr>
        <w:t xml:space="preserve">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Holders who tender Notes pursuant to the Asset Sale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 </w:t>
      </w:r>
    </w:p>
    <w:p>
      <w:pPr>
        <w:pStyle w:val="TextBody"/>
        <w:bidi w:val="0"/>
        <w:spacing w:before="120" w:after="0"/>
        <w:jc w:val="left"/>
        <w:rPr>
          <w:rFonts w:ascii="Times New Roman" w:hAnsi="Times New Roman"/>
          <w:sz w:val="20"/>
        </w:rPr>
      </w:pPr>
      <w:r>
        <w:rPr>
          <w:rFonts w:ascii="Times New Roman" w:hAnsi="Times New Roman"/>
          <w:sz w:val="20"/>
        </w:rPr>
        <w:t xml:space="preserve">(1) that the Asset Sale Offer is being made pursuant to this Section 3.09 and Section 4.10 hereof and the length of time the Asset Sale Offer will remain open; </w:t>
      </w:r>
    </w:p>
    <w:p>
      <w:pPr>
        <w:pStyle w:val="TextBody"/>
        <w:bidi w:val="0"/>
        <w:spacing w:before="120" w:after="0"/>
        <w:jc w:val="left"/>
        <w:rPr>
          <w:rFonts w:ascii="Times New Roman" w:hAnsi="Times New Roman"/>
          <w:sz w:val="20"/>
        </w:rPr>
      </w:pPr>
      <w:r>
        <w:rPr>
          <w:rFonts w:ascii="Times New Roman" w:hAnsi="Times New Roman"/>
          <w:sz w:val="20"/>
        </w:rPr>
        <w:t xml:space="preserve">(2) the Offer Amount, the purchase price and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(3) that any Note not tendered or accepted for payment will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Company defaults in making such payment, any Note accepted for payment pursuant to the Asset Sale Offer will cease to accrue interest after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 Note purchased pursuant to an Asset Sale Offer may elect to have Notes purchased in denominations of $2,000 or an integral multiple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(6) 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(7) that Holders will be entitled to withdraw their election if the Company,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 </w:t>
      </w:r>
    </w:p>
    <w:p>
      <w:pPr>
        <w:pStyle w:val="TextBody"/>
        <w:bidi w:val="0"/>
        <w:spacing w:before="120" w:after="0"/>
        <w:jc w:val="left"/>
        <w:rPr>
          <w:rFonts w:ascii="Times New Roman" w:hAnsi="Times New Roman"/>
          <w:sz w:val="20"/>
        </w:rPr>
      </w:pPr>
      <w:r>
        <w:rPr>
          <w:rFonts w:ascii="Times New Roman" w:hAnsi="Times New Roman"/>
          <w:sz w:val="20"/>
        </w:rPr>
        <w:t xml:space="preserve">(8) that, if the aggregate principal amount of Notes and Pari Passu Indebtedness surrendered by holders thereof exceeds the Offer Amount, the Company will select the Notes and Pari Passu Indebtedness to be purchased on a </w:t>
      </w:r>
      <w:r>
        <w:rPr>
          <w:rFonts w:ascii="Times New Roman" w:hAnsi="Times New Roman"/>
          <w:i/>
          <w:sz w:val="20"/>
        </w:rPr>
        <w:t xml:space="preserve">pro rata </w:t>
      </w:r>
      <w:r>
        <w:rPr>
          <w:rFonts w:ascii="Times New Roman" w:hAnsi="Times New Roman"/>
          <w:sz w:val="20"/>
        </w:rPr>
        <w:t xml:space="preserve">basis based on the principal amount of Notes and such Pari Passu Indebtedness surrendered (with such adjustments as may be deemed appropriate by the Company so that only Notes in denominations of $2,000, or an integral multiple of $1,000 in excess thereof, will be purchased); and </w:t>
      </w:r>
    </w:p>
    <w:p>
      <w:pPr>
        <w:pStyle w:val="TextBody"/>
        <w:bidi w:val="0"/>
        <w:spacing w:before="120" w:after="0"/>
        <w:jc w:val="left"/>
        <w:rPr>
          <w:rFonts w:ascii="Times New Roman" w:hAnsi="Times New Roman"/>
          <w:sz w:val="20"/>
        </w:rPr>
      </w:pPr>
      <w:r>
        <w:rPr>
          <w:rFonts w:ascii="Times New Roman" w:hAnsi="Times New Roman"/>
          <w:sz w:val="20"/>
        </w:rPr>
        <w:t xml:space="preserve">(9) that Holders whose Notes were purchased only in part will be issued new Notes equal in principal amount to the unpurchased portion of the Notes surrendered (or transferred by book-entry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the Purchase Date, the Company will, to the extent lawful, accept for payment, on a </w:t>
      </w:r>
      <w:r>
        <w:rPr>
          <w:rFonts w:ascii="Times New Roman" w:hAnsi="Times New Roman"/>
          <w:i/>
          <w:sz w:val="20"/>
        </w:rPr>
        <w:t xml:space="preserve">pro rata </w:t>
      </w:r>
      <w:r>
        <w:rPr>
          <w:rFonts w:ascii="Times New Roman" w:hAnsi="Times New Roman"/>
          <w:sz w:val="20"/>
        </w:rPr>
        <w:t xml:space="preserve">basis to the extent necessary,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Any Note not so accepted shall be promptly mailed or delivered by the Company to the Holder thereof. The Company will publicly announce the results of the Asset Sale Offer on the Purchase Date. </w:t>
      </w:r>
    </w:p>
    <w:p>
      <w:pPr>
        <w:pStyle w:val="TextBody"/>
        <w:bidi w:val="0"/>
        <w:spacing w:before="240" w:after="0"/>
        <w:jc w:val="left"/>
        <w:rPr>
          <w:rFonts w:ascii="Times New Roman" w:hAnsi="Times New Roman"/>
          <w:sz w:val="20"/>
        </w:rPr>
      </w:pPr>
      <w:r>
        <w:rPr>
          <w:rFonts w:ascii="Times New Roman" w:hAnsi="Times New Roman"/>
          <w:sz w:val="20"/>
        </w:rPr>
        <w:t xml:space="preserve">Other than as specifically provided in this Section 3.09, any purchase pursuant to this Section 3.09 shall be made pursuant to the provisions of Sections 3.01 through 3.06 hereof.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Payment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or cause to be paid the principal of, premium on, if any, and interest, if any, on, the Notes on the dates and in the manner provided in the Notes. Principal, premium, if any, and interest, if any,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if any, then due.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 </w:t>
      </w:r>
    </w:p>
    <w:p>
      <w:pPr>
        <w:pStyle w:val="TextBody"/>
        <w:bidi w:val="0"/>
        <w:spacing w:before="36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maintain in the contiguous United States,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w:t>
      </w:r>
      <w:r>
        <w:rPr>
          <w:rFonts w:ascii="Times New Roman" w:hAnsi="Times New Roman"/>
          <w:i/>
          <w:sz w:val="20"/>
        </w:rPr>
        <w:t>provided</w:t>
      </w:r>
      <w:r>
        <w:rPr>
          <w:rFonts w:ascii="Times New Roman" w:hAnsi="Times New Roman"/>
          <w:sz w:val="20"/>
        </w:rPr>
        <w:t xml:space="preserve"> that no office of the Trustee shall be an office or agency of the Company or any Guarantor for purpose of service of legal process on the Company or any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hAnsi="Times New Roman"/>
          <w:i/>
          <w:sz w:val="20"/>
        </w:rPr>
        <w:t>provided, however</w:t>
      </w:r>
      <w:r>
        <w:rPr>
          <w:rFonts w:ascii="Times New Roman" w:hAnsi="Times New Roman"/>
          <w:sz w:val="20"/>
        </w:rPr>
        <w:t xml:space="preserve">, that no such designation or rescission will in any manner relieve the Company of its obligation to maintain an office or agency in the contiguous United States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designates the Corporate Trust Office of the Trustee as one such office or agency of the Company in accordance with Section 2.03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Reports and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So long as any Notes are outstanding, unless Sabre Holdings is subject to the reporting requirements of Section 13 or 15(d) of the Exchange Act or otherwise complies with such reporting requirements, the Company will furnish without cost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within 90 days after the end of each fiscal year of Sabre Holdings (commencing with the fiscal year ending December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audited year-end consolidated financial statements of Sabre Holdings and its Subsidiaries, including balance sheets, statements of operations and statements of cash flows, prepared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and analysis in reasonable detail of Sabre Holdings’ consolidated results of operations for the period referred to in clause (1)(w) of this Section 4.03(a) and the most recent comparable prior period and liquidity and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presentation of EBITDA of Sabre Holdings derived from such financial statements referred to in clause (1)(w) of this Section 4.03(a);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(z)</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pro forma and historical information in respect of any significant transaction (as determined in accordance with Rule 3-05 of Regulation S-X under the Securities Act) consummated more than 75 days prior to the date such information is furnished to the extent not previously provided and for the time periods for which such financial information would be required (if Sabre Holdings were subject to the filing requirements of the Exchange Act) in a filing on Form 8-K with the SEC at such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within 45 days after the end of each of the first three fiscal quarters of each fiscal year of Sabre Holdings (commencing with the fiscal quarter ending September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quarterly consolidated financial statements of Sabre Holdings and its Subsidiaries, including balance sheets, statements of operations and statements of cash flows, prepared in accordance with GAAP, subject to normal year-end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and analysis in reasonable detail of the consolidated results of operations of Sabre Holdings for the period referred to in clause (2)(w) of this Section 4.03(a) and the most recent comparable prior period and liquidity and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presentation of EBITDA of Sabre Holdings derived from such financial statements referred to in clause (2)(w) of this Section 4.03(a);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(z)</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pro forma and historical financial information in respect of any significant transaction (as determined in accordance with Rule 3-05 of Regulation S-X under the Securities Act) consummated more than 75 days prior to the date such information is furnished to the extent not previously provided and for the time periods such financial information would be required (if Sabre Holdings were subject to the filing requirements of the Exchange Act) in a filing on Form 8-K with the SEC at such time;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(3) within five Business Days following the occurrence of any of the following events, a description in reasonable detail of such event: (i) any change in the executive officers or directors of Sabre Holdings, (ii) any incurrence of any material long-term debt obligation or capital lease obligation (each as defined in Item 303 of Regulation S-K under the Securities Act) of or relating to Sabre Holdings or any of its Subsidiaries, (iii) the acceleration of any material Indebtedness of Sabre Holdings or any of its Subsidiaries, (iv) any issuance or sale by Sabre Holdings of Equity Interests of Sabre Holdings (excluding any issuance or sale pursuant to any stock option or similar compensation plan in the ordinary course of business), (v) the entry into of any agreement by Sabre Holdings or any of its Subsidiaries relating to a transaction that has resulted or may result in a Change of Control (as defined under this Indenture, or under the New Intercompany Loan), (vi) any resignation or termination of the independent accountants of Sabre Holdings or any engagement of any new independent accountants of Sabre Holdings, (vii) any determination by Sabre Holdings or the receipt of advice or notice by Sabre Holdings from its independent accountants, in either case, relating to non-reliance on previously issued financial statements, a related audit opinion or a completed interim review and (viii) the completion by Sabre Holdings or any of its Subsidiaries of the acquisition or disposition of a significant amount of assets, otherwise than in the ordinary course of business, in the case of each of clauses (i) through (viii), only to the extent any such event would be required to be reported by a company subject to reporting under Section 13 or 15(d) of the Exchange Act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references to Rule 3-05 of Regulation S-X in clauses (1)(z) and (2)(z) of this Section 4.03(a) and notwithstanding any contrary provisions of such Rule 3-05, Sabre Holdings may elect to determine whether pro forma and historical financial information is required, and the time periods, if any, therefor, with reference to the proportion of the total EBITDA of Sabre Holdings and its Subsidiaries attributable to the relevant acquired business or businesses in lieu of using the conditions specified in Rule 1- 02(w) of Regulation S-X. For the avoidance of doubt, this covenant shall not require the provision of any information required by Rules 3-09, 3-10 or 3-16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Sabre Holdings shall provide S&amp;P and Moody’s (and their respective successors) with information on a periodic basis as S&amp;P or Moody’s, as the case may be, shall reasonably require in order to maintain public ratings of the Notes. In addition, Sabre Holdings has agreed that, for so long as any Notes remain outstanding and Sabre Holdings is not subject to reporting under Section 13 or 15(d) of the Exchange Act, it will furnish to the Holders and to securities analysts and prospective investors that certify that they are qualified institutional buyers, upon their request, the information, to the extent not previously satisfied, required to be delivered pursuant to Rule 144A(d)(4)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 Sabre Holdings will make the reports and other information required by Section 4.03(a) hereof not filed with the SEC available to any Holder or beneficial owner of the Notes, any prospective investor in the Notes that certifies that it is a qualified institutional buyer or non-U.S. person, any securities analyst or any market maker affiliated with any Initial Purchaser by posting them on its website or Intralinks or any comparable password-protected online system; </w:t>
      </w:r>
      <w:r>
        <w:rPr>
          <w:rFonts w:ascii="Times New Roman" w:hAnsi="Times New Roman"/>
          <w:i/>
          <w:sz w:val="20"/>
        </w:rPr>
        <w:t>provided</w:t>
      </w:r>
      <w:r>
        <w:rPr>
          <w:rFonts w:ascii="Times New Roman" w:hAnsi="Times New Roman"/>
          <w:sz w:val="20"/>
        </w:rPr>
        <w:t xml:space="preserve"> that Sabre Holdings will not be required to make available any password or other login information to any such person unless it establishes its qualification as such to the reasonable satisfaction of Sabre Holdings. The Trustee shall have no obligation whatsoever to determine whether or not such reports and other information have been posted. </w:t>
      </w:r>
    </w:p>
    <w:p>
      <w:pPr>
        <w:pStyle w:val="TextBody"/>
        <w:bidi w:val="0"/>
        <w:spacing w:before="240" w:after="0"/>
        <w:jc w:val="left"/>
        <w:rPr>
          <w:rFonts w:ascii="Times New Roman" w:hAnsi="Times New Roman"/>
          <w:sz w:val="20"/>
        </w:rPr>
      </w:pPr>
      <w:r>
        <w:rPr>
          <w:rFonts w:ascii="Times New Roman" w:hAnsi="Times New Roman"/>
          <w:sz w:val="20"/>
        </w:rPr>
        <w:t xml:space="preserve">(d) Within 15 Business Days of furnishing the information specified in clauses (1) and (2) of Section 4.03(a) hereof to the Trustee, Sabre Holdings will hold a conference call for Holders, prospective investors in the Notes that certify that they are qualified institutional buyers, securities analysts or any market maker affiliated with any Initial Purchaser to discuss the results of operations for the relevant period, following advance notice to such parties by commercially reasonable means expected to reach them (which may be by posting such notice on its website or Intralinks or any comparable password-protected online system; </w:t>
      </w:r>
      <w:r>
        <w:rPr>
          <w:rFonts w:ascii="Times New Roman" w:hAnsi="Times New Roman"/>
          <w:i/>
          <w:sz w:val="20"/>
        </w:rPr>
        <w:t>provided</w:t>
      </w:r>
      <w:r>
        <w:rPr>
          <w:rFonts w:ascii="Times New Roman" w:hAnsi="Times New Roman"/>
          <w:sz w:val="20"/>
        </w:rPr>
        <w:t xml:space="preserve"> that the Trustee shall have no responsibility whatsoever to determine whether any such posting has occurred). </w:t>
      </w:r>
    </w:p>
    <w:p>
      <w:pPr>
        <w:pStyle w:val="TextBody"/>
        <w:bidi w:val="0"/>
        <w:spacing w:before="240" w:after="0"/>
        <w:jc w:val="left"/>
        <w:rPr>
          <w:rFonts w:ascii="Times New Roman" w:hAnsi="Times New Roman"/>
          <w:sz w:val="20"/>
        </w:rPr>
      </w:pPr>
      <w:r>
        <w:rPr>
          <w:rFonts w:ascii="Times New Roman" w:hAnsi="Times New Roman"/>
          <w:sz w:val="20"/>
        </w:rPr>
        <w:t xml:space="preserve">(e) In addition, the Company will include in its annual and quarterly disclosures set forth under Section 4.03(a)(1) and (2) hereof (or otherwise provide subject to the same deadlines) such financial information relating to the assets, liabilities, indebtedness, revenues and EBITDA of the Restricted Group as is consistent with that included in the Company’s Offering Memorandum, dated September 15, 2026, relating to the offering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 addition, if at any time (i) any direct or indirect parent company of Sabre Holdings becomes a guarantor of the Indebtedness of Sabre GLBL or Sabre Holdings (there being no obligation of any such parent company to do so) or (ii) Sabre Corporation (or a successor thereto) is the direct or indirect parent company of Sabre Holdings, then, in each case, the reports, information and other documents required to be furnished to Holders of the Notes, and actions required to be taken, pursuant to this covenant may, at the option of the Company, be furnished by and be those of, or taken by, as the case may be, such parent or Sabre Corporation (or its successor), as applicable, rather than Sabre Holdings; </w:t>
      </w:r>
      <w:r>
        <w:rPr>
          <w:rFonts w:ascii="Times New Roman" w:hAnsi="Times New Roman"/>
          <w:i/>
          <w:sz w:val="20"/>
        </w:rPr>
        <w:t>provided</w:t>
      </w:r>
      <w:r>
        <w:rPr>
          <w:rFonts w:ascii="Times New Roman" w:hAnsi="Times New Roman"/>
          <w:sz w:val="20"/>
        </w:rPr>
        <w:t xml:space="preserve"> that in the case of (i) and (ii) above, a reasonably detailed description of any material differences between Sabre Corporation’s financial information and Sabre Holdings’ financial information will be provided within five Business Days after the furnishing of each annual and quarterly report pursuant to this covenant. Any report required to be furnished under this covenant will be deemed furnished upon public filing with the SEC; </w:t>
      </w:r>
      <w:r>
        <w:rPr>
          <w:rFonts w:ascii="Times New Roman" w:hAnsi="Times New Roman"/>
          <w:i/>
          <w:sz w:val="20"/>
        </w:rPr>
        <w:t>provided</w:t>
      </w:r>
      <w:r>
        <w:rPr>
          <w:rFonts w:ascii="Times New Roman" w:hAnsi="Times New Roman"/>
          <w:sz w:val="20"/>
        </w:rPr>
        <w:t xml:space="preserve"> that the Trustee shall have no responsibility whatsoever to determine whether any such filing has occurred.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herein to the contrary, Sabre Holdings will not be deemed to have failed to comply with any of its obligations hereunder for purposes of clause (3) of Section 6.01 hereof until 90 days after the date any report hereunder is due. </w:t>
      </w:r>
    </w:p>
    <w:p>
      <w:pPr>
        <w:pStyle w:val="TextBody"/>
        <w:bidi w:val="0"/>
        <w:spacing w:before="240" w:after="0"/>
        <w:jc w:val="left"/>
        <w:rPr>
          <w:rFonts w:ascii="Times New Roman" w:hAnsi="Times New Roman"/>
          <w:sz w:val="20"/>
        </w:rPr>
      </w:pPr>
      <w:r>
        <w:rPr>
          <w:rFonts w:ascii="Times New Roman" w:hAnsi="Times New Roman"/>
          <w:sz w:val="20"/>
        </w:rPr>
        <w:t xml:space="preserve">(h) The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nor shall the Trustee have any responsibility or liability for the content, filing or timeliness of any report required under this Section 4.03 or any other reports, information and documents required under this Indenture (aside from any report that is expressly the responsibility of the Trustee subject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Guarantor shall deliver to the Trustee, within 120 days after the end of each fiscal year (commencing with the fiscal year ending December 31, 2026), an Officer’s Certificate from the principal executive officer, principal financial officer or principal accounting officer stating that a review of the activities of the Restricted Parties during the preceding fiscal year has been made under the supervision of the signing Officers with a view to determining whether the Company has kept, observed, performed and fulfilled its obligations under this Indenture and the Security Documents, and further stating, as to each such Officer signing such certificate, that to the best of his or her knowledge the Company has kept, observed, performed and fulfilled each and every covenant contained in this Indenture and the Security Documents, and is not in default in the performance or observance of any of the terms, provisions and conditions of this Indenture or the Security Documents (or, if a Default or Event of Default has occurred, describing all such Defaults or Events of Default of which he or she may have knowledge and what action the Company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So long as any of the Notes are outstanding, the Company will deliver to the Trustee, within five Business Days of any Officer becoming aware of any Default or Event of Default, an Officer’s Certificate specifying such Default or Event of Default and what action the Company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Parties will pay or discharge, and will cause each of their respective Subsidiaries to pay or discharge, prior to delinquency, all material taxes, lawful assessments, and governmental levies except such as are contested in good faith and by appropriate proceedings or where the failure to effect such payment is not adverse in any material respect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Stay, Extension and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(to the extent it may lawfully do so)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i/>
          <w:sz w:val="20"/>
        </w:rPr>
        <w:t>Limitation on 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Restricted Parties will not, and will not permit any of their respective Restricted Subsidiaries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any dividend or make any payment or distribution on account of the Restricted Parties’ Equity Interests, including any dividend or distribution payable in connection with any merger, amalgamation or consolidation other than: </w:t>
      </w:r>
    </w:p>
    <w:p>
      <w:pPr>
        <w:pStyle w:val="TextBody"/>
        <w:bidi w:val="0"/>
        <w:spacing w:before="120" w:after="0"/>
        <w:jc w:val="left"/>
        <w:rPr>
          <w:rFonts w:ascii="Times New Roman" w:hAnsi="Times New Roman"/>
          <w:sz w:val="20"/>
        </w:rPr>
      </w:pPr>
      <w:r>
        <w:rPr>
          <w:rFonts w:ascii="Times New Roman" w:hAnsi="Times New Roman"/>
          <w:sz w:val="20"/>
        </w:rPr>
        <w:t xml:space="preserve">(A) dividends or distributions by Sabre Financing, the Polish Guarantor or Lux Parent payable solely in its Equity Interests (other than Disqualified Stock); or </w:t>
      </w:r>
    </w:p>
    <w:p>
      <w:pPr>
        <w:pStyle w:val="TextBody"/>
        <w:bidi w:val="0"/>
        <w:spacing w:before="120" w:after="0"/>
        <w:jc w:val="left"/>
        <w:rPr>
          <w:rFonts w:ascii="Times New Roman" w:hAnsi="Times New Roman"/>
          <w:sz w:val="20"/>
        </w:rPr>
      </w:pPr>
      <w:r>
        <w:rPr>
          <w:rFonts w:ascii="Times New Roman" w:hAnsi="Times New Roman"/>
          <w:sz w:val="20"/>
        </w:rPr>
        <w:t xml:space="preserve">(B) dividends or distributions by a Restricted Party, other than Sabre Financing, the Polish Guarantor or Lux Parent, so long as, in the case of any dividend or distribution payable on or in respect of any class or series of securities issued by a Restricted Party other than a Wholly-Owned Subsidiary of Sabre Financing, the Polish Guarantor or Lux Parent, the Restricted Party receives at least its pro rata share of such dividend or distribution in accordance with its Equity Interests in such class or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purchase, redeem, defease or otherwise acquire or retire for value any Equity Interests of Sabre Financing, the Polish Guarantor or Lux Parent or any direct or indirect parent company of Sabre Financing, the Polish Guarantor or Lux Parent, including in connection with any merger, amalgamation or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make any principal payment on, or redeem, repurchase, defease or otherwise acquire or retire for value, in each case, prior to any scheduled repayment, sinking fund payment or maturity, any Subordinated Indebtedness, other than: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permitted under clauses (7) and (8) of Section 4.09(b) hereof; or </w:t>
      </w:r>
    </w:p>
    <w:p>
      <w:pPr>
        <w:pStyle w:val="TextBody"/>
        <w:bidi w:val="0"/>
        <w:spacing w:before="120" w:after="0"/>
        <w:jc w:val="left"/>
        <w:rPr>
          <w:rFonts w:ascii="Times New Roman" w:hAnsi="Times New Roman"/>
          <w:sz w:val="20"/>
        </w:rPr>
      </w:pPr>
      <w:r>
        <w:rPr>
          <w:rFonts w:ascii="Times New Roman" w:hAnsi="Times New Roman"/>
          <w:sz w:val="20"/>
        </w:rPr>
        <w:t xml:space="preserve">(B) the purchase, repurchase or other acquisition of Subordinated Indebtedness purchased in anticipation of satisfying a sinking fund obligation, principal installment or final maturity, in each case due within one year of the date of purchase, repurchase or acquisition; or </w:t>
      </w:r>
    </w:p>
    <w:p>
      <w:pPr>
        <w:pStyle w:val="TextBody"/>
        <w:bidi w:val="0"/>
        <w:spacing w:before="120" w:after="0"/>
        <w:jc w:val="left"/>
        <w:rPr>
          <w:rFonts w:ascii="Times New Roman" w:hAnsi="Times New Roman"/>
          <w:sz w:val="20"/>
        </w:rPr>
      </w:pPr>
      <w:r>
        <w:rPr>
          <w:rFonts w:ascii="Times New Roman" w:hAnsi="Times New Roman"/>
          <w:sz w:val="20"/>
        </w:rPr>
        <w:t xml:space="preserve">(IV) make any Restricted Investment; </w:t>
      </w:r>
    </w:p>
    <w:p>
      <w:pPr>
        <w:pStyle w:val="TextBody"/>
        <w:bidi w:val="0"/>
        <w:spacing w:before="120" w:after="0"/>
        <w:jc w:val="left"/>
        <w:rPr>
          <w:rFonts w:ascii="Times New Roman" w:hAnsi="Times New Roman"/>
          <w:sz w:val="20"/>
        </w:rPr>
      </w:pPr>
      <w:r>
        <w:rPr>
          <w:rFonts w:ascii="Times New Roman" w:hAnsi="Times New Roman"/>
          <w:sz w:val="20"/>
        </w:rPr>
        <w:t>(all such payments and other actions set forth in clauses (I) through (IV) above being collectively referred to as “</w:t>
      </w:r>
      <w:r>
        <w:rPr>
          <w:rFonts w:ascii="Times New Roman" w:hAnsi="Times New Roman"/>
          <w:i/>
          <w:sz w:val="20"/>
        </w:rPr>
        <w:t>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limitations of Section 4.07(a) hereof will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other distribution or the consummation of any irrevocable redemption within 60 days after the date of declaration of the dividend or other distribution or giving of the redemption notice, as the case may be, if at the date of declaration or notice, the dividend or other distribution or redemption payment would have complied with the provisions of this Indenture; </w:t>
      </w:r>
    </w:p>
    <w:p>
      <w:pPr>
        <w:pStyle w:val="TextBody"/>
        <w:bidi w:val="0"/>
        <w:spacing w:before="120" w:after="0"/>
        <w:jc w:val="left"/>
        <w:rPr>
          <w:rFonts w:ascii="Times New Roman" w:hAnsi="Times New Roman"/>
          <w:sz w:val="20"/>
        </w:rPr>
      </w:pPr>
      <w:r>
        <w:rPr>
          <w:rFonts w:ascii="Times New Roman" w:hAnsi="Times New Roman"/>
          <w:sz w:val="20"/>
        </w:rPr>
        <w:t>(2)(a) the redemption, repurchase, retirement or other acquisition of any (i) Equity Interests (“</w:t>
      </w:r>
      <w:r>
        <w:rPr>
          <w:rFonts w:ascii="Times New Roman" w:hAnsi="Times New Roman"/>
          <w:i/>
          <w:sz w:val="20"/>
        </w:rPr>
        <w:t>Treasury Capital Stock</w:t>
      </w:r>
      <w:r>
        <w:rPr>
          <w:rFonts w:ascii="Times New Roman" w:hAnsi="Times New Roman"/>
          <w:sz w:val="20"/>
        </w:rPr>
        <w:t>”) of the Restricted Parties or Subordinated Indebtedness of the Company or any Guarantor or (ii) Equity Interests of any direct or indirect parent company of Sabre Financing, the Polish Guarantor or Lux Parent, in the case of each of clause (i) and (ii), in exchange for, or out of the proceeds of the substantially concurrent sale (other than to any Restricted Party) of, Equity Interests of Sabre Financing, the Polish Guarantor or Lux Parent or any direct or indirect parent company of Sabre Financing, the Polish Guarantor or Lux Parent to the extent contributed to the capital of any Restricted Party (in each case, other than any Disqualified Stock) (“</w:t>
      </w:r>
      <w:r>
        <w:rPr>
          <w:rFonts w:ascii="Times New Roman" w:hAnsi="Times New Roman"/>
          <w:i/>
          <w:sz w:val="20"/>
        </w:rPr>
        <w:t>Refunding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declaration and payment of dividends on the Treasury Capital Stock out of the proceeds of the substantially concurrent sale (other than to any Restricted Party) of Refunding Capital Stock, and </w:t>
      </w:r>
    </w:p>
    <w:p>
      <w:pPr>
        <w:pStyle w:val="TextBody"/>
        <w:bidi w:val="0"/>
        <w:spacing w:before="120" w:after="0"/>
        <w:jc w:val="left"/>
        <w:rPr>
          <w:rFonts w:ascii="Times New Roman" w:hAnsi="Times New Roman"/>
          <w:sz w:val="20"/>
        </w:rPr>
      </w:pPr>
      <w:r>
        <w:rPr>
          <w:rFonts w:ascii="Times New Roman" w:hAnsi="Times New Roman"/>
          <w:sz w:val="20"/>
        </w:rPr>
        <w:t xml:space="preserve">(c) if immediately prior to the retirement of Treasury Capital Stock, the declaration and payment of dividends thereon was permitted under clause (6) of this paragraph, the declaration and payment of dividends on the Refunding Capital Stock (other than Refunding Capital Stock the proceeds of which were used to redeem, repurchase, retire or otherwise acquire any Equity Interests of any direct or indirect parent company of the Company) in an aggregate amount per year no greater than the aggregate amount of dividends per annum that were declarable and payable on such Treasury Capital Stock immediately prior to such retirement;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defeasance, redemption, repurchase, exchange or other acquisition or retirement of (i) Subordinated Indebtedness of the Company or a Guarantor made by exchange for, or out of the proceeds of the substantially concurrent sale of, new Subordinated Indebtedness of the Company or a Guarantor or (ii) Disqualified Stock of the Company or a Guarantor made by exchange for, or out of the proceeds of the substantially concurrent sale of, Disqualified Stock of the Company or a Guarantor, that, in each case, is incurred in compliance with Section 4.09 hereof so long as: </w:t>
      </w:r>
    </w:p>
    <w:p>
      <w:pPr>
        <w:pStyle w:val="TextBody"/>
        <w:bidi w:val="0"/>
        <w:spacing w:before="120" w:after="0"/>
        <w:jc w:val="left"/>
        <w:rPr>
          <w:rFonts w:ascii="Times New Roman" w:hAnsi="Times New Roman"/>
          <w:sz w:val="20"/>
        </w:rPr>
      </w:pPr>
      <w:r>
        <w:rPr>
          <w:rFonts w:ascii="Times New Roman" w:hAnsi="Times New Roman"/>
          <w:sz w:val="20"/>
        </w:rPr>
        <w:t xml:space="preserve">(a) the principal amount (or accreted value, if applicable) of such new Subordinated Indebtedness or the liquidation preference of such new Disqualified Stock does not exceed the principal amount of (or accreted value, if applicable), plus any accrued and unpaid interest on, the Subordinated Indebtedness or the liquidation preference of, plus any accrued and unpaid dividends on, the Disqualified Stock being so defeased, redeemed, repurchased, exchanged, acquired or retired for value, plus the amount of any premium required to be paid under the terms of the instrument governing the Subordinated Indebtedness or Disqualified Stock being so defeased, redeemed, repurchased, exchanged, acquired or retired, defeasance costs and any fees and expenses incurred in connection with the issuance of such new Subordinated Indebtedness or Disqualified Stock; </w:t>
      </w:r>
    </w:p>
    <w:p>
      <w:pPr>
        <w:pStyle w:val="TextBody"/>
        <w:bidi w:val="0"/>
        <w:spacing w:before="120" w:after="0"/>
        <w:jc w:val="left"/>
        <w:rPr>
          <w:rFonts w:ascii="Times New Roman" w:hAnsi="Times New Roman"/>
          <w:sz w:val="20"/>
        </w:rPr>
      </w:pPr>
      <w:r>
        <w:rPr>
          <w:rFonts w:ascii="Times New Roman" w:hAnsi="Times New Roman"/>
          <w:sz w:val="20"/>
        </w:rPr>
        <w:t xml:space="preserve">(b) such new Subordinated Indebtedness is subordinated to the Notes or the applicable Guarantee at least to the same extent as such Subordinated Indebtedness so defeased, redeemed, repurchased, exchanged, acquired or retired; </w:t>
      </w:r>
    </w:p>
    <w:p>
      <w:pPr>
        <w:pStyle w:val="TextBody"/>
        <w:bidi w:val="0"/>
        <w:spacing w:before="120" w:after="0"/>
        <w:jc w:val="left"/>
        <w:rPr>
          <w:rFonts w:ascii="Times New Roman" w:hAnsi="Times New Roman"/>
          <w:sz w:val="20"/>
        </w:rPr>
      </w:pPr>
      <w:r>
        <w:rPr>
          <w:rFonts w:ascii="Times New Roman" w:hAnsi="Times New Roman"/>
          <w:sz w:val="20"/>
        </w:rPr>
        <w:t xml:space="preserve">(c) such new Subordinated Indebtedness or Disqualified Stock has a final scheduled maturity date equal to or later than the final scheduled maturity date of the Subordinated Indebtedness or Disqualified Stock being so defeased, redeemed, repurchased, exchanged, acquired or retired; </w:t>
      </w:r>
    </w:p>
    <w:p>
      <w:pPr>
        <w:pStyle w:val="TextBody"/>
        <w:bidi w:val="0"/>
        <w:spacing w:before="120" w:after="0"/>
        <w:jc w:val="left"/>
        <w:rPr>
          <w:rFonts w:ascii="Times New Roman" w:hAnsi="Times New Roman"/>
          <w:sz w:val="20"/>
        </w:rPr>
      </w:pPr>
      <w:r>
        <w:rPr>
          <w:rFonts w:ascii="Times New Roman" w:hAnsi="Times New Roman"/>
          <w:sz w:val="20"/>
        </w:rPr>
        <w:t xml:space="preserve">(d) such new Subordinated Indebtedness or Disqualified Stock has a Weighted Average Life to Maturity equal to or greater than the remaining Weighted Average Life to Maturity of the Subordinated Indebtedness or Disqualified Stock being so defeased, redeemed, repurchased, exchanged, acquired or retired; and </w:t>
      </w:r>
    </w:p>
    <w:p>
      <w:pPr>
        <w:pStyle w:val="TextBody"/>
        <w:bidi w:val="0"/>
        <w:spacing w:before="120" w:after="0"/>
        <w:jc w:val="left"/>
        <w:rPr>
          <w:rFonts w:ascii="Times New Roman" w:hAnsi="Times New Roman"/>
          <w:sz w:val="20"/>
        </w:rPr>
      </w:pPr>
      <w:r>
        <w:rPr>
          <w:rFonts w:ascii="Times New Roman" w:hAnsi="Times New Roman"/>
          <w:sz w:val="20"/>
        </w:rPr>
        <w:t xml:space="preserve">(e)(i) if the Subordinated Indebtedness being so defeased, redeemed, repurchased, exchanged, acquired or retired is not secured by any Liens, such new Subordinated Indebtedness is not secured by any Liens, and (ii) if the Subordinated Indebtedness being so defeased, redeemed, repurchased, exchanged, acquired or retired is secured by any Liens, the Liens securing such new Subordinated Indebtedness have the same priority as, and are limited to the same property and assets (including additional future assets and proceeds) subject to, the Liens securing such Subordinated Indebtedness being so defeased, redeemed, repurchased, exchanged, acquired or retired;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Restricted Parties may pay (or make Restricted Payments to allow any direct or indirect parent company thereof to pay) for the repurchase, retirement or other acquisition or retirement for value of Equity Interests of Sabre GLBL (or of any such direct or indirect parent company of Sabre GLBL) or another Restricted Party held by any future, present or former employee, director, consultant or distributor (or any spouses, former spouses, successors, executors, administrators, heirs, legatees or distributees of any of the foregoing) of any Restricted Party or any of its Subsidiaries so long as such purchase is pursuant to and in accordance with the terms of any employee or director equity plan, employee or director stock option plan or any other employee or director benefit plan or any agreement (including any stock subscription or shareholder agreement and including, for the avoidance of doubt, any principal and interest payable on any notes issued by the applicable Restricted Party or any direct or indirect parent company of the applicable Restricted Party in connection with such repurchase, retirement or other acquisition) with any employee, director, consultant or distributor of the applicable Restricted Party (or any direct or indirect parent company of the applicable Restricted Party) or any of its Subsidiaries; </w:t>
      </w:r>
      <w:r>
        <w:rPr>
          <w:rFonts w:ascii="Times New Roman" w:hAnsi="Times New Roman"/>
          <w:i/>
          <w:sz w:val="20"/>
        </w:rPr>
        <w:t>provided</w:t>
      </w:r>
      <w:r>
        <w:rPr>
          <w:rFonts w:ascii="Times New Roman" w:hAnsi="Times New Roman"/>
          <w:sz w:val="20"/>
        </w:rPr>
        <w:t xml:space="preserve"> that cancellation of Indebtedness owing to the applicable Restricted Party from any future, present or former employees, directors, officers, managers or consultants of the applicable Restricted Party (or their respective Controlled Investment Affiliates or Immediate Family Members), any direct or indirect parent company of the applicable Restricted Party in connection with a repurchase of Equity Interests of the applicable Restricted Party or any of the applicable Restricted Party’s direct or indirect parent companies will not be deemed to constitute a Restricted Payment for purposes of this covenant or any other provision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(5) the declaration and payment of dividends to holders of any class or series of Disqualified Stock of Sabre Financing, the Polish Guarantor or Lux Parent or any class or series of Preferred Stock of any Restricted Party issued in accordance with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(6)(a) the declaration and payment of dividends to holders of any class or series of Designated Preferred Stock (other than Disqualified Stock) issued by the Restricted Parties after the Issue Date; or </w:t>
      </w:r>
    </w:p>
    <w:p>
      <w:pPr>
        <w:pStyle w:val="TextBody"/>
        <w:bidi w:val="0"/>
        <w:spacing w:before="120" w:after="0"/>
        <w:jc w:val="left"/>
        <w:rPr>
          <w:rFonts w:ascii="Times New Roman" w:hAnsi="Times New Roman"/>
          <w:sz w:val="20"/>
        </w:rPr>
      </w:pPr>
      <w:r>
        <w:rPr>
          <w:rFonts w:ascii="Times New Roman" w:hAnsi="Times New Roman"/>
          <w:sz w:val="20"/>
        </w:rPr>
        <w:t xml:space="preserve">(b) the declaration and payment of dividends to any direct or indirect parent company of Sabre Financing, the Polish Guarantor or Lux Parent, the proceeds of which will be used to fund the payment of dividends to holders of any class or series of Designated Preferred Stock (other than Disqualified Stock) of such parent company issued after the Issue Date; </w:t>
      </w:r>
      <w:r>
        <w:rPr>
          <w:rFonts w:ascii="Times New Roman" w:hAnsi="Times New Roman"/>
          <w:i/>
          <w:sz w:val="20"/>
        </w:rPr>
        <w:t xml:space="preserve">provided </w:t>
      </w:r>
      <w:r>
        <w:rPr>
          <w:rFonts w:ascii="Times New Roman" w:hAnsi="Times New Roman"/>
          <w:sz w:val="20"/>
        </w:rPr>
        <w:t xml:space="preserve">that the amount of dividends paid pursuant to this clause (b) shall not exceed the aggregate amount of cash actually contributed to the capital of the Sabre Financing, the Polish Guarantor or Lux Parent from the sale of such 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(7) Restricted Payments made by any Restricted Party to any of its Affiliates (a) in the ordinary course of its business, (b) in connection with intercompany cash management or similar arrangements or (c) in connection with any Permitted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payments made or expected to be made by the Restricted Parties in respect of withholding or similar taxes payable upon exercise of Equity Interests by any future, present or former employee, director, officer, manager or consultant (or their respective Controlled Investment Affiliates or Immediate Family Members) and any repurchases of Equity Interests deemed to occur upon exercise of stock options or warrants if such Equity Interests represent a portion of the exercise price of such options or warrants or required withholding or similar taxes; </w:t>
      </w:r>
    </w:p>
    <w:p>
      <w:pPr>
        <w:pStyle w:val="TextBody"/>
        <w:bidi w:val="0"/>
        <w:spacing w:before="120" w:after="0"/>
        <w:jc w:val="left"/>
        <w:rPr>
          <w:rFonts w:ascii="Times New Roman" w:hAnsi="Times New Roman"/>
          <w:sz w:val="20"/>
        </w:rPr>
      </w:pPr>
      <w:r>
        <w:rPr>
          <w:rFonts w:ascii="Times New Roman" w:hAnsi="Times New Roman"/>
          <w:sz w:val="20"/>
        </w:rPr>
        <w:t xml:space="preserve">(9) distributions of the proceeds of any Asset Sale (which are not reinvested in the Restricted Group) to any direct or indirect parent company of the Company, which proceeds are required to be applied to the repayment of indebtedness of Sabre GLBL in accordance with the terms thereof; </w:t>
      </w:r>
    </w:p>
    <w:p>
      <w:pPr>
        <w:pStyle w:val="TextBody"/>
        <w:bidi w:val="0"/>
        <w:spacing w:before="120" w:after="0"/>
        <w:jc w:val="left"/>
        <w:rPr>
          <w:rFonts w:ascii="Times New Roman" w:hAnsi="Times New Roman"/>
          <w:sz w:val="20"/>
        </w:rPr>
      </w:pPr>
      <w:r>
        <w:rPr>
          <w:rFonts w:ascii="Times New Roman" w:hAnsi="Times New Roman"/>
          <w:sz w:val="20"/>
        </w:rPr>
        <w:t xml:space="preserve">(10) Restricted Payments that are made with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(11) other Restricted Payments in an aggregate amount taken together with all other Restricted Payments made pursuant to this clause (11) not to exceed $20,000,000; </w:t>
      </w:r>
    </w:p>
    <w:p>
      <w:pPr>
        <w:pStyle w:val="TextBody"/>
        <w:bidi w:val="0"/>
        <w:spacing w:before="120" w:after="0"/>
        <w:jc w:val="left"/>
        <w:rPr>
          <w:rFonts w:ascii="Times New Roman" w:hAnsi="Times New Roman"/>
          <w:sz w:val="20"/>
        </w:rPr>
      </w:pPr>
      <w:r>
        <w:rPr>
          <w:rFonts w:ascii="Times New Roman" w:hAnsi="Times New Roman"/>
          <w:sz w:val="20"/>
        </w:rPr>
        <w:t xml:space="preserve">(12) distributions or payments of Securitization Fees; </w:t>
      </w:r>
    </w:p>
    <w:p>
      <w:pPr>
        <w:pStyle w:val="TextBody"/>
        <w:bidi w:val="0"/>
        <w:spacing w:before="120" w:after="0"/>
        <w:jc w:val="left"/>
        <w:rPr>
          <w:rFonts w:ascii="Times New Roman" w:hAnsi="Times New Roman"/>
          <w:sz w:val="20"/>
        </w:rPr>
      </w:pPr>
      <w:r>
        <w:rPr>
          <w:rFonts w:ascii="Times New Roman" w:hAnsi="Times New Roman"/>
          <w:sz w:val="20"/>
        </w:rPr>
        <w:t xml:space="preserve">(13) the repurchase, redemption or other acquisition or retirement for value of any Subordinated Indebtedness pursuant to provisions similar to those described under Section 4.10 and Section 4.15 hereof; </w:t>
      </w:r>
      <w:r>
        <w:rPr>
          <w:rFonts w:ascii="Times New Roman" w:hAnsi="Times New Roman"/>
          <w:i/>
          <w:sz w:val="20"/>
        </w:rPr>
        <w:t>provided</w:t>
      </w:r>
      <w:r>
        <w:rPr>
          <w:rFonts w:ascii="Times New Roman" w:hAnsi="Times New Roman"/>
          <w:sz w:val="20"/>
        </w:rPr>
        <w:t xml:space="preserve"> that a Change of Control Offer or Asset Sale Offer, as applicable, have been made and all Notes validly tendered by Holders in connection with such Change of Control Offer or Asset Sale Offer, as applicable, have been repurchased, redeemed, acquired or retired for value; </w:t>
      </w:r>
    </w:p>
    <w:p>
      <w:pPr>
        <w:pStyle w:val="TextBody"/>
        <w:bidi w:val="0"/>
        <w:spacing w:before="120" w:after="0"/>
        <w:jc w:val="left"/>
        <w:rPr>
          <w:rFonts w:ascii="Times New Roman" w:hAnsi="Times New Roman"/>
          <w:sz w:val="20"/>
        </w:rPr>
      </w:pPr>
      <w:r>
        <w:rPr>
          <w:rFonts w:ascii="Times New Roman" w:hAnsi="Times New Roman"/>
          <w:sz w:val="20"/>
        </w:rPr>
        <w:t xml:space="preserve">(14) the declaration and payment of dividends or the payment of other distributions by a Restricted Party to, or the making of loans or advances to, any of their respective direct or indirect parent companies in amounts required for any direct or indirect parent companies to pay, in each case without duplication: </w:t>
      </w:r>
    </w:p>
    <w:p>
      <w:pPr>
        <w:pStyle w:val="TextBody"/>
        <w:bidi w:val="0"/>
        <w:spacing w:before="240" w:after="0"/>
        <w:jc w:val="left"/>
        <w:rPr>
          <w:rFonts w:ascii="Times New Roman" w:hAnsi="Times New Roman"/>
          <w:sz w:val="20"/>
        </w:rPr>
      </w:pPr>
      <w:r>
        <w:rPr>
          <w:rFonts w:ascii="Times New Roman" w:hAnsi="Times New Roman"/>
          <w:sz w:val="20"/>
        </w:rPr>
        <w:t xml:space="preserve">(a) franchise and excise taxes and other fees, taxes and expenses required to maintain their corporate existence; </w:t>
      </w:r>
    </w:p>
    <w:p>
      <w:pPr>
        <w:pStyle w:val="TextBody"/>
        <w:bidi w:val="0"/>
        <w:spacing w:before="240" w:after="0"/>
        <w:jc w:val="left"/>
        <w:rPr>
          <w:rFonts w:ascii="Times New Roman" w:hAnsi="Times New Roman"/>
          <w:sz w:val="20"/>
        </w:rPr>
      </w:pPr>
      <w:r>
        <w:rPr>
          <w:rFonts w:ascii="Times New Roman" w:hAnsi="Times New Roman"/>
          <w:sz w:val="20"/>
        </w:rPr>
        <w:t xml:space="preserve">(b) tax liability to each foreign, federal, state or local jurisdiction in respect of consolidated, combined, unitary or affiliated returns (including in respect of disregarded entities) for such jurisdiction of any direct or indirect parent company of the applicable Restricted Party attributable to such Restricted Party or its Subsidiaries determined as if such Restricted Party and its Subsidiaries filed separately; </w:t>
      </w:r>
    </w:p>
    <w:p>
      <w:pPr>
        <w:pStyle w:val="TextBody"/>
        <w:bidi w:val="0"/>
        <w:spacing w:before="240" w:after="0"/>
        <w:jc w:val="left"/>
        <w:rPr>
          <w:rFonts w:ascii="Times New Roman" w:hAnsi="Times New Roman"/>
          <w:sz w:val="20"/>
        </w:rPr>
      </w:pPr>
      <w:r>
        <w:rPr>
          <w:rFonts w:ascii="Times New Roman" w:hAnsi="Times New Roman"/>
          <w:sz w:val="20"/>
        </w:rPr>
        <w:t xml:space="preserve">(c) customary salary, bonus and other benefits payable to employees, directors, officers and managers of any direct or indirect parent company of the Restricted Party to the extent such salaries, bonuses and other benefits are attributable to the ownership or operation of the Restricted Party and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operating costs and expenses incurred in the ordinary course of business and other corporate overhead costs and expenses (including administrative, legal, accounting and similar expenses provided by third parties), which are reasonable and customary and incurred in the ordinary course of business, attributable to the ownership or operations of the Restricted Party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fees and expenses other than to Affiliates of the Company related to any equity or debt offering of such parent company (whether or not successful); </w:t>
      </w:r>
    </w:p>
    <w:p>
      <w:pPr>
        <w:pStyle w:val="TextBody"/>
        <w:bidi w:val="0"/>
        <w:spacing w:before="240" w:after="0"/>
        <w:jc w:val="left"/>
        <w:rPr>
          <w:rFonts w:ascii="Times New Roman" w:hAnsi="Times New Roman"/>
          <w:sz w:val="20"/>
        </w:rPr>
      </w:pPr>
      <w:r>
        <w:rPr>
          <w:rFonts w:ascii="Times New Roman" w:hAnsi="Times New Roman"/>
          <w:sz w:val="20"/>
        </w:rPr>
        <w:t xml:space="preserve">(f) to finance Investments otherwise permitted to be made pursuant to this covenant if made by the Company; </w:t>
      </w:r>
      <w:r>
        <w:rPr>
          <w:rFonts w:ascii="Times New Roman" w:hAnsi="Times New Roman"/>
          <w:i/>
          <w:sz w:val="20"/>
        </w:rPr>
        <w:t xml:space="preserve">provided </w:t>
      </w:r>
      <w:r>
        <w:rPr>
          <w:rFonts w:ascii="Times New Roman" w:hAnsi="Times New Roman"/>
          <w:sz w:val="20"/>
        </w:rPr>
        <w:t xml:space="preserve">that (A) such Restricted Payment shall be made substantially concurrently with the closing of such Investment and (B) such direct or indirect parent company shall, immediately following the closing thereof, cause (1) all property acquired (whether assets or Equity Interests) to be contributed to the capital of one of the Restricted Parties or (2) the merger or amalgamation of the Person formed or acquired into one of the Restricted Parties (to the extent not prohibited by Section 5.01 hereof) in order to consummate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(15) the distribution, by dividend or otherwise, of shares of Capital Stock of, or Indebtedness owed to the Company or a Restricted Party by, Unrestricted Subsidiaries (other than Unrestricted Subsidiaries, the primary assets of which are Cash Equivalents); </w:t>
      </w:r>
      <w:r>
        <w:rPr>
          <w:rFonts w:ascii="Times New Roman" w:hAnsi="Times New Roman"/>
          <w:i/>
          <w:sz w:val="20"/>
        </w:rPr>
        <w:t>provided</w:t>
      </w:r>
      <w:r>
        <w:rPr>
          <w:rFonts w:ascii="Times New Roman" w:hAnsi="Times New Roman"/>
          <w:sz w:val="20"/>
        </w:rPr>
        <w:t xml:space="preserve"> that the fair market value of such distribution, together with all prior distributions under this clause (15), shall not exceed $50 million; and </w:t>
      </w:r>
    </w:p>
    <w:p>
      <w:pPr>
        <w:pStyle w:val="TextBody"/>
        <w:bidi w:val="0"/>
        <w:spacing w:before="120" w:after="0"/>
        <w:jc w:val="left"/>
        <w:rPr>
          <w:rFonts w:ascii="Times New Roman" w:hAnsi="Times New Roman"/>
          <w:sz w:val="20"/>
        </w:rPr>
      </w:pPr>
      <w:r>
        <w:rPr>
          <w:rFonts w:ascii="Times New Roman" w:hAnsi="Times New Roman"/>
          <w:sz w:val="20"/>
        </w:rPr>
        <w:t xml:space="preserve">(16) the Company or any of the Restricted Parties may (a) pay cash in lieu of fractional Equity Interests in connection with any dividend, split or combination thereof or any Permitted Acquisition and (b) honor any conversion request by a holder of convertible Indebtedness and make cash payments in lieu of fractional shares in connection with any such conversion and may make payments on convertible Indebtedness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The Restricted Parties will not permit any Unrestricted Subsidiary to become a Restricted Subsidiary except pursuant to the penultimate sentence of the definition of “Unrestricted Subsidiary.” For purposes of designating any Restricted Subsidiary as an Unrestricted Subsidiary, all outstanding Investments by the Restricted Parties (except to the extent repaid) in the Subsidiary so designated will be deemed to be Restricted Payments and/or Permitted Investments in an amount determined as set forth in the penultimate sentence of the definition of “Investments.” Such designation will be permitted only if a Restricted Payment and/or Permitted Investment in such amount would be permitted at such time under clause (10) or (11) of Section 4.07(b) hereof, or pursuant to the definition of “Permitted Investments,” and if such Subsidiary otherwise meets the definition of an Unrestricted Subsidiary. Unrestricted Subsidiaries will not be subject to any of the restrictive covenants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Indenture, none of the Sabre Foreign Guarantors nor any of their Subsidiaries may transfer (through an Investment, disposition, Restricted Payment or otherwise) or exclusively license intellectual property material to the business of the Sabre Foreign Guarantors and their Subsidiaries, taken as a whole, to (a) any Unrestricted Subsidiary of a Restricted Party or (b) Sabre GLBL or any of its Subsidiaries that is not a Sabre Foreign Guarantor or any of its Subsidiaries, in any case, for the primary purpose (as determined by the Company in good faith) of obtaining third party financing secured by such intellectual property; </w:t>
      </w:r>
      <w:r>
        <w:rPr>
          <w:rFonts w:ascii="Times New Roman" w:hAnsi="Times New Roman"/>
          <w:i/>
          <w:sz w:val="20"/>
        </w:rPr>
        <w:t>provided</w:t>
      </w:r>
      <w:r>
        <w:rPr>
          <w:rFonts w:ascii="Times New Roman" w:hAnsi="Times New Roman"/>
          <w:sz w:val="20"/>
        </w:rPr>
        <w:t xml:space="preserve"> that this paragraph shall not prohibit the transfers or licenses among Restricted Subsidiaries of Sabre Foreign Guarantors that are not Sabre Foreign Guarantors.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For purposes of determining compliance with the provisions set forth above, in the event that a Restricted Payment or Permitted Investment meets the criteria of more than one of the types of Restricted Payments or Permitted Investments described in the above clauses or the definitions thereof, the Company, in its sole discretion, may order and classify, and from time to time may reorder and reclassify (based on circumstances existing at the time of such reclassification), such Restricted Payment or Permitted Investment if it would have been permitted at the time such Restricted Payment or Permitted Investment was made and at the time of any such reclassification.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i/>
          <w:sz w:val="20"/>
        </w:rPr>
        <w:t>Dividend and Other Payment Restrictions Affecting 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Restricted Parties will not, and will not permit any of their respective Restricted Subsidiaries that is not a Guarantor to, directly or indirectly, create or otherwise cause or suffer to exist or become effective any consensual encumbrance or consensual restriction on the ability of any such Restricted Party to: </w:t>
      </w:r>
    </w:p>
    <w:p>
      <w:pPr>
        <w:pStyle w:val="TextBody"/>
        <w:bidi w:val="0"/>
        <w:spacing w:before="120" w:after="0"/>
        <w:jc w:val="left"/>
        <w:rPr>
          <w:rFonts w:ascii="Times New Roman" w:hAnsi="Times New Roman"/>
          <w:sz w:val="20"/>
        </w:rPr>
      </w:pPr>
      <w:r>
        <w:rPr>
          <w:rFonts w:ascii="Times New Roman" w:hAnsi="Times New Roman"/>
          <w:sz w:val="20"/>
        </w:rPr>
        <w:t xml:space="preserve">(1)(a) pay dividends or make any other distributions to the Restricted Parties on its Capital Stock or with respect to any other interest or participation in, or measured by, its profits, or </w:t>
      </w:r>
    </w:p>
    <w:p>
      <w:pPr>
        <w:pStyle w:val="TextBody"/>
        <w:bidi w:val="0"/>
        <w:spacing w:before="120" w:after="0"/>
        <w:jc w:val="left"/>
        <w:rPr>
          <w:rFonts w:ascii="Times New Roman" w:hAnsi="Times New Roman"/>
          <w:sz w:val="20"/>
        </w:rPr>
      </w:pPr>
      <w:r>
        <w:rPr>
          <w:rFonts w:ascii="Times New Roman" w:hAnsi="Times New Roman"/>
          <w:sz w:val="20"/>
        </w:rPr>
        <w:t xml:space="preserve">(b) pay any Indebtedness owed to the Company or any Restricted Party that is a Guarantor; </w:t>
      </w:r>
    </w:p>
    <w:p>
      <w:pPr>
        <w:pStyle w:val="TextBody"/>
        <w:bidi w:val="0"/>
        <w:spacing w:before="120" w:after="0"/>
        <w:jc w:val="left"/>
        <w:rPr>
          <w:rFonts w:ascii="Times New Roman" w:hAnsi="Times New Roman"/>
          <w:sz w:val="20"/>
        </w:rPr>
      </w:pPr>
      <w:r>
        <w:rPr>
          <w:rFonts w:ascii="Times New Roman" w:hAnsi="Times New Roman"/>
          <w:sz w:val="20"/>
        </w:rPr>
        <w:t xml:space="preserve">(2) make loans or advances to the Company or any Restricted Party that is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sell, lease or transfer any of its properties or assets to the Company or any of the Restricted Parties that is not a Guarantor; except (in each case) for such encumbrances or restrictions existing under or by reason of: </w:t>
      </w:r>
    </w:p>
    <w:p>
      <w:pPr>
        <w:pStyle w:val="TextBody"/>
        <w:bidi w:val="0"/>
        <w:spacing w:before="120" w:after="0"/>
        <w:jc w:val="left"/>
        <w:rPr>
          <w:rFonts w:ascii="Times New Roman" w:hAnsi="Times New Roman"/>
          <w:sz w:val="20"/>
        </w:rPr>
      </w:pPr>
      <w:r>
        <w:rPr>
          <w:rFonts w:ascii="Times New Roman" w:hAnsi="Times New Roman"/>
          <w:sz w:val="20"/>
        </w:rPr>
        <w:t xml:space="preserve">(a) contractual encumbrances or restrictions in effect on the Issue Date, including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(b) this Indenture, the Security Documents, the Notes and the guarantees thereof; (c) purchase money obligations for property acquired in the ordinary course of </w:t>
      </w:r>
    </w:p>
    <w:p>
      <w:pPr>
        <w:pStyle w:val="TextBody"/>
        <w:bidi w:val="0"/>
        <w:spacing w:before="120" w:after="0"/>
        <w:jc w:val="left"/>
        <w:rPr>
          <w:rFonts w:ascii="Times New Roman" w:hAnsi="Times New Roman"/>
          <w:sz w:val="20"/>
        </w:rPr>
      </w:pPr>
      <w:r>
        <w:rPr>
          <w:rFonts w:ascii="Times New Roman" w:hAnsi="Times New Roman"/>
          <w:sz w:val="20"/>
        </w:rPr>
        <w:t xml:space="preserve">(c) business and Capitalized Lease Obligations that impose restrictions of the nature discussed in clause (3) above on the property so acquired; </w:t>
      </w:r>
    </w:p>
    <w:p>
      <w:pPr>
        <w:pStyle w:val="TextBody"/>
        <w:bidi w:val="0"/>
        <w:spacing w:before="120" w:after="0"/>
        <w:jc w:val="left"/>
        <w:rPr>
          <w:rFonts w:ascii="Times New Roman" w:hAnsi="Times New Roman"/>
          <w:sz w:val="20"/>
        </w:rPr>
      </w:pPr>
      <w:r>
        <w:rPr>
          <w:rFonts w:ascii="Times New Roman" w:hAnsi="Times New Roman"/>
          <w:sz w:val="20"/>
        </w:rPr>
        <w:t xml:space="preserve">(d) applicable law or any applicable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(e) any agreement or other instrument of a Person acquired by or merged or consolidated with or into the Company or any of the Restricted Parties in existence at the time of such acquisition or at the time it merges with or into the Company or any of the Restricted Parties or assumed in connection with the acquisition of assets from such Person (but, in any such case, not created in contemplation thereof), which encumbrance or restriction is not applicable to any Person, or the properties or assets of any Person, other than the Person so acquired and its Subsidiaries, or the property or assets of the Person so acquired and its Subsidiaries or the property or assets so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contracts for the sale of assets, including customary restrictions with respect to a Subsidiary of a Restricted Party pursuant to an agreement that has been entered into for the sale or disposition of all or substantially all of the Capital Stock or assets of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(g) Secured Indebtedness otherwise permitted to be incurred pursuant to Section 4.09 and Section 4.12 hereof that limit the right of the debtor to dispose of the assets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(h) restrictions on cash or other deposits or net worth imposed by customers under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other Indebtedness, Disqualified Stock or Preferred Stock permitted (or not prohibited) to be incurred subsequent to the Issue Date pursuant to the provisions of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(j) customary provisions in joint venture agreements and other similar agreements relating solely to such joint venture; </w:t>
      </w:r>
    </w:p>
    <w:p>
      <w:pPr>
        <w:pStyle w:val="TextBody"/>
        <w:bidi w:val="0"/>
        <w:spacing w:before="120" w:after="0"/>
        <w:jc w:val="left"/>
        <w:rPr>
          <w:rFonts w:ascii="Times New Roman" w:hAnsi="Times New Roman"/>
          <w:sz w:val="20"/>
        </w:rPr>
      </w:pPr>
      <w:r>
        <w:rPr>
          <w:rFonts w:ascii="Times New Roman" w:hAnsi="Times New Roman"/>
          <w:sz w:val="20"/>
        </w:rPr>
        <w:t xml:space="preserve">(k) customary provisions contained in leases, sub-leases, licenses, sub-licenses or similar agreements, including with respect to intellectual property and other agreements, in each case,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restrictions created in connection with any Qualified Securitization Financing that, in the good faith determination of the Company are necessary or advisable to effect such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(m) restrictions or conditions contained in any trading, netting, operating, construction, service, supply, purchase, sale or other agreement to which a Restricted Party is a party entered into in the ordinary course of business; </w:t>
      </w:r>
      <w:r>
        <w:rPr>
          <w:rFonts w:ascii="Times New Roman" w:hAnsi="Times New Roman"/>
          <w:i/>
          <w:sz w:val="20"/>
        </w:rPr>
        <w:t>provided</w:t>
      </w:r>
      <w:r>
        <w:rPr>
          <w:rFonts w:ascii="Times New Roman" w:hAnsi="Times New Roman"/>
          <w:sz w:val="20"/>
        </w:rPr>
        <w:t xml:space="preserve"> that such agreement prohibits the encumbrance of solely the property or assets of such Restricted Party that are the subject of such agreement, the payment rights arising thereunder or the proceeds thereof and does not extend to any other asset or property of such Restricted Party or the assets or property of another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(n) other Indebtedness, Disqualified Stock or Preferred Stock permitted to be incurred subsequent to the Issue Date pursuant to the provisions of Section 4.09 hereof; provided that, in the judgment of the Company, such incurrence will not materially impair the Company’s ability to make payments under the Notes when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any encumbrances or restrictions of the type referred to in clauses (1), (2) and (3) of Section 4.08(a) hereof imposed by any amendments, modifications, restatements, renewals, increases, supplements, refundings, replacements or refinancings of the contracts, instruments or obligations referred to in clauses (a) through (n) of Section 4.08(a) hereof; </w:t>
      </w:r>
      <w:r>
        <w:rPr>
          <w:rFonts w:ascii="Times New Roman" w:hAnsi="Times New Roman"/>
          <w:i/>
          <w:sz w:val="20"/>
        </w:rPr>
        <w:t>provided</w:t>
      </w:r>
      <w:r>
        <w:rPr>
          <w:rFonts w:ascii="Times New Roman" w:hAnsi="Times New Roman"/>
          <w:sz w:val="20"/>
        </w:rPr>
        <w:t xml:space="preserve"> that such amendments, modifications, restatements, renewals, increases, supplements, refundings, replacements or refinancings are, in the good faith judgment of the Company,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before="120" w:after="0"/>
        <w:jc w:val="left"/>
        <w:rPr>
          <w:rFonts w:ascii="Times New Roman" w:hAnsi="Times New Roman"/>
          <w:sz w:val="20"/>
        </w:rPr>
      </w:pPr>
      <w:r>
        <w:rPr>
          <w:rFonts w:ascii="Times New Roman" w:hAnsi="Times New Roman"/>
          <w:sz w:val="20"/>
        </w:rPr>
        <w:t xml:space="preserve">(p) restrictions created in connection with any Securitization Financing that, in the good faith determination of the Company, are necessary or advisable to effect such Securitization Financing; and </w:t>
      </w:r>
    </w:p>
    <w:p>
      <w:pPr>
        <w:pStyle w:val="TextBody"/>
        <w:bidi w:val="0"/>
        <w:spacing w:before="120" w:after="0"/>
        <w:jc w:val="left"/>
        <w:rPr>
          <w:rFonts w:ascii="Times New Roman" w:hAnsi="Times New Roman"/>
          <w:sz w:val="20"/>
        </w:rPr>
      </w:pPr>
      <w:r>
        <w:rPr>
          <w:rFonts w:ascii="Times New Roman" w:hAnsi="Times New Roman"/>
          <w:sz w:val="20"/>
        </w:rPr>
        <w:t xml:space="preserve">(q) any encumbrance or restriction with respect to a Restricted Party or Securitization Subsidiary which was previously an non-Restricted Party pursuant to or by reason of an agreement that it is a party to or entered into before the date on which it became a Restricted Party or Securitization Subsidiary; </w:t>
      </w:r>
      <w:r>
        <w:rPr>
          <w:rFonts w:ascii="Times New Roman" w:hAnsi="Times New Roman"/>
          <w:i/>
          <w:sz w:val="20"/>
        </w:rPr>
        <w:t>provided</w:t>
      </w:r>
      <w:r>
        <w:rPr>
          <w:rFonts w:ascii="Times New Roman" w:hAnsi="Times New Roman"/>
          <w:sz w:val="20"/>
        </w:rPr>
        <w:t xml:space="preserve"> that such agreement was not entered into in anticipation of an non-Restricted Party becoming a Restricted Party or Securitization Subsidiary and any such encumbrance or restriction does not extend to any assets or property of the Company or any other Restricted Party other than the assets and property of such Restricted Party or Securitization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i/>
          <w:sz w:val="20"/>
        </w:rPr>
        <w:t>Limitation on Incurrence of Indebtedness and Issuance of Disqualified Stock and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Restricted Parties will not, and will not permit any of their respective Restricted Subsidiaries to, directly or indirectly, create, incur, issue, assume, guarantee or otherwise become directly or indirectly liable, contingently or otherwise (collectively, “</w:t>
      </w:r>
      <w:r>
        <w:rPr>
          <w:rFonts w:ascii="Times New Roman" w:hAnsi="Times New Roman"/>
          <w:i/>
          <w:sz w:val="20"/>
        </w:rPr>
        <w:t>incur</w:t>
      </w:r>
      <w:r>
        <w:rPr>
          <w:rFonts w:ascii="Times New Roman" w:hAnsi="Times New Roman"/>
          <w:sz w:val="20"/>
        </w:rPr>
        <w:t>” and collectively, an “</w:t>
      </w:r>
      <w:r>
        <w:rPr>
          <w:rFonts w:ascii="Times New Roman" w:hAnsi="Times New Roman"/>
          <w:i/>
          <w:sz w:val="20"/>
        </w:rPr>
        <w:t>incurrence</w:t>
      </w:r>
      <w:r>
        <w:rPr>
          <w:rFonts w:ascii="Times New Roman" w:hAnsi="Times New Roman"/>
          <w:sz w:val="20"/>
        </w:rPr>
        <w:t xml:space="preserve">”) with respect to any Indebtedness (including Acquired Indebtedness) and Sabre Financing, the Polish Guarantor and Lux Parent will not issue any shares of Disqualified Stock and will not permit the Company or any of their respective Restricted Subsidiaries to issue any shares of Disqualified Stock or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Section 4.09(a) hereof will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(1) [reserved]; </w:t>
      </w:r>
    </w:p>
    <w:p>
      <w:pPr>
        <w:pStyle w:val="TextBody"/>
        <w:bidi w:val="0"/>
        <w:spacing w:before="120" w:after="0"/>
        <w:jc w:val="left"/>
        <w:rPr>
          <w:rFonts w:ascii="Times New Roman" w:hAnsi="Times New Roman"/>
          <w:sz w:val="20"/>
        </w:rPr>
      </w:pPr>
      <w:r>
        <w:rPr>
          <w:rFonts w:ascii="Times New Roman" w:hAnsi="Times New Roman"/>
          <w:sz w:val="20"/>
        </w:rPr>
        <w:t xml:space="preserve">(2) [reserved]; </w:t>
      </w:r>
    </w:p>
    <w:p>
      <w:pPr>
        <w:pStyle w:val="TextBody"/>
        <w:bidi w:val="0"/>
        <w:spacing w:before="120" w:after="0"/>
        <w:jc w:val="left"/>
        <w:rPr>
          <w:rFonts w:ascii="Times New Roman" w:hAnsi="Times New Roman"/>
          <w:sz w:val="20"/>
        </w:rPr>
      </w:pPr>
      <w:r>
        <w:rPr>
          <w:rFonts w:ascii="Times New Roman" w:hAnsi="Times New Roman"/>
          <w:sz w:val="20"/>
        </w:rPr>
        <w:t xml:space="preserve">(3)(i) Indebtedness of a Restricted Party in existence on the Issue Date, including the Notes issued on the Issue Date and (ii) any Guarantees of the Notes (whether on or after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(4)(i) Indebtedness (including Capitalized Lease Obligations) and Disqualified Stock incurred or issued by the Restricted Parties and Preferred Stock issued by the Company or any Restricted Subsidiary of Sabre Financing, the Polish Guarantor or Lux Parent, to finance the purchase, lease or improvement of property (real or personal), equipment or other assets that in each case are used or useful in a Similar Business, whether through the direct purchase of assets or the Capital Stock of any Person owning such assets and (ii) Indebtedness arising under Capitalized Leases other than those in effect on the Issue Date or entered into pursuant to subclause (i) of this clause (4), in each case of clauses (i), and (ii), incurred in the ordinary course of business, in an aggregate principal amount, together with any refinancing Indebtedness in respect thereof and all other Indebtedness, Disqualified Stock or Preferred Stock incurred or issued and outstanding under this clause (4), not to exceed $10,000,000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(5) Indebtedness incurred by the Restricted Parties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 </w:t>
      </w:r>
      <w:r>
        <w:rPr>
          <w:rFonts w:ascii="Times New Roman" w:hAnsi="Times New Roman"/>
          <w:i/>
          <w:sz w:val="20"/>
        </w:rPr>
        <w:t>provided</w:t>
      </w:r>
      <w:r>
        <w:rPr>
          <w:rFonts w:ascii="Times New Roman" w:hAnsi="Times New Roman"/>
          <w:sz w:val="20"/>
        </w:rPr>
        <w:t xml:space="preserve"> that upon the drawing of such letters of credit or the incurrence of such Indebtedness, such obligations are reimbursed within 30 days following such drawing or incurrence; </w:t>
      </w:r>
    </w:p>
    <w:p>
      <w:pPr>
        <w:pStyle w:val="TextBody"/>
        <w:bidi w:val="0"/>
        <w:spacing w:before="120" w:after="0"/>
        <w:jc w:val="left"/>
        <w:rPr>
          <w:rFonts w:ascii="Times New Roman" w:hAnsi="Times New Roman"/>
          <w:sz w:val="20"/>
        </w:rPr>
      </w:pPr>
      <w:r>
        <w:rPr>
          <w:rFonts w:ascii="Times New Roman" w:hAnsi="Times New Roman"/>
          <w:sz w:val="20"/>
        </w:rPr>
        <w:t xml:space="preserve">(6) Indebtedness arising from agreements of the Restricted Parties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(7) Indebtedness of the Company to a Restricted Party other than the Company; </w:t>
      </w:r>
      <w:r>
        <w:rPr>
          <w:rFonts w:ascii="Times New Roman" w:hAnsi="Times New Roman"/>
          <w:i/>
          <w:sz w:val="20"/>
        </w:rPr>
        <w:t>provided</w:t>
      </w:r>
      <w:r>
        <w:rPr>
          <w:rFonts w:ascii="Times New Roman" w:hAnsi="Times New Roman"/>
          <w:sz w:val="20"/>
        </w:rPr>
        <w:t xml:space="preserve"> that any such Indebtedness owing to a Restricted Party that is not a Guarantor is expressly subordinated in right of payment to the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subsequent issuance or transfer of any Capital Stock or any other event which results in any such Restricted Party ceasing to be a Restricted Party or any other subsequent transfer of any such Indebtedness (except to the Company or another Restricted Party or any pledge of such Indebtedness constituting a Permitted Lien (but not foreclosure thereon)) shall be deemed, in each case, to be an incurrence of such Indebtedness not permitted by this clause (7); </w:t>
      </w:r>
    </w:p>
    <w:p>
      <w:pPr>
        <w:pStyle w:val="TextBody"/>
        <w:bidi w:val="0"/>
        <w:spacing w:before="120" w:after="0"/>
        <w:jc w:val="left"/>
        <w:rPr>
          <w:rFonts w:ascii="Times New Roman" w:hAnsi="Times New Roman"/>
          <w:sz w:val="20"/>
        </w:rPr>
      </w:pPr>
      <w:r>
        <w:rPr>
          <w:rFonts w:ascii="Times New Roman" w:hAnsi="Times New Roman"/>
          <w:sz w:val="20"/>
        </w:rPr>
        <w:t xml:space="preserve">(8) Indebtedness of a Restricted Party to the Company or another Restricted Party; </w:t>
      </w:r>
      <w:r>
        <w:rPr>
          <w:rFonts w:ascii="Times New Roman" w:hAnsi="Times New Roman"/>
          <w:i/>
          <w:sz w:val="20"/>
        </w:rPr>
        <w:t>provided</w:t>
      </w:r>
      <w:r>
        <w:rPr>
          <w:rFonts w:ascii="Times New Roman" w:hAnsi="Times New Roman"/>
          <w:sz w:val="20"/>
        </w:rPr>
        <w:t xml:space="preserve"> that if a Guarantor incurs such Indebtedness to a Restricted Party that is not a Guarantor, such Indebtedness is expressly subordinated in right of payment to the Guarantee of the Notes of such Guarantor; provided further that any subsequent transfer of any such Indebtedness (except to the Company or another Restricted Party or any pledge of such Indebtedness constituting a Permitted Lien (but not foreclosure thereon)) shall be deemed, in each case, to be an incurrence of such Indebtedness not permitted by this clause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shares of Preferred Stock of a Restricted Party issued to the Company or another Restricted Party; </w:t>
      </w:r>
      <w:r>
        <w:rPr>
          <w:rFonts w:ascii="Times New Roman" w:hAnsi="Times New Roman"/>
          <w:i/>
          <w:sz w:val="20"/>
        </w:rPr>
        <w:t>provided</w:t>
      </w:r>
      <w:r>
        <w:rPr>
          <w:rFonts w:ascii="Times New Roman" w:hAnsi="Times New Roman"/>
          <w:sz w:val="20"/>
        </w:rPr>
        <w:t xml:space="preserve"> that any subsequent issuance or transfer of any Capital Stock or any other event which results in any such Restricted Party ceasing to be a Restricted Party or any other subsequent transfer of any such shares of Preferred Stock (except to the Company or another of its Restricted Party) shall be deemed, in each case, to be an issuance of such shares of Preferred Stock not permitted by this clause (9); </w:t>
      </w:r>
    </w:p>
    <w:p>
      <w:pPr>
        <w:pStyle w:val="TextBody"/>
        <w:bidi w:val="0"/>
        <w:spacing w:before="120" w:after="0"/>
        <w:jc w:val="left"/>
        <w:rPr>
          <w:rFonts w:ascii="Times New Roman" w:hAnsi="Times New Roman"/>
          <w:sz w:val="20"/>
        </w:rPr>
      </w:pPr>
      <w:r>
        <w:rPr>
          <w:rFonts w:ascii="Times New Roman" w:hAnsi="Times New Roman"/>
          <w:sz w:val="20"/>
        </w:rPr>
        <w:t xml:space="preserve">(10) Hedging Obligations (excluding Hedging Obligations entered into for speculative purposes) for the purpose of limiting interest rate risk with respect to any Indebtedness permitted to be incurred under this Indenture, exchange rate risk or commodity pricing risk; </w:t>
      </w:r>
    </w:p>
    <w:p>
      <w:pPr>
        <w:pStyle w:val="TextBody"/>
        <w:bidi w:val="0"/>
        <w:spacing w:before="120" w:after="0"/>
        <w:jc w:val="left"/>
        <w:rPr>
          <w:rFonts w:ascii="Times New Roman" w:hAnsi="Times New Roman"/>
          <w:sz w:val="20"/>
        </w:rPr>
      </w:pPr>
      <w:r>
        <w:rPr>
          <w:rFonts w:ascii="Times New Roman" w:hAnsi="Times New Roman"/>
          <w:sz w:val="20"/>
        </w:rPr>
        <w:t xml:space="preserve">(11) obligations in respect of self-insurance and obligations in respect of performance, bid, appeal and surety bonds and performance and completion guarantees and similar obligations provided by the Restricted Parties or obligations in respect of letters of credit, bank guarantees or similar instruments related thereto,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(12) Indebtedness or Disqualified Stock of the Company and Indebtedness, Disqualified Stock or Preferred Stock of the Company or any other Restricted Party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clause (12) does not at any one time outstanding exceed $20,000,000; </w:t>
      </w:r>
    </w:p>
    <w:p>
      <w:pPr>
        <w:pStyle w:val="TextBody"/>
        <w:bidi w:val="0"/>
        <w:spacing w:before="120" w:after="0"/>
        <w:jc w:val="left"/>
        <w:rPr>
          <w:rFonts w:ascii="Times New Roman" w:hAnsi="Times New Roman"/>
          <w:sz w:val="20"/>
        </w:rPr>
      </w:pPr>
      <w:r>
        <w:rPr>
          <w:rFonts w:ascii="Times New Roman" w:hAnsi="Times New Roman"/>
          <w:sz w:val="20"/>
        </w:rPr>
        <w:t>(13) the incurrence by the Restricted Parties of Indebtedness, the issuance by Restricted Parties of Disqualified Stock or the issuance by the Company or any Restricted Subsidiary of Sabre Financing, the Polish Guarantor or Lux Parent of Preferred Stock which serves to extend, replace, refund, refinance, renew or defease any Indebtedness incurred or Disqualified Stock or Preferred Stock issued as permitted under clauses (3), (4), (12) of this Section 4.09(b) and this clause (13) or any Indebtedness incurred or Disqualified Stock or Preferred Stock issued to so extend, replace, refund, refinance, renew or defease such Indebtedness, Disqualified Stock or Preferred Stock including additional Indebtedness, Disqualified Stock or Preferred Stock incurred to pay accrued and unpaid interest, dividends on such aforementioned Disqualified Stock or Preferred Stock, premiums (including premiums and consideration in excess of the face amount, in each case in connection with tenders or exchanges), defeasance costs, underwriting discounts, fees, costs and expenses (including original issue discount, upfront fees or similar fees) in connection therewith (the “</w:t>
      </w:r>
      <w:r>
        <w:rPr>
          <w:rFonts w:ascii="Times New Roman" w:hAnsi="Times New Roman"/>
          <w:i/>
          <w:sz w:val="20"/>
        </w:rPr>
        <w:t>Refinancing Indebtedness</w:t>
      </w:r>
      <w:r>
        <w:rPr>
          <w:rFonts w:ascii="Times New Roman" w:hAnsi="Times New Roman"/>
          <w:sz w:val="20"/>
        </w:rPr>
        <w:t xml:space="preserve">”) prior to its respective maturity; </w:t>
      </w:r>
      <w:r>
        <w:rPr>
          <w:rFonts w:ascii="Times New Roman" w:hAnsi="Times New Roman"/>
          <w:i/>
          <w:sz w:val="20"/>
        </w:rPr>
        <w:t>provided</w:t>
      </w:r>
      <w:r>
        <w:rPr>
          <w:rFonts w:ascii="Times New Roman" w:hAnsi="Times New Roman"/>
          <w:sz w:val="20"/>
        </w:rPr>
        <w:t xml:space="preserve"> that such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such Indebtedness is Subordinated Indebtedness or Disqualified Stock, has a final scheduled maturity date equal to or later than the final scheduled maturity date of such Subordinated Indebtedness or Disqualified Stock being so defeased, redeemed, repurchased, exchanged, acquired or retired;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such Refinancing Indebtedness extends, replaces, refunds, refinances, renews or defeases (i) Indebtedness subordinated or </w:t>
      </w:r>
      <w:r>
        <w:rPr>
          <w:rFonts w:ascii="Times New Roman" w:hAnsi="Times New Roman"/>
          <w:i/>
          <w:sz w:val="20"/>
        </w:rPr>
        <w:t>pari passu</w:t>
      </w:r>
      <w:r>
        <w:rPr>
          <w:rFonts w:ascii="Times New Roman" w:hAnsi="Times New Roman"/>
          <w:sz w:val="20"/>
        </w:rPr>
        <w:t xml:space="preserve"> to the Notes or any Guarantee thereof, such Refinancing Indebtedness is subordinated or </w:t>
      </w:r>
      <w:r>
        <w:rPr>
          <w:rFonts w:ascii="Times New Roman" w:hAnsi="Times New Roman"/>
          <w:i/>
          <w:sz w:val="20"/>
        </w:rPr>
        <w:t>pari passu</w:t>
      </w:r>
      <w:r>
        <w:rPr>
          <w:rFonts w:ascii="Times New Roman" w:hAnsi="Times New Roman"/>
          <w:sz w:val="20"/>
        </w:rPr>
        <w:t xml:space="preserve"> to the Notes or the Guarantee thereof at least to the same extent as the Indebtedness being extended, replaced, refunded, refinanced, renewed or defeased or (ii) Disqualified Stock or Preferred Stock, such Refinancing Indebtedness must be Disqualified Stock or Preferred Stock, respectively; </w:t>
      </w:r>
    </w:p>
    <w:p>
      <w:pPr>
        <w:pStyle w:val="TextBody"/>
        <w:bidi w:val="0"/>
        <w:spacing w:before="120" w:after="0"/>
        <w:jc w:val="left"/>
        <w:rPr>
          <w:rFonts w:ascii="Times New Roman" w:hAnsi="Times New Roman"/>
          <w:sz w:val="20"/>
        </w:rPr>
      </w:pPr>
      <w:r>
        <w:rPr>
          <w:rFonts w:ascii="Times New Roman" w:hAnsi="Times New Roman"/>
          <w:sz w:val="20"/>
        </w:rPr>
        <w:t xml:space="preserve">(d) if the Indebtedness extended, replaced, refunded, refinanced, renewed or defeased is secured by any Liens, the Liens securing such Indebtedness have the same priority as, and are limited to the same property and assets (including additional future assets and proceeds) subject to, the Liens securing such Indebtedness being so extended, replaced, refunded, refinanced, renewed or defeased; and </w:t>
      </w:r>
    </w:p>
    <w:p>
      <w:pPr>
        <w:pStyle w:val="TextBody"/>
        <w:bidi w:val="0"/>
        <w:spacing w:before="120" w:after="0"/>
        <w:jc w:val="left"/>
        <w:rPr>
          <w:rFonts w:ascii="Times New Roman" w:hAnsi="Times New Roman"/>
          <w:sz w:val="20"/>
        </w:rPr>
      </w:pPr>
      <w:r>
        <w:rPr>
          <w:rFonts w:ascii="Times New Roman" w:hAnsi="Times New Roman"/>
          <w:sz w:val="20"/>
        </w:rPr>
        <w:t xml:space="preserve">(e)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Disqualified Stock or Preferred Stock of a Subsidiary of a Restricted Party that is not a Guarantor that refinances Indebtedness or Disqualified Stock of the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(ii) Indebtedness, Disqualified Stock or Preferred Stock of a Subsidiary of a Restricted Party that is not a Guarantor that refinances Indebtedness, Disqualified Stock or Preferred Stock of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(iii) Indebtedness or Disqualified Stock of the Company or Indebtedness, Disqualified Stock or Preferred Stock of a Restricted Party that refinances Indebtedness, Disqualified Stock or Preferred Stock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(14) [reserved]; </w:t>
      </w:r>
    </w:p>
    <w:p>
      <w:pPr>
        <w:pStyle w:val="TextBody"/>
        <w:bidi w:val="0"/>
        <w:spacing w:before="120" w:after="0"/>
        <w:jc w:val="left"/>
        <w:rPr>
          <w:rFonts w:ascii="Times New Roman" w:hAnsi="Times New Roman"/>
          <w:sz w:val="20"/>
        </w:rPr>
      </w:pPr>
      <w:r>
        <w:rPr>
          <w:rFonts w:ascii="Times New Roman" w:hAnsi="Times New Roman"/>
          <w:sz w:val="20"/>
        </w:rPr>
        <w:t xml:space="preserve">(15) Indebtedness arising from the honoring by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(16) Indebtedness of a Restricted Party supported by a letter of credit issued pursuant to the Credit Facilities that is incurred under clause (1) above, in a principal amount not in excess of the stated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(17)(a) any guarantee by a Restricted Party of Indebtedness or other obligations of any Restricted Party so long as the incurrence of such Indebtedness incurred by such Restricted Party is permitted under the terms of this Indenture or (b) any guarantee by a Restricted Party of Indebtedness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Indebtedness consisting of Indebtedness issued by a Restricted Party to future, present or former employees, directors, officers, managers and consultants thereof, their respective Controlled Investment Affiliates or Immediate Family Members, in each case to finance the purchase or redemption of Equity Interests of the applicable Restricted Party or any direct or indirect parent company of the applicable Restricted Party to the extent described in clause (4) of Section 4.07(b) hereof; </w:t>
      </w:r>
    </w:p>
    <w:p>
      <w:pPr>
        <w:pStyle w:val="TextBody"/>
        <w:bidi w:val="0"/>
        <w:spacing w:before="120" w:after="0"/>
        <w:jc w:val="left"/>
        <w:rPr>
          <w:rFonts w:ascii="Times New Roman" w:hAnsi="Times New Roman"/>
          <w:sz w:val="20"/>
        </w:rPr>
      </w:pPr>
      <w:r>
        <w:rPr>
          <w:rFonts w:ascii="Times New Roman" w:hAnsi="Times New Roman"/>
          <w:sz w:val="20"/>
        </w:rPr>
        <w:t xml:space="preserve">(19) customer deposits and advance payments received in the ordinary course of business from customers for goods purchased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(20) Indebtedness in respect of Bank Products provided by banks or other financial institutions to the Restricted Parties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(21) Indebtedness incurred by a Restricted Party in connection with bankers’ acceptances, discounted bills of exchange or the discounting or factoring of receivables for credit management purposes, in each case incurred or undertaken in the ordinary course of business on arm’s length commercial terms on a recourse basis; </w:t>
      </w:r>
    </w:p>
    <w:p>
      <w:pPr>
        <w:pStyle w:val="TextBody"/>
        <w:bidi w:val="0"/>
        <w:spacing w:before="120" w:after="0"/>
        <w:jc w:val="left"/>
        <w:rPr>
          <w:rFonts w:ascii="Times New Roman" w:hAnsi="Times New Roman"/>
          <w:sz w:val="20"/>
        </w:rPr>
      </w:pPr>
      <w:r>
        <w:rPr>
          <w:rFonts w:ascii="Times New Roman" w:hAnsi="Times New Roman"/>
          <w:sz w:val="20"/>
        </w:rPr>
        <w:t xml:space="preserve">(22) Indebtedness of a Restricted Party consisting of (a) the financing of insurance premiums or (b) take-or-pay obligations contained in supply arrangements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(23) [reserved]; </w:t>
      </w:r>
    </w:p>
    <w:p>
      <w:pPr>
        <w:pStyle w:val="TextBody"/>
        <w:bidi w:val="0"/>
        <w:spacing w:before="120" w:after="0"/>
        <w:jc w:val="left"/>
        <w:rPr>
          <w:rFonts w:ascii="Times New Roman" w:hAnsi="Times New Roman"/>
          <w:sz w:val="20"/>
        </w:rPr>
      </w:pPr>
      <w:r>
        <w:rPr>
          <w:rFonts w:ascii="Times New Roman" w:hAnsi="Times New Roman"/>
          <w:sz w:val="20"/>
        </w:rPr>
        <w:t xml:space="preserve">(24) [reserved]; </w:t>
      </w:r>
    </w:p>
    <w:p>
      <w:pPr>
        <w:pStyle w:val="TextBody"/>
        <w:bidi w:val="0"/>
        <w:spacing w:before="120" w:after="0"/>
        <w:jc w:val="left"/>
        <w:rPr>
          <w:rFonts w:ascii="Times New Roman" w:hAnsi="Times New Roman"/>
          <w:sz w:val="20"/>
        </w:rPr>
      </w:pPr>
      <w:r>
        <w:rPr>
          <w:rFonts w:ascii="Times New Roman" w:hAnsi="Times New Roman"/>
          <w:sz w:val="20"/>
        </w:rPr>
        <w:t xml:space="preserve">(25) Indebtedness of a Restricted Party incurred in connection with cash management, netting services, automatic clearinghouse payments, overdraft protection, employee credit card programs and similar and related activities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(26) Indebtedness of a Restricted Party undertaken in connection with cash management and related activities with respect to any Subsidiary or joint venture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Indebtedness of a Restricted Party to Sabre GLBL and its Subsidiaries (other than any Restricted Party or any of its Subsidiaries), </w:t>
      </w:r>
      <w:r>
        <w:rPr>
          <w:rFonts w:ascii="Times New Roman" w:hAnsi="Times New Roman"/>
          <w:i/>
          <w:sz w:val="20"/>
        </w:rPr>
        <w:t>provided</w:t>
      </w:r>
      <w:r>
        <w:rPr>
          <w:rFonts w:ascii="Times New Roman" w:hAnsi="Times New Roman"/>
          <w:sz w:val="20"/>
        </w:rPr>
        <w:t xml:space="preserve"> that (x) the amount of such loan is first netted against Indebtedness and other Obligations owed by Sabre GLBL and its Subsidiaries (other than any Restricted Party or any of its Subsidiaries) to the Restricted Parties and their respective Subsidiaries, and (y) such intercompany loan is (a) permitted under the Sabre GLBL Notes, the Sabre GLBL Senior Credit Facilities and Sabre GLBL Exchangeable Notes, and (b) subordinated, by its express terms, in right of payment to the Notes or such Sabre Foreign Guarantor’s Guarantee, and such subordination shall permit repayments and prepayments so long as no Event of Default has occurred and is continuing;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all premiums (if any), interest (including post-petition interest), fees, expenses, charges and additional or contingent interest on obligations described in clauses (1) through (27) of this Section 4.09(b).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this Section 4.09: </w:t>
      </w:r>
    </w:p>
    <w:p>
      <w:pPr>
        <w:pStyle w:val="TextBody"/>
        <w:bidi w:val="0"/>
        <w:spacing w:before="120" w:after="0"/>
        <w:jc w:val="left"/>
        <w:rPr>
          <w:rFonts w:ascii="Times New Roman" w:hAnsi="Times New Roman"/>
          <w:sz w:val="20"/>
        </w:rPr>
      </w:pPr>
      <w:r>
        <w:rPr>
          <w:rFonts w:ascii="Times New Roman" w:hAnsi="Times New Roman"/>
          <w:sz w:val="20"/>
        </w:rPr>
        <w:t xml:space="preserve">(1) in the event that an item of Indebtedness, Disqualified Stock or Preferred Stock (or any portion thereof) meets the criteria of more than one of the categories of Indebtedness, Disqualified Stock or Preferred Stock described in clauses (1) through (28) of Section 4.09(b) hereof, the Company, in its sole discretion, will classify or reclassify such item of Indebtedness, Disqualified Stock or Preferred Stock (or any portion thereof) and will only be required to include the amount and type of such Indebtedness, Disqualified Stock or Preferred Stock in one of the clauses of Section 4.09(b); and </w:t>
      </w:r>
    </w:p>
    <w:p>
      <w:pPr>
        <w:pStyle w:val="TextBody"/>
        <w:bidi w:val="0"/>
        <w:spacing w:before="120" w:after="0"/>
        <w:jc w:val="left"/>
        <w:rPr>
          <w:rFonts w:ascii="Times New Roman" w:hAnsi="Times New Roman"/>
          <w:sz w:val="20"/>
        </w:rPr>
      </w:pPr>
      <w:r>
        <w:rPr>
          <w:rFonts w:ascii="Times New Roman" w:hAnsi="Times New Roman"/>
          <w:sz w:val="20"/>
        </w:rPr>
        <w:t xml:space="preserve">(2) at the time of incurrence or reclassification, the Company will be entitled to divide and classify or reclassify an item of Indebtedness in more than one of the types of Indebtedness described in Section 4.09(a) and Section 4.09(b) hereof. </w:t>
      </w:r>
    </w:p>
    <w:p>
      <w:pPr>
        <w:pStyle w:val="TextBody"/>
        <w:bidi w:val="0"/>
        <w:spacing w:before="240" w:after="0"/>
        <w:jc w:val="left"/>
        <w:rPr>
          <w:rFonts w:ascii="Times New Roman" w:hAnsi="Times New Roman"/>
          <w:sz w:val="20"/>
        </w:rPr>
      </w:pPr>
      <w:r>
        <w:rPr>
          <w:rFonts w:ascii="Times New Roman" w:hAnsi="Times New Roman"/>
          <w:sz w:val="20"/>
        </w:rPr>
        <w:t xml:space="preserve">Accrual of interest or dividends, the accretion of accreted value, the accretion or amortization of original issue discount and the payment of interest or dividends in the form of additional Indebtedness, Disqualified Stock or Preferred Stock, as the case may be, of the same class will not be deemed to be an incurrence or issuance of Indebtedness, Disqualified Stock or Preferred Stock for purposes of this Section 4.09.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hAnsi="Times New Roman"/>
          <w:i/>
          <w:sz w:val="20"/>
        </w:rPr>
        <w:t xml:space="preserve">provided </w:t>
      </w:r>
      <w:r>
        <w:rPr>
          <w:rFonts w:ascii="Times New Roman" w:hAnsi="Times New Roman"/>
          <w:sz w:val="20"/>
        </w:rPr>
        <w:t xml:space="preserve">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incurred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Sabre Financing and the Sabre Foreign Guarantors will not, directly or indirectly, incur any Indebtedness (including Acquired Indebtedness) that is subordinated or junior in right of payment to any Indebtedness of the Company, Sabre Financing or a Sabre Foreign Guarantor, as the case may be, unless such Indebtedness is expressly subordinated in right of payment to the Notes or such Guarantee to the extent and in the same manner as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subordinated to other Indebtedness of the Company or such Guarantor, as the case may be. This Indenture will not treat (1) unsecured Indebtedness as subordinated or junior to Secured Indebtedness merely because it is unsecured or (2) Indebtedness as subordinated or junior to any other Indebtedness merely because it has a junior priority with respect to the same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Asset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Specified Asset Sale Limitation (as defined in clause (c)(1) of this Section 4.10), from and after the Issue Date, Sabre Financing, the Company and the Sabre Foreign Guarantors will not, and will not permit any of their respective Restricted Subsidiaries to, consummate an Asset Sale, unless: </w:t>
      </w:r>
    </w:p>
    <w:p>
      <w:pPr>
        <w:pStyle w:val="TextBody"/>
        <w:bidi w:val="0"/>
        <w:spacing w:before="120" w:after="0"/>
        <w:jc w:val="left"/>
        <w:rPr>
          <w:rFonts w:ascii="Times New Roman" w:hAnsi="Times New Roman"/>
          <w:sz w:val="20"/>
        </w:rPr>
      </w:pPr>
      <w:r>
        <w:rPr>
          <w:rFonts w:ascii="Times New Roman" w:hAnsi="Times New Roman"/>
          <w:sz w:val="20"/>
        </w:rPr>
        <w:t xml:space="preserve">(1) the applicable Restricted Party receives consideration at the time of such Asset Sale at least equal to the fair market value (such fair market value to be determined in good faith by the Company, including its board of directors (or a similar governing body) if such fair market value is in excess of $75,000,000, at the time of contractually agreeing to such Asset Sale) of the assets sold or otherwise disposed of; and </w:t>
      </w:r>
    </w:p>
    <w:p>
      <w:pPr>
        <w:pStyle w:val="TextBody"/>
        <w:bidi w:val="0"/>
        <w:spacing w:before="120" w:after="0"/>
        <w:jc w:val="left"/>
        <w:rPr>
          <w:rFonts w:ascii="Times New Roman" w:hAnsi="Times New Roman"/>
          <w:sz w:val="20"/>
        </w:rPr>
      </w:pPr>
      <w:r>
        <w:rPr>
          <w:rFonts w:ascii="Times New Roman" w:hAnsi="Times New Roman"/>
          <w:sz w:val="20"/>
        </w:rPr>
        <w:t xml:space="preserve">(2) except in the case of a Permitted Asset Swap, at least 75% of the consideration therefor received by the applicable Restricted Party is in the form of Cash Equivalents; </w:t>
      </w:r>
      <w:r>
        <w:rPr>
          <w:rFonts w:ascii="Times New Roman" w:hAnsi="Times New Roman"/>
          <w:i/>
          <w:sz w:val="20"/>
        </w:rPr>
        <w:t>provided</w:t>
      </w:r>
      <w:r>
        <w:rPr>
          <w:rFonts w:ascii="Times New Roman" w:hAnsi="Times New Roman"/>
          <w:sz w:val="20"/>
        </w:rPr>
        <w:t xml:space="preserve"> that the amount of: </w:t>
      </w:r>
    </w:p>
    <w:p>
      <w:pPr>
        <w:pStyle w:val="TextBody"/>
        <w:bidi w:val="0"/>
        <w:spacing w:before="120" w:after="0"/>
        <w:jc w:val="left"/>
        <w:rPr>
          <w:rFonts w:ascii="Times New Roman" w:hAnsi="Times New Roman"/>
          <w:sz w:val="20"/>
        </w:rPr>
      </w:pPr>
      <w:r>
        <w:rPr>
          <w:rFonts w:ascii="Times New Roman" w:hAnsi="Times New Roman"/>
          <w:sz w:val="20"/>
        </w:rPr>
        <w:t xml:space="preserve">(A) any liabilities (as shown on the applicable Restricted Party’s most recent balance sheet or in the footnotes thereto) of the applicable Restricted Party, other than liabilities that are by their terms subordinated to the Notes or that are owed to the applicable Restricted Party, that (x) are assumed by the transferee of any such assets or (y) are otherwise cancelled or terminated in connection with the transaction with such transferee (other than intercompany debt owed to the applicable Restricted Party) and, in each case, for which the applicable Restricted Party has been validly released by all creditors in writing, </w:t>
      </w:r>
    </w:p>
    <w:p>
      <w:pPr>
        <w:pStyle w:val="TextBody"/>
        <w:bidi w:val="0"/>
        <w:spacing w:before="120" w:after="0"/>
        <w:jc w:val="left"/>
        <w:rPr>
          <w:rFonts w:ascii="Times New Roman" w:hAnsi="Times New Roman"/>
          <w:sz w:val="20"/>
        </w:rPr>
      </w:pPr>
      <w:r>
        <w:rPr>
          <w:rFonts w:ascii="Times New Roman" w:hAnsi="Times New Roman"/>
          <w:sz w:val="20"/>
        </w:rPr>
        <w:t xml:space="preserve">(B) any securities, notes or other obligations or assets received by the applicable Restricted Party from such transferee that are converted by the applicable Restricted Party into Cash Equivalents (to the extent of the Cash Equivalents received) within 180 days following the closing of such Asset Sale, </w:t>
      </w:r>
    </w:p>
    <w:p>
      <w:pPr>
        <w:pStyle w:val="TextBody"/>
        <w:bidi w:val="0"/>
        <w:spacing w:before="120" w:after="0"/>
        <w:jc w:val="left"/>
        <w:rPr>
          <w:rFonts w:ascii="Times New Roman" w:hAnsi="Times New Roman"/>
          <w:sz w:val="20"/>
        </w:rPr>
      </w:pPr>
      <w:r>
        <w:rPr>
          <w:rFonts w:ascii="Times New Roman" w:hAnsi="Times New Roman"/>
          <w:sz w:val="20"/>
        </w:rPr>
        <w:t xml:space="preserve">(C) Indebtedness of any Restricted Party that ceases to be a Restricted Party as a result of such Asset Sale (other than intercompany debt owed to the Company or another Restricted Party), to the extent that the Restricted Parties are released from any guarantee of payment of the principal amount of such Indebtedness in connection with such Asset Sale, and </w:t>
      </w:r>
    </w:p>
    <w:p>
      <w:pPr>
        <w:pStyle w:val="TextBody"/>
        <w:bidi w:val="0"/>
        <w:spacing w:before="120" w:after="0"/>
        <w:jc w:val="left"/>
        <w:rPr>
          <w:rFonts w:ascii="Times New Roman" w:hAnsi="Times New Roman"/>
          <w:sz w:val="20"/>
        </w:rPr>
      </w:pPr>
      <w:r>
        <w:rPr>
          <w:rFonts w:ascii="Times New Roman" w:hAnsi="Times New Roman"/>
          <w:sz w:val="20"/>
        </w:rPr>
        <w:t xml:space="preserve">(D) any (i) Designated Non-Cash Consideration received by the applicable Restricted Party in such Asset Sale having an aggregate fair market value, as determined by the Company in good faith, taken together with all other Designated Non-Cash Consideration received pursuant to this clause (D)(i) that is at that time outstanding, not to exceed 2.5% of Total Assets at the time of the receipt of such Designated Non-Cash Consideration or (ii) any Investment (not constituting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Permitted Asset Swap) received by the applicable Restricted Party that is treated by the Company as a Restricted Payment under Section 4.07(a) or Section 4.07(b) hereof or a Permitted Investment under clause (8), (13) or (26) of the definition thereof, with the fair market value of each such item of Designated Non-Cash Consideration, Restricted Payment or Permitted Investment being measured pursuant to this clause (D) at the time received and without giving effect to subsequent changes in value, shall be deemed to be Cash Equivalents for purposes of this provision and for no other purpose. </w:t>
      </w:r>
    </w:p>
    <w:p>
      <w:pPr>
        <w:pStyle w:val="TextBody"/>
        <w:bidi w:val="0"/>
        <w:spacing w:before="240" w:after="0"/>
        <w:jc w:val="left"/>
        <w:rPr>
          <w:rFonts w:ascii="Times New Roman" w:hAnsi="Times New Roman"/>
          <w:sz w:val="20"/>
        </w:rPr>
      </w:pPr>
      <w:r>
        <w:rPr>
          <w:rFonts w:ascii="Times New Roman" w:hAnsi="Times New Roman"/>
          <w:sz w:val="20"/>
        </w:rPr>
        <w:t xml:space="preserve">(b) Within 450 days after the receipt of any Net Proceeds of any Asset Sale, the applicable Restricted Party, at its option, may apply the Net Proceeds from such Asset Sale: </w:t>
      </w:r>
    </w:p>
    <w:p>
      <w:pPr>
        <w:pStyle w:val="TextBody"/>
        <w:bidi w:val="0"/>
        <w:spacing w:before="120" w:after="0"/>
        <w:jc w:val="left"/>
        <w:rPr>
          <w:rFonts w:ascii="Times New Roman" w:hAnsi="Times New Roman"/>
          <w:sz w:val="20"/>
        </w:rPr>
      </w:pPr>
      <w:r>
        <w:rPr>
          <w:rFonts w:ascii="Times New Roman" w:hAnsi="Times New Roman"/>
          <w:sz w:val="20"/>
        </w:rPr>
        <w:t xml:space="preserve">(1) to permanently reduce Indebtedness of a Restricted Party that is not a Guarantor, other than Indebtedness owed to the Company or another Restricted Party; </w:t>
      </w:r>
    </w:p>
    <w:p>
      <w:pPr>
        <w:pStyle w:val="TextBody"/>
        <w:bidi w:val="0"/>
        <w:spacing w:before="120" w:after="0"/>
        <w:jc w:val="left"/>
        <w:rPr>
          <w:rFonts w:ascii="Times New Roman" w:hAnsi="Times New Roman"/>
          <w:sz w:val="20"/>
        </w:rPr>
      </w:pPr>
      <w:r>
        <w:rPr>
          <w:rFonts w:ascii="Times New Roman" w:hAnsi="Times New Roman"/>
          <w:sz w:val="20"/>
        </w:rPr>
        <w:t xml:space="preserve">(2) to make Restricted Payments to any of its Affiliates (a) in the ordinary course of its business, (b) in connection with intercompany cash management or similar arrangements or (c) in connection with any Permitted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(3) to make (a) an Investment in any one or more businesses; </w:t>
      </w:r>
      <w:r>
        <w:rPr>
          <w:rFonts w:ascii="Times New Roman" w:hAnsi="Times New Roman"/>
          <w:i/>
          <w:sz w:val="20"/>
        </w:rPr>
        <w:t xml:space="preserve">provided </w:t>
      </w:r>
      <w:r>
        <w:rPr>
          <w:rFonts w:ascii="Times New Roman" w:hAnsi="Times New Roman"/>
          <w:sz w:val="20"/>
        </w:rPr>
        <w:t xml:space="preserve">that such Investment in any business is in the form of the acquisition of Capital Stock that results in a Restricted Party owning an amount of the Capital Stock of such business such that it constitutes a Restricted Party or increases the Restricted Parties’ direct or indirect percentage ownership of the Capital Stock of a Restricted Party, (b) capital expenditures or (c) acquisitions of other assets, in the case of each of (a), (b) and (c), used or useful in a Similar Business; </w:t>
      </w:r>
      <w:r>
        <w:rPr>
          <w:rFonts w:ascii="Times New Roman" w:hAnsi="Times New Roman"/>
          <w:i/>
          <w:sz w:val="20"/>
        </w:rPr>
        <w:t xml:space="preserve">provided </w:t>
      </w:r>
      <w:r>
        <w:rPr>
          <w:rFonts w:ascii="Times New Roman" w:hAnsi="Times New Roman"/>
          <w:sz w:val="20"/>
        </w:rPr>
        <w:t xml:space="preserve">that the assets (including Capital Stock) acquired with the Net Proceeds of a disposition of Collateral are pledged as Collateral to the extent required under the Security Documents; or </w:t>
      </w:r>
    </w:p>
    <w:p>
      <w:pPr>
        <w:pStyle w:val="TextBody"/>
        <w:bidi w:val="0"/>
        <w:spacing w:before="120" w:after="0"/>
        <w:jc w:val="left"/>
        <w:rPr>
          <w:rFonts w:ascii="Times New Roman" w:hAnsi="Times New Roman"/>
          <w:sz w:val="20"/>
        </w:rPr>
      </w:pPr>
      <w:r>
        <w:rPr>
          <w:rFonts w:ascii="Times New Roman" w:hAnsi="Times New Roman"/>
          <w:sz w:val="20"/>
        </w:rPr>
        <w:t xml:space="preserve">(4) to make an Investment in (a) any one or more businesses; </w:t>
      </w:r>
      <w:r>
        <w:rPr>
          <w:rFonts w:ascii="Times New Roman" w:hAnsi="Times New Roman"/>
          <w:i/>
          <w:sz w:val="20"/>
        </w:rPr>
        <w:t xml:space="preserve">provided </w:t>
      </w:r>
      <w:r>
        <w:rPr>
          <w:rFonts w:ascii="Times New Roman" w:hAnsi="Times New Roman"/>
          <w:sz w:val="20"/>
        </w:rPr>
        <w:t xml:space="preserve">that such Investment in any business is in the form of the acquisition of Capital Stock that results in the applicable Restricted Party owning an amount of the Capital Stock of such business such that it constitutes a Restricted Party or increases the Restricted Parties’ direct or indirect percentage ownership of the Capital Stock of a Restricted Party, (b) properties or (c) acquisitions of other assets that, in the case of each of (a), (b) and (c), replace the businesses, properties or assets that are the subject of such Asset Sale; </w:t>
      </w:r>
      <w:r>
        <w:rPr>
          <w:rFonts w:ascii="Times New Roman" w:hAnsi="Times New Roman"/>
          <w:i/>
          <w:sz w:val="20"/>
        </w:rPr>
        <w:t xml:space="preserve">provided </w:t>
      </w:r>
      <w:r>
        <w:rPr>
          <w:rFonts w:ascii="Times New Roman" w:hAnsi="Times New Roman"/>
          <w:sz w:val="20"/>
        </w:rPr>
        <w:t xml:space="preserve">that the assets (including Capital Stock) acquired with the Net Proceeds of a disposition of Collateral are pledged as Collateral to the extent required under the Security Documents; </w:t>
      </w:r>
      <w:r>
        <w:rPr>
          <w:rFonts w:ascii="Times New Roman" w:hAnsi="Times New Roman"/>
          <w:i/>
          <w:sz w:val="20"/>
        </w:rPr>
        <w:t xml:space="preserve">provided </w:t>
      </w:r>
      <w:r>
        <w:rPr>
          <w:rFonts w:ascii="Times New Roman" w:hAnsi="Times New Roman"/>
          <w:sz w:val="20"/>
        </w:rPr>
        <w:t>that, in the case of clauses (2) and (3) above, a binding commitment entered into not later than such 450th day shall extend the period for such Investment or other payment for an additional 180 days after the end of such 450-day period so long as the applicable Restricted Party enters into such commitment with the good faith expectation that such Net Proceeds will be applied to satisfy such commitment within 180 days of such commitment (an “</w:t>
      </w:r>
      <w:r>
        <w:rPr>
          <w:rFonts w:ascii="Times New Roman" w:hAnsi="Times New Roman"/>
          <w:i/>
          <w:sz w:val="20"/>
        </w:rPr>
        <w:t>Acceptable Commitment</w:t>
      </w:r>
      <w:r>
        <w:rPr>
          <w:rFonts w:ascii="Times New Roman" w:hAnsi="Times New Roman"/>
          <w:sz w:val="20"/>
        </w:rPr>
        <w:t>”) and, in the event any Acceptable Commitment is later cancelled or terminated for any reason before the Net Proceeds are applied in connection therewith, the applicable Restricted Party enters into another Acceptable Commitment (a “</w:t>
      </w:r>
      <w:r>
        <w:rPr>
          <w:rFonts w:ascii="Times New Roman" w:hAnsi="Times New Roman"/>
          <w:i/>
          <w:sz w:val="20"/>
        </w:rPr>
        <w:t>Second Commitment</w:t>
      </w:r>
      <w:r>
        <w:rPr>
          <w:rFonts w:ascii="Times New Roman" w:hAnsi="Times New Roman"/>
          <w:sz w:val="20"/>
        </w:rPr>
        <w:t xml:space="preserve">”) within such 180-day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the foregoing: </w:t>
      </w:r>
    </w:p>
    <w:p>
      <w:pPr>
        <w:pStyle w:val="TextBody"/>
        <w:bidi w:val="0"/>
        <w:spacing w:before="120" w:after="0"/>
        <w:jc w:val="left"/>
        <w:rPr>
          <w:rFonts w:ascii="Times New Roman" w:hAnsi="Times New Roman"/>
          <w:sz w:val="20"/>
        </w:rPr>
      </w:pPr>
      <w:r>
        <w:rPr>
          <w:rFonts w:ascii="Times New Roman" w:hAnsi="Times New Roman"/>
          <w:sz w:val="20"/>
        </w:rPr>
        <w:t>(1) the Restricted Parties may not consummate any Asset Sale that would result in the sale of assets (in the aggregate since the Issue Date) contributing in excess of 17.5% of EBITDA of the Restricted Group (measured at the time of the consummation of any Asset Sale) to Persons that are not Affiliates of Sabre (the “</w:t>
      </w:r>
      <w:r>
        <w:rPr>
          <w:rFonts w:ascii="Times New Roman" w:hAnsi="Times New Roman"/>
          <w:i/>
          <w:sz w:val="20"/>
        </w:rPr>
        <w:t>Specified Asset Sale Limitation</w:t>
      </w:r>
      <w:r>
        <w:rPr>
          <w:rFonts w:ascii="Times New Roman" w:hAnsi="Times New Roman"/>
          <w:sz w:val="20"/>
        </w:rPr>
        <w:t xml:space="preserve">”). The Specified Asset Sale Limitation shall not apply to any Permitted Asset Swap or any Asset Sale the proceeds of which are initially reinvested in the Restricted Group; and </w:t>
      </w:r>
    </w:p>
    <w:p>
      <w:pPr>
        <w:pStyle w:val="TextBody"/>
        <w:bidi w:val="0"/>
        <w:spacing w:before="120" w:after="0"/>
        <w:jc w:val="left"/>
        <w:rPr>
          <w:rFonts w:ascii="Times New Roman" w:hAnsi="Times New Roman"/>
          <w:sz w:val="20"/>
        </w:rPr>
      </w:pPr>
      <w:r>
        <w:rPr>
          <w:rFonts w:ascii="Times New Roman" w:hAnsi="Times New Roman"/>
          <w:sz w:val="20"/>
        </w:rPr>
        <w:t xml:space="preserve">(2) to the extent that the terms of any Indebtedness of Sabre GLBL requires that such Indebtedness be prepaid with the Net Proceeds of Asset Sales, the Restricted Parties shall be entitled to distribute the Net Proceeds of any Asset Sale so required to prepay such Indebtedness to Sabre GLBL, which Net Proceeds shall promptly be used to repay such other Indebtedness. </w:t>
      </w:r>
    </w:p>
    <w:p>
      <w:pPr>
        <w:pStyle w:val="TextBody"/>
        <w:bidi w:val="0"/>
        <w:spacing w:before="240" w:after="0"/>
        <w:jc w:val="left"/>
        <w:rPr>
          <w:rFonts w:ascii="Times New Roman" w:hAnsi="Times New Roman"/>
          <w:sz w:val="20"/>
        </w:rPr>
      </w:pPr>
      <w:r>
        <w:rPr>
          <w:rFonts w:ascii="Times New Roman" w:hAnsi="Times New Roman"/>
          <w:sz w:val="20"/>
        </w:rPr>
        <w:t>(d) If and to the extent the New Intercompany Loan requires Sabre GLBL to offer to prepay any loans thereunder, the Company shall make an offer to all Holders of the Notes (an “</w:t>
      </w:r>
      <w:r>
        <w:rPr>
          <w:rFonts w:ascii="Times New Roman" w:hAnsi="Times New Roman"/>
          <w:i/>
          <w:sz w:val="20"/>
        </w:rPr>
        <w:t>Asset Sale Offer</w:t>
      </w:r>
      <w:r>
        <w:rPr>
          <w:rFonts w:ascii="Times New Roman" w:hAnsi="Times New Roman"/>
          <w:sz w:val="20"/>
        </w:rPr>
        <w:t xml:space="preserve">”), to purchase the maximum aggregate principal amount of the Notes that is in an amount equal to at least $2,000 that may be purchased with such Excess Proceeds (as defined in the New Intercompany Loan) at an offer price in cash in an amount equal to 100% of the principal amount thereof (or accreted value thereof, if less), plus accrued and unpaid interest, if any, to, but excluding, the date fixed for the closing of such offer, in accordance with the procedures set forth in this Indenture and the New Intercompany Loan. The Company will commence an Asset Sale Offer with respect to such Excess Proceeds within two Business Days after the date that the corresponding offer is required to be commenced under the New Intercompany Loan by delivering the notice required pursuant to the terms of this Indenture, with a copy to the Trustee. The Company may satisfy the foregoing obligations by making an Asset Sale Offer with respect to such Net Proceeds prior to the expiration of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(e) Upon completion of any such Asset Sale Offer, the amount of Excess Proceeds that resulted in the Asset Sale Offer shall be reset to zero. </w:t>
      </w:r>
    </w:p>
    <w:p>
      <w:pPr>
        <w:pStyle w:val="TextBody"/>
        <w:bidi w:val="0"/>
        <w:spacing w:before="240" w:after="0"/>
        <w:jc w:val="left"/>
        <w:rPr>
          <w:rFonts w:ascii="Times New Roman" w:hAnsi="Times New Roman"/>
          <w:sz w:val="20"/>
        </w:rPr>
      </w:pPr>
      <w:r>
        <w:rPr>
          <w:rFonts w:ascii="Times New Roman" w:hAnsi="Times New Roman"/>
          <w:sz w:val="20"/>
        </w:rPr>
        <w:t xml:space="preserve">(f) Pending the final application of any Net Proceeds pursuant to this covenant, the applicable Restricted Party may apply such Net Proceeds temporarily to reduce Indebtedness outstanding under a revolving credit facility or otherwise use or invest such Net Proceeds in any manner not prohibited by this Indenture. The Company will comply with the requirements of Rule 14e-1 under the Exchange Act and any other securities laws and regulations thereunder to the extent such laws or regulations are applicable in connection with the repurchase of the Notes pursuant to an Asset Sale Offer. To the extent that the provisions of any securities laws or regulations conflict with the provisions of this Indenture, the Company will comply with the applicable securities laws and regulations and shall not be deemed to have breached its obligations under this Indenture by virtue of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under this Indenture relative to the Company’s obligation to make an offer to repurchase the Notes as a result of an Asset Sale may be waived or modified with the written consent of the Holders of a majority in principal amount of the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4.1</w:t>
      </w:r>
      <w:r>
        <w:rPr>
          <w:rFonts w:ascii="Times New Roman" w:hAnsi="Times New Roman"/>
          <w:i/>
          <w:sz w:val="20"/>
        </w:rPr>
        <w:t>1 Transactions with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Restricted Parties will not, and will not permit any of their respective Restricted Subsidiaries to, make any payment to, or sell, lease, transfer or otherwise dispose of any of its properties or assets to, or purchase any property or assets from, or enter into or make or amend any transaction or series of related transactions, contract, agreement, understanding, loan, advance or guarantee with, or for the benefit of, any Affiliate of such Restricted Party (each of the foregoing, an “</w:t>
      </w:r>
      <w:r>
        <w:rPr>
          <w:rFonts w:ascii="Times New Roman" w:hAnsi="Times New Roman"/>
          <w:i/>
          <w:sz w:val="20"/>
        </w:rPr>
        <w:t>Affiliate Transaction</w:t>
      </w:r>
      <w:r>
        <w:rPr>
          <w:rFonts w:ascii="Times New Roman" w:hAnsi="Times New Roman"/>
          <w:sz w:val="20"/>
        </w:rPr>
        <w:t xml:space="preserve">”) involving aggregate payments or consideration in excess of $10,000,000, unless: </w:t>
      </w:r>
    </w:p>
    <w:p>
      <w:pPr>
        <w:pStyle w:val="TextBody"/>
        <w:bidi w:val="0"/>
        <w:spacing w:before="120" w:after="0"/>
        <w:jc w:val="left"/>
        <w:rPr>
          <w:rFonts w:ascii="Times New Roman" w:hAnsi="Times New Roman"/>
          <w:sz w:val="20"/>
        </w:rPr>
      </w:pPr>
      <w:r>
        <w:rPr>
          <w:rFonts w:ascii="Times New Roman" w:hAnsi="Times New Roman"/>
          <w:sz w:val="20"/>
        </w:rPr>
        <w:t xml:space="preserve">(1) such Affiliate Transaction is on terms that are not materially less favorable to the Restricted Party than those that would have been obtained in a comparable transaction by the Restricted Party with an unrelated Person on an arm’s-length basis; and </w:t>
      </w:r>
    </w:p>
    <w:p>
      <w:pPr>
        <w:pStyle w:val="TextBody"/>
        <w:bidi w:val="0"/>
        <w:spacing w:before="120" w:after="0"/>
        <w:jc w:val="left"/>
        <w:rPr>
          <w:rFonts w:ascii="Times New Roman" w:hAnsi="Times New Roman"/>
          <w:sz w:val="20"/>
        </w:rPr>
      </w:pPr>
      <w:r>
        <w:rPr>
          <w:rFonts w:ascii="Times New Roman" w:hAnsi="Times New Roman"/>
          <w:sz w:val="20"/>
        </w:rPr>
        <w:t xml:space="preserve">(2) the Company delivers to the Trustee with respect to any Affiliate Transaction or series of related Affiliate Transactions involving aggregate payments or consideration in excess of $75,000,000, a resolution adopted by the majority of the board of directors (or by a similar governing body) of the Company approving such Affiliate Transaction and set forth in an Officer’s Certificate certifying that such Affiliate Transaction complies with clause (1) above.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Section 4.11(a) hereof will not apply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transactions between or among any Restricted Parties or any entity that becomes a Restricted Party as a result of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(2) Restricted Payments permitted by the provisions of Section 4.07 hereof and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(3) transactions between any Restricted Party to any of its Affiliates (a) in the ordinary course of its business, (b) in connection with intercompany cash management arrangements or (c) in connection with any Permitted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(4) the payment of reasonable and customary fees and compensation paid to, and indemnities and reimbursements and employment and severance arrangements provided on behalf of or for the benefit of, current or former employees, directors, officers, managers, distributors or consultants of the Restricted Parties (to the extent attributable to the ownership of the Restricted Parties and related activities); </w:t>
      </w:r>
    </w:p>
    <w:p>
      <w:pPr>
        <w:pStyle w:val="TextBody"/>
        <w:bidi w:val="0"/>
        <w:spacing w:before="120" w:after="0"/>
        <w:jc w:val="left"/>
        <w:rPr>
          <w:rFonts w:ascii="Times New Roman" w:hAnsi="Times New Roman"/>
          <w:sz w:val="20"/>
        </w:rPr>
      </w:pPr>
      <w:r>
        <w:rPr>
          <w:rFonts w:ascii="Times New Roman" w:hAnsi="Times New Roman"/>
          <w:sz w:val="20"/>
        </w:rPr>
        <w:t xml:space="preserve">(5) transactions in which the applicable Restricted Party delivers to the Trustee a letter from an Independent Financial Advisor stating that such transaction is fair to such Restricted Party from a financial point of view or stating that the terms are not materially less favorable to such Restricted Party than those that would have been obtained in a comparable transaction by such Restricted Party with an unrelated Person on an arm’s-length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any agreement as in effect as of the Issue Date, or any amendment thereto or replacement thereof (so long as any such amendment or replacement is not disadvantageous in any material respect, in the good faith judgment of the board of directors (or a similar governing body) of the Company to the Holders when taken as a whole as compared to the applicable agreement as in effect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(7) the existence of, or the performance by a Restricted Party of its obligations under the terms of, any stockholders agreement (including any registration rights agreement or purchase agreement related thereto) to which it is a party as of the Issue Date and any similar agreements which it may enter into thereafter; </w:t>
      </w:r>
      <w:r>
        <w:rPr>
          <w:rFonts w:ascii="Times New Roman" w:hAnsi="Times New Roman"/>
          <w:i/>
          <w:sz w:val="20"/>
        </w:rPr>
        <w:t>provided</w:t>
      </w:r>
      <w:r>
        <w:rPr>
          <w:rFonts w:ascii="Times New Roman" w:hAnsi="Times New Roman"/>
          <w:sz w:val="20"/>
        </w:rPr>
        <w:t xml:space="preserve"> that the existence of, or the performance by such Restricted Party of obligations under any future amendment to any such existing agreement or under any similar agreement entered into after the Issue Date shall only be permitted by this clause (7) to the extent that the terms of any such amendment or new agreement are not otherwise disadvantageous in any material respect to the Holders or otherwise customary, in the good faith judgment of the board of directors (or a similar governing body) of the Company when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(8) transactions with customers, clients, suppliers, contractors, joint venture partners or purchasers or sellers of goods or services that are Affiliates, in each case in the ordinary course of business and otherwise in compliance with the terms of this Indenture which are fair to the Restricted Parties, in the reasonable determination of the board of directors (or a similar governing body) of the Company or the senior management thereof, or are on terms at least as favorable as might reasonably have been obtained at such time from an unaffiliated party; </w:t>
      </w:r>
    </w:p>
    <w:p>
      <w:pPr>
        <w:pStyle w:val="TextBody"/>
        <w:bidi w:val="0"/>
        <w:spacing w:before="120" w:after="0"/>
        <w:jc w:val="left"/>
        <w:rPr>
          <w:rFonts w:ascii="Times New Roman" w:hAnsi="Times New Roman"/>
          <w:sz w:val="20"/>
        </w:rPr>
      </w:pPr>
      <w:r>
        <w:rPr>
          <w:rFonts w:ascii="Times New Roman" w:hAnsi="Times New Roman"/>
          <w:sz w:val="20"/>
        </w:rPr>
        <w:t xml:space="preserve">(9) transactions with a Person (other than an Unrestricted Subsidiary) that is an Affiliate of a Restricted Party solely because a Restricted Party owns, directly or indirectly through an Unrestricted Subsidiary, an Equity Interest in or controls such Person; </w:t>
      </w:r>
    </w:p>
    <w:p>
      <w:pPr>
        <w:pStyle w:val="TextBody"/>
        <w:bidi w:val="0"/>
        <w:spacing w:before="120" w:after="0"/>
        <w:jc w:val="left"/>
        <w:rPr>
          <w:rFonts w:ascii="Times New Roman" w:hAnsi="Times New Roman"/>
          <w:sz w:val="20"/>
        </w:rPr>
      </w:pPr>
      <w:r>
        <w:rPr>
          <w:rFonts w:ascii="Times New Roman" w:hAnsi="Times New Roman"/>
          <w:sz w:val="20"/>
        </w:rPr>
        <w:t xml:space="preserve">(10) the issuance of Equity Interests (other than Disqualified Stock) of Sabre Financing, the Polish Guarantor or Lux Parent to any direct or indirect parent company thereof or to any Permitted Holder or to any employee, director, officer, manager, distributor or consultant (or their respective Controlled Investment Affiliates or Immediate Family Members) of the Restricted Parties or any of their respective direct or indirect parent companies; </w:t>
      </w:r>
    </w:p>
    <w:p>
      <w:pPr>
        <w:pStyle w:val="TextBody"/>
        <w:bidi w:val="0"/>
        <w:spacing w:before="120" w:after="0"/>
        <w:jc w:val="left"/>
        <w:rPr>
          <w:rFonts w:ascii="Times New Roman" w:hAnsi="Times New Roman"/>
          <w:sz w:val="20"/>
        </w:rPr>
      </w:pPr>
      <w:r>
        <w:rPr>
          <w:rFonts w:ascii="Times New Roman" w:hAnsi="Times New Roman"/>
          <w:sz w:val="20"/>
        </w:rPr>
        <w:t xml:space="preserve">(11) transfers of accounts receivable, or participations therein, or Securitization Assets or related assets in connection with any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(12) [reserved]; </w:t>
      </w:r>
    </w:p>
    <w:p>
      <w:pPr>
        <w:pStyle w:val="TextBody"/>
        <w:bidi w:val="0"/>
        <w:spacing w:before="120" w:after="0"/>
        <w:jc w:val="left"/>
        <w:rPr>
          <w:rFonts w:ascii="Times New Roman" w:hAnsi="Times New Roman"/>
          <w:sz w:val="20"/>
        </w:rPr>
      </w:pPr>
      <w:r>
        <w:rPr>
          <w:rFonts w:ascii="Times New Roman" w:hAnsi="Times New Roman"/>
          <w:sz w:val="20"/>
        </w:rPr>
        <w:t xml:space="preserve">(13) payments, Indebtedness and Disqualified Stock (and cancellation of any thereof) of the Restricted Parties and Preferred Stock (and cancellation of any thereof) of any of their Restricted Subsidiaries to any future, current or former employee, director, officer, manager or consultant (or their respective Controlled Investment Affiliates or Immediate Family Members) of the Restricted Party, any of its Subsidiaries or any of its direct or indirect parent companies pursuant to any management equity plan or stock option plan or any other management or employee benefit plan or agreement or any stock subscription or shareholder agreement; and any employment agreements,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plans and other compensatory arrangements (and any successor plans thereto) and any supplemental executive retirement benefit plans or arrangements with any such employees, directors, officers, managers or consultants (or their respective Controlled Investment Affiliates or Immediate Family Members) that are, in each case, approved by the board of directors (or a similar governing body) of the Company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(14) [reserved]; </w:t>
      </w:r>
    </w:p>
    <w:p>
      <w:pPr>
        <w:pStyle w:val="TextBody"/>
        <w:bidi w:val="0"/>
        <w:spacing w:before="120" w:after="0"/>
        <w:jc w:val="left"/>
        <w:rPr>
          <w:rFonts w:ascii="Times New Roman" w:hAnsi="Times New Roman"/>
          <w:sz w:val="20"/>
        </w:rPr>
      </w:pPr>
      <w:r>
        <w:rPr>
          <w:rFonts w:ascii="Times New Roman" w:hAnsi="Times New Roman"/>
          <w:sz w:val="20"/>
        </w:rPr>
        <w:t xml:space="preserve">(15) payments to or from, and transactions with, any joint venture in the ordinary course of business (including, without limitation, any cash management activities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(16)(a) tax sharing agreements among one or more of the Restricted Parties, their respective Subsidiaries, their direct or indirect parent and such parent’s other Subsidiaries and payments thereunder by one or more of the Restricted Parties and their respective Subsidiaries on customary terms to the extent attributable to the ownership and operations of the Restricted Parties and their respective Subsidiaries and (b) transactions undertaken in good faith (as certified by the Company in an Officer’s Certificate) for the purposes of improving the consolidated tax efficiency of the Restricted Parties and their respective Subsidiaries; </w:t>
      </w:r>
    </w:p>
    <w:p>
      <w:pPr>
        <w:pStyle w:val="TextBody"/>
        <w:bidi w:val="0"/>
        <w:spacing w:before="120" w:after="0"/>
        <w:jc w:val="left"/>
        <w:rPr>
          <w:rFonts w:ascii="Times New Roman" w:hAnsi="Times New Roman"/>
          <w:sz w:val="20"/>
        </w:rPr>
      </w:pPr>
      <w:r>
        <w:rPr>
          <w:rFonts w:ascii="Times New Roman" w:hAnsi="Times New Roman"/>
          <w:sz w:val="20"/>
        </w:rPr>
        <w:t xml:space="preserve">(17) any lease or sublease entered into between any Restricted Party, as lessee or sublessee and any Affiliate of any Restricted Party, as lessor or sublessor, which is approved by a majority of the disinterested members of the board of directors (or a similar governing body) of the Company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(18) intellectual property licenses or sublicenses (including the provision of software under an open-source license)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(19) any transition services arrangement, supply arrangement or similar arrangement entered into in connection with or in contemplation of the disposition of assets or Equity Interests in any Restricted Party permitted under Section 4.10 or entered into with any Business Successor, in each case, that the Company determines in good faith is either fair to the Restricted Parties, taken as a whole, or otherwise on customary terms for such type of arrangements in connection with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i/>
          <w:sz w:val="20"/>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Sabre Financing, the Company, the Polish Guarantor and Lux Parent will not, and will not permit any other Guarantor to, directly or indirectly, create, incur, assume or permit to exist any Lien (except Permitted Liens) that secures Obligations under any Indebtedness or any related guarantee of Indebtedness, upon any asset or property of the Company or any Guarantor, whether now owned or hereafter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4.13 </w:t>
      </w:r>
      <w:r>
        <w:rPr>
          <w:rFonts w:ascii="Times New Roman" w:hAnsi="Times New Roman"/>
          <w:i/>
          <w:sz w:val="20"/>
        </w:rPr>
        <w:t>Limitation on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Sabre Financing shall conduct, transact or otherwise engage in any business or operations other than (i) those incidental to its ownership of the Equity Interests of its subsidiaries, (ii) the maintenance of its legal existence and general operating (including the ability to incur fees, costs and expenses relating to such maintenance and general operating including professional fees for legal, tax and accounting issues), (iii) the performance of its obligations, including the incurrence, and performance in respect, of guarantees and other liabilities, with respect to the Notes, (iv) any public offering of its common stock or any other issuance of its Equity Interests or any corporate transaction permitted under this Indenture, (v) financing activities, including, without limitation, Credit Facilities, the issuance of securities, incurrence of debt, payment of dividends, making contributions to the capital of its Subsidiaries and guaranteeing any Indebtedness, liabilities or other obligations of its Subsidiaries or its direct or indirect parent companies and the performance of its obligations with respect thereto, (vi) participating in tax, accounting and other administrative matters as a member of the consolidated group of the Company or Sabre Financing or any direct or indirect parent of the Company and its Subsidiaries, (vii) holding any cash or property received from its subsidiaries pending its application thereof, (viii) providing indemnification to officers and directors, (ix) conducting, transacting or otherwise engaging in any business or operations of the type that it conducts, transacts or engages in on the Issue Date, (x) any transaction that it is permitted to enter into or consummate under this Indenture and any transaction between the Company and Sabre Financing or any Restricted Subsidiary permitted under this Indenture, including: (1) making any dividend or distribution or other transaction similar to a Restricted Payment not prohibited under Section 4.07 (or the making of a loan to any direct or indirect parent of the Company or Sabre Financing in lieu of any such dividend or distribution or other transaction similar to a Restricted Payment) or holding any cash received in connection with Restricted Payments permitted under this Indenture pending its application thereof, (2) making any Investment to the extent (A) payment therefor is made solely with the Equity Interests of Sabre Financing (other than Disqualified Stock), the proceeds of Restricted Payments received from its subsidiaries and/or proceeds of the issuance of, or contribution in respect of the, Equity Interests (other than Disqualified Stock) of the Company or Sabre Financing and (B) any property (including Equity Interests ) acquired in connection therewith is contributed to the Company or a Guarantor (or, if otherwise permitted by this Indenture, a Restricted Subsidiary) or the Person formed or acquired in connection therewith is merged with Sabre Financing or any Restricted Subsidiary of Sabre Financing, (3) the (A) incurrence of Indebtedness of the Company or Sabre Financing representing deferred compensation to its employees, consultants or independent contractors and unsecured Indebtedness consisting of promissory notes issued by the Company or any Guarantor to current or former officers, managers, consultants, directors and employees (or their respective Controlled Investment Affiliates or Immediate Family Members) to finance the retirement, acquisition, repurchase, purchase or redemption of Equity Interests of the Company or Sabre Financing, and (B) granting of Liens to the extent the Indebtedness secured thereby is permitted to be secured under the definition of “Permitted Liens”, and (4) engaging in any consolidation, amalgamation or merger or sale, assignment, transfer, lease, conveyance or other disposition of all or substantially all of its consolidated properties or assets to the extent permitted under Article 5 hereof and (xi) activities incidental to the businesses or activities described in the foregoing clauses (i) through (x); provided that, notwithstanding the foregoing, Sabre Financing shall not create or acquire (by way of merger, consolidation or otherwise) any material direct Subsidiaries, other than the Company or any holding company for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4.14 </w:t>
      </w:r>
      <w:r>
        <w:rPr>
          <w:rFonts w:ascii="Times New Roman" w:hAnsi="Times New Roman"/>
          <w:i/>
          <w:sz w:val="20"/>
        </w:rPr>
        <w:t>Corporate 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Article 5 hereof, each of the Restricted Parties shall do or cause to be done all things necessary to preserve and keep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 its corporate existence, and the corporate, partnership or other existence of each of its Subsidiaries, in accordance with the respective organizational documents (as the same may be amended from time to time) of such Restricted Party or any such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(2) the rights (charter and statutory), licenses and franchises of the Restricted Parties and their respective Subsidiaries;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in the case clauses (1) and (2) above, that none of the Restricted Parties shall be required to preserve any such right, license or franchise, or the corporate, partnership or other existence of any of their Subsidiaries, if such Restricted Party shall determine that the preservation thereof is no longer desirable in the conduct of the business of such Restricted Party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i/>
          <w:sz w:val="20"/>
        </w:rPr>
        <w:t>Offer to Repurchase Upon Change of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occurrence of a Change of Control, unless the Company has previously or concurrently delivered a redemption notice with respect to all the outstanding Notes as described under Section 3.07 hereof and all conditions precedent applicable to such redemption notice have been satisfied, the Company will make an offer to purchase all of the Notes pursuant to the offer described below (the “</w:t>
      </w:r>
      <w:r>
        <w:rPr>
          <w:rFonts w:ascii="Times New Roman" w:hAnsi="Times New Roman"/>
          <w:i/>
          <w:sz w:val="20"/>
        </w:rPr>
        <w:t>Change of Control Offer</w:t>
      </w:r>
      <w:r>
        <w:rPr>
          <w:rFonts w:ascii="Times New Roman" w:hAnsi="Times New Roman"/>
          <w:sz w:val="20"/>
        </w:rPr>
        <w:t>”) at a price in cash (the “</w:t>
      </w:r>
      <w:r>
        <w:rPr>
          <w:rFonts w:ascii="Times New Roman" w:hAnsi="Times New Roman"/>
          <w:i/>
          <w:sz w:val="20"/>
        </w:rPr>
        <w:t>Change of Control Payment</w:t>
      </w:r>
      <w:r>
        <w:rPr>
          <w:rFonts w:ascii="Times New Roman" w:hAnsi="Times New Roman"/>
          <w:sz w:val="20"/>
        </w:rPr>
        <w:t xml:space="preserve">”) equal to 101% of the aggregate principal amount thereof plus accrued and unpaid interest, if any, to, but excluding, the date of purchase, subject to the right of Holders of the Notes of record on the relevant record date to receive interest due on the relevant interest payment date. Within 30 days following any Change of Control, the Company will deliver notice of such Change of Control Offer by electronic transmission or by first-class mail, with a copy to the Trustee, to each Holder of Notes to the address of such Holder appearing in the security register or otherwise in accordance with applicable procedures, with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Offer is being made pursuant to this Section 4.15 and that all Notes properly tendered pursuant to such Change of Control Offer will be accepted for payment by the Company; </w:t>
      </w:r>
    </w:p>
    <w:p>
      <w:pPr>
        <w:pStyle w:val="TextBody"/>
        <w:bidi w:val="0"/>
        <w:spacing w:before="120" w:after="0"/>
        <w:jc w:val="left"/>
        <w:rPr>
          <w:rFonts w:ascii="Times New Roman" w:hAnsi="Times New Roman"/>
          <w:sz w:val="20"/>
        </w:rPr>
      </w:pPr>
      <w:r>
        <w:rPr>
          <w:rFonts w:ascii="Times New Roman" w:hAnsi="Times New Roman"/>
          <w:sz w:val="20"/>
        </w:rPr>
        <w:t>(2) the purchase price and the purchase date, which will be no earlier than 10 days nor later than 60 days from the date such notice is delivered (the “</w:t>
      </w:r>
      <w:r>
        <w:rPr>
          <w:rFonts w:ascii="Times New Roman" w:hAnsi="Times New Roman"/>
          <w:i/>
          <w:sz w:val="20"/>
        </w:rPr>
        <w:t>Change of Control Payment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that any Note not properly tendered will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Company defaults in the payment of the Change of Control Payment, all Notes accepted for payment pursuant to the Change of Control Offer will cease to accrue interest on the Change of Control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that Holders electing to have any Notes purchased pursuant to a Change of Control Offer will be 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Holders will be entitled to withdraw their tendered Notes and their election to require the Company to purchase such Notes; provided that the paying agent receives, not later than the close of business on the expiration date of the Change of Control Offer, a facsimile transmission, electronic transmission or letter setting forth the name of the Holder of the Notes, the principal amount of Notes tendered for purchase, and a statement that such Holder is withdrawing its tendered Notes and its election to have such Notes purchased; </w:t>
      </w:r>
    </w:p>
    <w:p>
      <w:pPr>
        <w:pStyle w:val="TextBody"/>
        <w:bidi w:val="0"/>
        <w:spacing w:before="120" w:after="0"/>
        <w:jc w:val="left"/>
        <w:rPr>
          <w:rFonts w:ascii="Times New Roman" w:hAnsi="Times New Roman"/>
          <w:sz w:val="20"/>
        </w:rPr>
      </w:pPr>
      <w:r>
        <w:rPr>
          <w:rFonts w:ascii="Times New Roman" w:hAnsi="Times New Roman"/>
          <w:sz w:val="20"/>
        </w:rPr>
        <w:t xml:space="preserve">(7) that Holders whose Notes are being purchased only in part will be issued new Notes and such new Notes will be equal in principal amount to the unpurchased portion of the Notes surrendered. The unpurchased portion of the Notes must be equal to at least $2,000 or any integral multiple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(8) if such notice is delivered prior to the occurrence of a Change of Control, stating that the Change of Control Offer is conditional on the occurrence of such Change of Control; and </w:t>
      </w:r>
    </w:p>
    <w:p>
      <w:pPr>
        <w:pStyle w:val="TextBody"/>
        <w:bidi w:val="0"/>
        <w:spacing w:before="120" w:after="0"/>
        <w:jc w:val="left"/>
        <w:rPr>
          <w:rFonts w:ascii="Times New Roman" w:hAnsi="Times New Roman"/>
          <w:sz w:val="20"/>
        </w:rPr>
      </w:pPr>
      <w:r>
        <w:rPr>
          <w:rFonts w:ascii="Times New Roman" w:hAnsi="Times New Roman"/>
          <w:sz w:val="20"/>
        </w:rPr>
        <w:t xml:space="preserve">(9) the other instructions, as determined by the Company, consistent with this Section 4.15, that a Holder must follow.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Indenture, the Company will comply with the applicable securities laws and regulations and shall not be deemed to have breached its obligations under this Indenture by virtue of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(c) On the Change of Control Payment Date, the Company will,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issued by it or portions thereof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Change of Control Payment in respect of all Notes or portions thereof so tendered;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for cancellation the Notes so accepted together with an Officer’s Certificate to the Trustee stating that such Notes or portions thereof have been tendered to and purchased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Paying Agent will promptly mail (but in any case not later than five days after the Change of Control Payment Date)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The Company will publicly announce the results of the Change of Control Offer on or as soon as practicable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not be required to make a Change of Control Offer following a Change of Control if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a Change of Control Offer may be made in advance of a Change of Control, conditional upon such Change of Control, if a definitive agreement is in place for the Change of Control at the time of making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i/>
          <w:sz w:val="20"/>
        </w:rPr>
        <w:t>Guarantor Coverage Test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Sabre Financing, the Company and the Sabre Foreign Guarantors shall ensure that at all times the aggregate gross assets and aggregate revenues of the Sabre Foreign Guarantors must exceed at least 65.0% of the consolidated gross assets and 65.0% of the aggregate revenue of the combined group (the “</w:t>
      </w:r>
      <w:r>
        <w:rPr>
          <w:rFonts w:ascii="Times New Roman" w:hAnsi="Times New Roman"/>
          <w:i/>
          <w:sz w:val="20"/>
        </w:rPr>
        <w:t>Restricted Group</w:t>
      </w:r>
      <w:r>
        <w:rPr>
          <w:rFonts w:ascii="Times New Roman" w:hAnsi="Times New Roman"/>
          <w:sz w:val="20"/>
        </w:rPr>
        <w:t>”) consisting of the Sabre Foreign Guarantors and their respective Restricted Subsidiaries, but excluding from such consolidated group, joint ventures, Sabre International LLC and Restricted Subsidiaries organized in India, Sweden, Germany, Mexico and France (but calculated (x) with respect to revenue, on an unconsolidated basis and (y) with respect to gross assets, excluding intercompany balance sheet items among members of the Restricted Group and investments in Subsidiaries) (the “</w:t>
      </w:r>
      <w:r>
        <w:rPr>
          <w:rFonts w:ascii="Times New Roman" w:hAnsi="Times New Roman"/>
          <w:i/>
          <w:sz w:val="20"/>
        </w:rPr>
        <w:t>Guarantor Coverage Test</w:t>
      </w:r>
      <w:r>
        <w:rPr>
          <w:rFonts w:ascii="Times New Roman" w:hAnsi="Times New Roman"/>
          <w:sz w:val="20"/>
        </w:rPr>
        <w:t xml:space="preserve">”), as determined on an annual basis based on the most recent annual financial statements delivered to the Trustee, commencing with the first full twelve-month period ending December 31 after the Issue Date, and on the last day of each twelve-month period thereafter, based on the most recent annual financial statements delivered to the Trustee pursuant to Section 4.03; </w:t>
      </w:r>
      <w:r>
        <w:rPr>
          <w:rFonts w:ascii="Times New Roman" w:hAnsi="Times New Roman"/>
          <w:i/>
          <w:sz w:val="20"/>
        </w:rPr>
        <w:t>provided</w:t>
      </w:r>
      <w:r>
        <w:rPr>
          <w:rFonts w:ascii="Times New Roman" w:hAnsi="Times New Roman"/>
          <w:sz w:val="20"/>
        </w:rPr>
        <w:t xml:space="preserve"> that failure to comply with the Guarantor Coverage Test will not constitute an Event of Default if the Company uses commercially reasonable efforts to procure that additional members of such combined group sufficient to satisfy the Guarantor Coverage Test become Sabre Foreign Guarantors in accordance with the Agreed Guarantee and Security Principles within one hundred twenty (120) calendar days after delivery of such financial statements (or such later date as agreed by the Trustee). Sabre Financing, the Company and the Sabre Foreign Guarantors need only perform their obligations under this Section 4.16 if it is not unlawful for each relevant person to become a Guarantor and each person becoming a Guarantor would not result in personal liability for that person’s directors or other management. Each of Sabre Financing, the Company and the Sabre Foreign Guarantors must use, and must procure that the relevant person uses, all reasonable endeavors lawfully available to avoid any such unlawfulness or personal liability. This includes agreeing to a limit on the amount guaranteed.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4.17 </w:t>
      </w:r>
      <w:r>
        <w:rPr>
          <w:rFonts w:ascii="Times New Roman" w:hAnsi="Times New Roman"/>
          <w:i/>
          <w:sz w:val="20"/>
        </w:rPr>
        <w:t>Future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Issue Date, any existing, newly formed or acquired Restricted Subsidiary of Sabre Financing or the Company (other than any Unrestricted Subsidiary or Excluded Subsidiary (as defined in the Security Documents)) shall, within 30 days from the date of its existence, formation or after such acquisition, as applicable, become a Guarantor of the Notes on the same terms and conditions as those set forth in this Indenture and applicable to the other Guarantors, execute a supplemental indenture substantially in the form of Exhibit D hereof (with such modifications as the Company may deem appropriate (including in respect of guarantee limitations)) and deliver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(b) The Luxembourg Guarantors and each Person that becomes a Guarantor shall also become a party to the applicable Security Documents and shall as promptly as practicable execute and deliver such security instruments, financing statements, mortgages, deeds of trust and other related real estate deliverables (in substantially the same form as those executed and delivered with respect to the Collateral on the Issue Date or on the date first delivered in the case of Collateral delivered after the Issue Date (to the extent, and substantially in the form, delivered on the Issue Date or the date first delivered, as applicable (but no greater scope)) as may be necessary to vest in the Collateral Agent a perfected first-priority security interest (subject to Permitted Liens) in properties and assets that constitute Collateral, as security for such Guarantor’s Guarantee and as may be necessary to have such property or assets added to the Collateral as required under the Security Documents and this Indenture in each case, subject to the Agreed Guarantee and Security Principles, foreign legal reservations, perfection requirements, customary exceptions and the exceptions and limitations set forth in this Indenture and the Security Documents (including exceptions with respect to Excluded Assets) (as defined in the Security Agreement), and thereupon all provisions of this Indenture relating to the Collateral shall be deemed to relate to such properties and assets to the same extent and with the same force and effect. </w:t>
      </w:r>
    </w:p>
    <w:p>
      <w:pPr>
        <w:pStyle w:val="TextBody"/>
        <w:bidi w:val="0"/>
        <w:spacing w:before="240" w:after="0"/>
        <w:jc w:val="left"/>
        <w:rPr>
          <w:rFonts w:ascii="Times New Roman" w:hAnsi="Times New Roman"/>
          <w:sz w:val="20"/>
        </w:rPr>
      </w:pPr>
      <w:r>
        <w:rPr>
          <w:rFonts w:ascii="Times New Roman" w:hAnsi="Times New Roman"/>
          <w:sz w:val="20"/>
        </w:rPr>
        <w:t>(c) As promptly as practicable following the Issue Date, and in any event, no later than 120 days after the Issue Date (the “</w:t>
      </w:r>
      <w:r>
        <w:rPr>
          <w:rFonts w:ascii="Times New Roman" w:hAnsi="Times New Roman"/>
          <w:i/>
          <w:sz w:val="20"/>
        </w:rPr>
        <w:t>Post-Closing Assumption Date</w:t>
      </w:r>
      <w:r>
        <w:rPr>
          <w:rFonts w:ascii="Times New Roman" w:hAnsi="Times New Roman"/>
          <w:sz w:val="20"/>
        </w:rPr>
        <w:t xml:space="preserve">”), each Post-Closing Guarantor shall use commercially reasonable efforts to, and the Company shall use commercially reasonable efforts to cause each Post-Closing Guarantor to, execute and deliver a supplemental indenture in the form of Exhibit D and become Guarantors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On the Post-Closing Assumption Date, each Post-Closing Guarantor shall use commercially reasonable efforts to, and the Company shall cause each Post-Closing Guarantor to use commercially reasonable efforts to, (i) execute and deliver the Post-Closing Security Documents, (ii) complete all filings and other similar actions required in connection with the perfection of security interests in the Post-Closing Collateral as contemplated by this Indenture and the Security Documents, subject to the Agreed Guarantee and Security Principles, and (iii) take all actions necessary to maintain such security interests and to perfect security interests in any Post-Closing Collateral acquired after the Post-Closing Assumption Date, as applicable, in each case as contemplated by this Indenture and the Security Documents, in each case, subject to the Agreed Guarantee and Security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4.18 </w:t>
      </w:r>
      <w:r>
        <w:rPr>
          <w:rFonts w:ascii="Times New Roman" w:hAnsi="Times New Roman"/>
          <w:i/>
          <w:sz w:val="20"/>
        </w:rPr>
        <w:t>New Intercompany Loan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Indenture to the contrary, the Company may not, directly or indirectly, transfer its rights (whether voting or economic) as the “Lender” under the New Intercompany Loan to any other Person (whether through an assignment, a participation, or any derivative instrument) or terminate its rights as lender under the New Intercompany Loan (other than in connection with the repayment in full thereof).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Merger, Consolidation or Sale of All or Substantially All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not consolidate or merge with or into or wind up into (whether or not the Company is the surviving Person), or sell, assign, transfer, lease, convey or otherwise dispose of all or substantially all of its consolidated properties or assets taken as a whole, in one or more related transactions, to any Person unless: </w:t>
      </w:r>
    </w:p>
    <w:p>
      <w:pPr>
        <w:pStyle w:val="TextBody"/>
        <w:bidi w:val="0"/>
        <w:spacing w:before="240" w:after="0"/>
        <w:jc w:val="left"/>
        <w:rPr>
          <w:rFonts w:ascii="Times New Roman" w:hAnsi="Times New Roman"/>
          <w:sz w:val="20"/>
        </w:rPr>
      </w:pPr>
      <w:r>
        <w:rPr>
          <w:rFonts w:ascii="Times New Roman" w:hAnsi="Times New Roman"/>
          <w:sz w:val="20"/>
        </w:rPr>
        <w:t>(1) the Company is the surviving Person or the Person formed by or surviving any such consolidation, amalgamation or merger (if other than the Company) or to which such sale, assignment, transfer, lease, conveyance or other disposition will have been made, is a Person organized or existing under the laws of the United States, any state thereof, the District of Columbia, or any territory thereof (such Person, as the case may be, being herein called the “</w:t>
      </w:r>
      <w:r>
        <w:rPr>
          <w:rFonts w:ascii="Times New Roman" w:hAnsi="Times New Roman"/>
          <w:i/>
          <w:sz w:val="20"/>
        </w:rPr>
        <w:t>Successor Company</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case where the surviving Person is not a corporation, a co-obligor of the Notes is a corporation; </w:t>
      </w:r>
    </w:p>
    <w:p>
      <w:pPr>
        <w:pStyle w:val="TextBody"/>
        <w:bidi w:val="0"/>
        <w:spacing w:before="120" w:after="0"/>
        <w:jc w:val="left"/>
        <w:rPr>
          <w:rFonts w:ascii="Times New Roman" w:hAnsi="Times New Roman"/>
          <w:sz w:val="20"/>
        </w:rPr>
      </w:pPr>
      <w:r>
        <w:rPr>
          <w:rFonts w:ascii="Times New Roman" w:hAnsi="Times New Roman"/>
          <w:sz w:val="20"/>
        </w:rPr>
        <w:t xml:space="preserve">(2) the Successor Company, if other than the Company, expressly assumes all the obligations of the Company under the Notes and the Security Documents pursuant to supplemental indentures or other documents or instruments;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such transaction, no Default exists; </w:t>
      </w:r>
    </w:p>
    <w:p>
      <w:pPr>
        <w:pStyle w:val="TextBody"/>
        <w:bidi w:val="0"/>
        <w:spacing w:before="120" w:after="0"/>
        <w:jc w:val="left"/>
        <w:rPr>
          <w:rFonts w:ascii="Times New Roman" w:hAnsi="Times New Roman"/>
          <w:sz w:val="20"/>
        </w:rPr>
      </w:pPr>
      <w:r>
        <w:rPr>
          <w:rFonts w:ascii="Times New Roman" w:hAnsi="Times New Roman"/>
          <w:sz w:val="20"/>
        </w:rPr>
        <w:t xml:space="preserve">(4) [reserved]; </w:t>
      </w:r>
    </w:p>
    <w:p>
      <w:pPr>
        <w:pStyle w:val="TextBody"/>
        <w:bidi w:val="0"/>
        <w:spacing w:before="120" w:after="0"/>
        <w:jc w:val="left"/>
        <w:rPr>
          <w:rFonts w:ascii="Times New Roman" w:hAnsi="Times New Roman"/>
          <w:sz w:val="20"/>
        </w:rPr>
      </w:pPr>
      <w:r>
        <w:rPr>
          <w:rFonts w:ascii="Times New Roman" w:hAnsi="Times New Roman"/>
          <w:sz w:val="20"/>
        </w:rPr>
        <w:t xml:space="preserve">(5) each Guarantor shall have by supplemental indenture confirmed that its Guarantee shall apply to such Person’s obligations under this Indenture, the Notes and the Security Documents; and </w:t>
      </w:r>
    </w:p>
    <w:p>
      <w:pPr>
        <w:pStyle w:val="TextBody"/>
        <w:bidi w:val="0"/>
        <w:spacing w:before="120" w:after="0"/>
        <w:jc w:val="left"/>
        <w:rPr>
          <w:rFonts w:ascii="Times New Roman" w:hAnsi="Times New Roman"/>
          <w:sz w:val="20"/>
        </w:rPr>
      </w:pPr>
      <w:r>
        <w:rPr>
          <w:rFonts w:ascii="Times New Roman" w:hAnsi="Times New Roman"/>
          <w:sz w:val="20"/>
        </w:rPr>
        <w:t xml:space="preserve">(6) the Company shall have delivered to the Trustee an Officer’s Certificate and an Opinion of Counsel, each stating that such consolidation, merger, amalgamation or transfer and such supplemental indentures, if any, comply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Successor Company will succeed to, and be substituted for the Company under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Company may (a) consolidate or amalgamate with or merge into or transfer all or part of its properties and assets to any of its Affiliates in connection with a Permitted Reorganization and/or (b) merge with an Affiliate of the Company solely for the purpose of reincorporating the Company in the United States, the District of Columbia or any territory thereof so long as the amount of Indebtedness of the Company and the Restricted Parties are not increased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Times New Roman" w:hAnsi="Times New Roman"/>
          <w:i/>
          <w:sz w:val="20"/>
        </w:rPr>
        <w:t>provided, however</w:t>
      </w:r>
      <w:r>
        <w:rPr>
          <w:rFonts w:ascii="Times New Roman" w:hAnsi="Times New Roman"/>
          <w:sz w:val="20"/>
        </w:rPr>
        <w:t xml:space="preserve">, that the predecessor Company shall not be relieved from the obligation to pay the principal of, premium on, if any, interest, if any, on, the Notes except in the case of a sale of all of the Company’s assets in a transaction that is subject to, and that complies with the provisions of, Section 5.01 hereof.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the following is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default in payment when due and payable, upon redemption, acceleration or otherwise, of principal of, or premium, if any, on the Notes; </w:t>
      </w:r>
    </w:p>
    <w:p>
      <w:pPr>
        <w:pStyle w:val="TextBody"/>
        <w:bidi w:val="0"/>
        <w:spacing w:before="120" w:after="0"/>
        <w:jc w:val="left"/>
        <w:rPr>
          <w:rFonts w:ascii="Times New Roman" w:hAnsi="Times New Roman"/>
          <w:sz w:val="20"/>
        </w:rPr>
      </w:pPr>
      <w:r>
        <w:rPr>
          <w:rFonts w:ascii="Times New Roman" w:hAnsi="Times New Roman"/>
          <w:sz w:val="20"/>
        </w:rPr>
        <w:t xml:space="preserve">(2) default for 30 days or more in the payment when due of interest on or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(3) failure by Sabre Financing, the Company or any of the Restricted Parties for 60 days after receipt of written notice given by the Trustee or the Holders of not less than 30% in principal amount of the then outstanding Notes to comply with any of its obligations, covenants or agreements (other than a default referred to in clause (1) or (2) of this Section 6.01) contained in this Indenture, the Notes or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(4) default under any mortgage, indenture or instrument under which there is issued or by which there is secured or evidenced any Indebtedness for money borrowed by the Restricted Parties or the payment of which is guaranteed by the Restricted Parties other than Indebtedness owed to a Restricted Party, whether such Indebtedness or guarantee now exists or is created after the issuance of the Notes, if both: </w:t>
      </w:r>
    </w:p>
    <w:p>
      <w:pPr>
        <w:pStyle w:val="TextBody"/>
        <w:bidi w:val="0"/>
        <w:spacing w:before="120" w:after="0"/>
        <w:jc w:val="left"/>
        <w:rPr>
          <w:rFonts w:ascii="Times New Roman" w:hAnsi="Times New Roman"/>
          <w:sz w:val="20"/>
        </w:rPr>
      </w:pPr>
      <w:r>
        <w:rPr>
          <w:rFonts w:ascii="Times New Roman" w:hAnsi="Times New Roman"/>
          <w:sz w:val="20"/>
        </w:rPr>
        <w:t>(A)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 “</w:t>
      </w:r>
      <w:r>
        <w:rPr>
          <w:rFonts w:ascii="Times New Roman" w:hAnsi="Times New Roman"/>
          <w:i/>
          <w:sz w:val="20"/>
        </w:rPr>
        <w:t>payment default</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$20,000,000 or more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(5) failure by Sabre Financing, the Company, the Sabre Foreign Guarantors or any of their respective Significant Subsidiaries (or any group of Restricted Parties that together (determined as of the most recent consolidated financial statements of Sabre Holdings for a fiscal quarter end provided as required under Section 4.03 hereof would constitute a Significant Subsidiary) to pay final judgments aggregating in excess of $20,000,000 (net of amounts covered by insurance policies issued by reputable insurance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 </w:t>
      </w:r>
    </w:p>
    <w:p>
      <w:pPr>
        <w:pStyle w:val="TextBody"/>
        <w:bidi w:val="0"/>
        <w:spacing w:before="120" w:after="0"/>
        <w:jc w:val="left"/>
        <w:rPr>
          <w:rFonts w:ascii="Times New Roman" w:hAnsi="Times New Roman"/>
          <w:sz w:val="20"/>
        </w:rPr>
      </w:pPr>
      <w:r>
        <w:rPr>
          <w:rFonts w:ascii="Times New Roman" w:hAnsi="Times New Roman"/>
          <w:sz w:val="20"/>
        </w:rPr>
        <w:t xml:space="preserve">(6) the Guarantee of Sabre Financing, the Sabre Foreign Guarantors or any Significant Subsidiary (or any group of Restricted Parties that together (determined as of the most recent consolidated financial statements of Sabre Holdings for a fiscal quarter end provided as required under Section 4.03 hereof) would constitute a Significant Subsidiary) shall for any reason cease to be in full force and effect or be declared null and void or any responsible officer of Sabre Holdings or any Guarantor that is a Significant Subsidiary (or the responsible officers of any group of Restricted Parties that together (as of the most recent consolidated financial statement of Sabre Holdings for a fiscal quarter end) would constitute a Significant Subsidiary), as the case may be, denies in writing that it has any further liability under its Guarantee or gives written notice to such effect, other than by reason of the termination of this Indenture or the release of any such Guarantee in accordance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(7) with respect to any Collateral constituting more than $25,000,000 individually or in the aggregate, or any Collateral consisting of the receivables under or otherwise relating to the New Intercompany Loan, any of the Security Documents ceases to be in full force and effect, or any of the Security Documents ceases to give the Holders of the Notes the Liens purported to be created thereby, or any of the Security Documents is declared null and void or a Restricted Party denies in writing that it has any further liability under any Security Document or gives written notice to such effect (in each case (i) other than in accordance with the terms of this Indenture or the Security Documents, (ii) except to the extent that any such cessation of the Liens results from the failure of the Collateral Agent to maintain possession of certificates actually delivered to it representing securities pledged under the Security Documents, (iii) except as to Collateral consisting of real property to the extent that such losses are covered by a lender’s title insurance policy and such insurer has not denied or failed to acknowledge coverage or (iv) unless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requisite Holders of the Notes if, after that waiver, the Company and the Guarantors are in compliance with Article 10 hereof); </w:t>
      </w:r>
      <w:r>
        <w:rPr>
          <w:rFonts w:ascii="Times New Roman" w:hAnsi="Times New Roman"/>
          <w:i/>
          <w:sz w:val="20"/>
        </w:rPr>
        <w:t>provided</w:t>
      </w:r>
      <w:r>
        <w:rPr>
          <w:rFonts w:ascii="Times New Roman" w:hAnsi="Times New Roman"/>
          <w:sz w:val="20"/>
        </w:rPr>
        <w:t xml:space="preserve"> that if a failure of the sort described in this clause (7) is susceptible of cure, no Event of Default shall arise under this clause (7) with respect thereto until 30 days after notice of such failure shall have been given to the Company by the Trustee or the Holders of at least 30% in principal amount of the then outstanding Notes issued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(8) Sabre Financing, the Company, the Sabre Foreign Guarantors or any of their respective Significant Subsidiaries (or any group of Restricted Parties that together (determined as of the most recent consolidated financial statements of Sabre Holdings for a fiscal quarter end provided as required under Section 4.03 hereof) would constitute a Significant Subsidiary) pursuant to or within the meaning of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(D)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(E) generally is not paying its debts as they become due;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an order or decree under any Bankruptcy Law that: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Sabre Financing, the Company, the Sabre Foreign Guarantors or any of their respective Significant Subsidiaries (or any group of Restricted Parties that together (determined as of the most recent consolidated financial statements of Sabre Holdings for a fiscal quarter end provided as required under Section 4.03 hereof) would constitute a Significant Subsidiary)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appoints a custodian of Sabre Financing, the Company, the Sabre Foreign Guarantors or any of their respective Significant Subsidiaries (or any group of Restricted Parties that together (determined as of the most recent consolidated financial statements of Sabre Holdings for a fiscal quarter end provided as required under Section 4.03 hereof) would constitute a Significant Subsidiary) or for all or substantially all of the property of Sabre Financing, the Company, the Sabre Foreign Guarantors or any of their respective Significant Subsidiaries (or any group of Restricted Parties that together (determined as of the most recent consolidated financial statements of Sabre Holdings for a fiscal quarter end provided as required under Section 4.03 hereof) would constitute a Significant Subsidiary);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orders the liquidation of Sabre Financing, the Company, the Sabre Foreign Guarantors or any of their respective Significant Subsidiaries (or any group of Restricted Parties that together (determined as of the most recent consolidated financial statements of Sabre Holdings for a fiscal quarter end provided as required under Section 4.03 hereof) would constitute a Significant Subsidiary); </w:t>
      </w:r>
    </w:p>
    <w:p>
      <w:pPr>
        <w:pStyle w:val="TextBody"/>
        <w:bidi w:val="0"/>
        <w:spacing w:before="120" w:after="0"/>
        <w:jc w:val="left"/>
        <w:rPr>
          <w:rFonts w:ascii="Times New Roman" w:hAnsi="Times New Roman"/>
          <w:sz w:val="20"/>
        </w:rPr>
      </w:pPr>
      <w:r>
        <w:rPr>
          <w:rFonts w:ascii="Times New Roman" w:hAnsi="Times New Roman"/>
          <w:sz w:val="20"/>
        </w:rPr>
        <w:t xml:space="preserve">and the order or decree remains unstayed and in effect for 60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(10) default under any mortgage, indenture or instrument under which there is issued or by which there is secured or evidenced any Indebtedness for money borrowed by Sabre Holdings or any of its Restricted Subsidiaries (as defined in the New Intercompany Loan) or the payment of which is guaranteed by Sabre Holdings or any of its Restricted Subsidiaries other than Indebtedness owed to Sabre Holdings or any of its Restricted Subsidiaries, whether such Indebtedness or guarantee now exists or is created after the issuance of the Notes, if both: </w:t>
      </w:r>
    </w:p>
    <w:p>
      <w:pPr>
        <w:pStyle w:val="TextBody"/>
        <w:bidi w:val="0"/>
        <w:spacing w:before="120" w:after="0"/>
        <w:jc w:val="left"/>
        <w:rPr>
          <w:rFonts w:ascii="Times New Roman" w:hAnsi="Times New Roman"/>
          <w:sz w:val="20"/>
        </w:rPr>
      </w:pPr>
      <w:r>
        <w:rPr>
          <w:rFonts w:ascii="Times New Roman" w:hAnsi="Times New Roman"/>
          <w:sz w:val="20"/>
        </w:rPr>
        <w:t xml:space="preserve">(A)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 </w:t>
      </w:r>
    </w:p>
    <w:p>
      <w:pPr>
        <w:pStyle w:val="TextBody"/>
        <w:bidi w:val="0"/>
        <w:spacing w:before="120" w:after="0"/>
        <w:jc w:val="left"/>
        <w:rPr>
          <w:rFonts w:ascii="Times New Roman" w:hAnsi="Times New Roman"/>
          <w:sz w:val="20"/>
        </w:rPr>
      </w:pPr>
      <w:r>
        <w:rPr>
          <w:rFonts w:ascii="Times New Roman" w:hAnsi="Times New Roman"/>
          <w:sz w:val="20"/>
        </w:rPr>
        <w:t xml:space="preserve">(B) 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$65,000,000 or more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Event of Default specified in clause (8) or (9) of Section 6.01 hereof, with respect to Sabre Financing, the Company, the Sabre Foreign Guarantors or any of their respective Significant Subsidiaries (or any group of Restricted Parties that together (determined as of the most recent consolidated financial statements of Sabre Holdings for a fiscal quarter end provided as required under Section 4.03 hereof)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the effectiveness of such declaration, the Notes shall become due and payable immediately. The Trustee shall have no obligation to accelerate the Notes if, in the best judgment of the Trustee, acceleration is not in the best interest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then outstanding Notes by written notice to the Trustee may on behalf of the Holders of all of the Notes waive any existing Default and its consequences under this Indenture (except a continuing Default in the payment of interest on, premium, if any, or the principal of any Note held by a non-consenting Holder) and rescind any acceleration with respect to the Notes and its consequences (except if such rescission would conflict with any judgment of a court of competent jurisdiction). In the event of any Event of Default specified in clause (4) of Section 6.01 hereof,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Indebtedness or guarantee that is the basis for such Event of Default has been discharged; or </w:t>
      </w:r>
    </w:p>
    <w:p>
      <w:pPr>
        <w:pStyle w:val="TextBody"/>
        <w:bidi w:val="0"/>
        <w:spacing w:before="120" w:after="0"/>
        <w:jc w:val="left"/>
        <w:rPr>
          <w:rFonts w:ascii="Times New Roman" w:hAnsi="Times New Roman"/>
          <w:sz w:val="20"/>
        </w:rPr>
      </w:pPr>
      <w:r>
        <w:rPr>
          <w:rFonts w:ascii="Times New Roman" w:hAnsi="Times New Roman"/>
          <w:sz w:val="20"/>
        </w:rPr>
        <w:t xml:space="preserve">(2) holders thereof have rescinded or waived the acceleration, notice or action (as the case may be) giving rise to such Event of Default; or </w:t>
      </w:r>
    </w:p>
    <w:p>
      <w:pPr>
        <w:pStyle w:val="TextBody"/>
        <w:bidi w:val="0"/>
        <w:spacing w:before="120" w:after="0"/>
        <w:jc w:val="left"/>
        <w:rPr>
          <w:rFonts w:ascii="Times New Roman" w:hAnsi="Times New Roman"/>
          <w:sz w:val="20"/>
        </w:rPr>
      </w:pPr>
      <w:r>
        <w:rPr>
          <w:rFonts w:ascii="Times New Roman" w:hAnsi="Times New Roman"/>
          <w:sz w:val="20"/>
        </w:rPr>
        <w:t xml:space="preserve">(3) the default that is the basis for such Event of Default has been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and is actually known to a Responsible Officer of the Trustee, the Trustee may pursue any available remedy to collect the payment of principal of, premium on, if any, or interest, if any, on the Notes or to enforce the performance of any provision of the Notes 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if any, on, the Notes (including in connection with an offer to purchase);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Control by Majority.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aggregate principal amount of the then outstanding Notes may direct the time, method and place of conducting any proceeding for exercising any remedy available to the Trustee or Collateral Agent or exercising any trust or power conferred on it. However, the Trustee and Collateral Agent may refuse to follow any direction that conflicts with law or this Indenture or that the Trustee determines is unduly prejudicial to the rights of other Holders of Notes (it being understood that the Trustee has no duty to determine whether any action is prejudicial to any Holder) or that would involve the Trustee or Collateral Agent in personal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to enforce the right to receive payment of principal, premium (if any) or interest when due, no Holder of a Note may pursue any remedy with respect to this Indenture or the Notes unless: </w:t>
      </w:r>
    </w:p>
    <w:p>
      <w:pPr>
        <w:pStyle w:val="TextBody"/>
        <w:bidi w:val="0"/>
        <w:spacing w:before="120" w:after="0"/>
        <w:jc w:val="left"/>
        <w:rPr>
          <w:rFonts w:ascii="Times New Roman" w:hAnsi="Times New Roman"/>
          <w:sz w:val="20"/>
        </w:rPr>
      </w:pPr>
      <w:r>
        <w:rPr>
          <w:rFonts w:ascii="Times New Roman" w:hAnsi="Times New Roman"/>
          <w:sz w:val="20"/>
        </w:rPr>
        <w:t xml:space="preserve">(1) such Holder has previously given the Trustee written notice that an Event of Default is continuing; </w:t>
      </w:r>
    </w:p>
    <w:p>
      <w:pPr>
        <w:pStyle w:val="TextBody"/>
        <w:bidi w:val="0"/>
        <w:spacing w:before="120" w:after="0"/>
        <w:jc w:val="left"/>
        <w:rPr>
          <w:rFonts w:ascii="Times New Roman" w:hAnsi="Times New Roman"/>
          <w:sz w:val="20"/>
        </w:rPr>
      </w:pPr>
      <w:r>
        <w:rPr>
          <w:rFonts w:ascii="Times New Roman" w:hAnsi="Times New Roman"/>
          <w:sz w:val="20"/>
        </w:rPr>
        <w:t xml:space="preserve">(2) Holders of at least 30% in aggregate principal amount of the then outstanding Notes make a written request to the Trustee to pursue the remedy; </w:t>
      </w:r>
    </w:p>
    <w:p>
      <w:pPr>
        <w:pStyle w:val="TextBody"/>
        <w:bidi w:val="0"/>
        <w:spacing w:before="120" w:after="0"/>
        <w:jc w:val="left"/>
        <w:rPr>
          <w:rFonts w:ascii="Times New Roman" w:hAnsi="Times New Roman"/>
          <w:sz w:val="20"/>
        </w:rPr>
      </w:pPr>
      <w:r>
        <w:rPr>
          <w:rFonts w:ascii="Times New Roman" w:hAnsi="Times New Roman"/>
          <w:sz w:val="20"/>
        </w:rPr>
        <w:t xml:space="preserve">(3) Holders of at least 30% in aggregate principal amount of then outstanding Notes have offered, and if requested, provided, the Trustee security or indemnity satisfactory to the Trustee against any fees, costs, damages, losses, liabilities or expenses (including reasonable attorney’s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(4) the Trustee has not complied with such request within 60 days after the receipt thereof and the offer or provision of security or indemnity; and </w:t>
      </w:r>
    </w:p>
    <w:p>
      <w:pPr>
        <w:pStyle w:val="TextBody"/>
        <w:bidi w:val="0"/>
        <w:spacing w:before="120" w:after="0"/>
        <w:jc w:val="left"/>
        <w:rPr>
          <w:rFonts w:ascii="Times New Roman" w:hAnsi="Times New Roman"/>
          <w:sz w:val="20"/>
        </w:rPr>
      </w:pPr>
      <w:r>
        <w:rPr>
          <w:rFonts w:ascii="Times New Roman" w:hAnsi="Times New Roman"/>
          <w:sz w:val="20"/>
        </w:rPr>
        <w:t xml:space="preserve">(5) Holders of a majority in aggregate principal amount of the then outstanding Notes have not given the Trustee a written direction inconsistent with such request within such 60-day period. </w:t>
      </w:r>
    </w:p>
    <w:p>
      <w:pPr>
        <w:pStyle w:val="TextBody"/>
        <w:bidi w:val="0"/>
        <w:spacing w:before="240" w:after="0"/>
        <w:jc w:val="left"/>
        <w:rPr>
          <w:rFonts w:ascii="Times New Roman" w:hAnsi="Times New Roman"/>
          <w:sz w:val="20"/>
        </w:rPr>
      </w:pPr>
      <w:r>
        <w:rPr>
          <w:rFonts w:ascii="Times New Roman" w:hAnsi="Times New Roman"/>
          <w:sz w:val="20"/>
        </w:rPr>
        <w:t xml:space="preserve">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 are prejudicial to any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Rights of Holders of Notes to Receive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the right of any Holder of a Note to receive payment of principal of, premium on, if any, or interest, if any,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Times New Roman" w:hAnsi="Times New Roman"/>
          <w:i/>
          <w:sz w:val="20"/>
        </w:rPr>
        <w:t xml:space="preserve">provided </w:t>
      </w:r>
      <w:r>
        <w:rPr>
          <w:rFonts w:ascii="Times New Roman" w:hAnsi="Times New Roman"/>
          <w:sz w:val="20"/>
        </w:rPr>
        <w:t xml:space="preserve">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Collection Suit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Section 6.01(1) or (2) hereof occurs and is continuing, the Trustee is authorized to recover judgment in its own name and as trustee of an express trust against the Company for the whole amount of principal of, premium on, if any, and interest, if any,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authorized to file such proofs of claim and other papers or documents as may be necessary or advisable in order to have the claims of the Trustee and the Collateral Agent (including any claim for the reasonable compensation, expenses, disbursements and advances of the Trustee, the Collateral Agent, their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each of the Trustee and the Collateral Agent any amount due to it for the reasonable compensation, expenses, disbursements and advances of the Trustee, the Collateral Agent, their agents and counsel, and any other amounts due the Trustee or the Collateral Agent under Section 7.06 hereof. To the extent that the payment of any such compensation, expenses, disbursements and advances of the Trustee, the Collateral Agent, their agents and counsel, and any other amounts due the Trustee or the Collateral Agent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Priorities.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collects any money pursuant to this Article 6, it shall pay out the money in the following order: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Trustee (acting in any capacity hereunder or in connection herewith), the Collateral Agent, their agents and attorneys for amounts due under Section 7.06 hereof, including payment of all compensation, expenses and liabilities incurred, and all advances made, by the Trustee and the Collateral Agent and the costs and expenses of collection; </w:t>
      </w:r>
    </w:p>
    <w:p>
      <w:pPr>
        <w:pStyle w:val="TextBody"/>
        <w:bidi w:val="0"/>
        <w:spacing w:before="24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Holders of Notes for amounts due and unpaid on the Notes for principal, premium, if any, and interest, if any, ratably, without preference or priority of any kind, according to the amounts due and payable on the Notes for principal, premium, if any, and interest, if any, respectively;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Company or to such party as a court of competent jurisdiction shall direct.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to Holders of Notes pursuant to this Section 6.10.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Duties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(2) in the absence of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liabilities for its own negligent action, its own negligent failure to act, or its own willful misconduct,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paragraph does not limit the effect of paragraph (b) of this Section 7.01;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Trustee will not be liable for any error of judgment made in good faith by a Responsible Officer, unless it is proved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(3) the Trustee will not be liable with respect to any action it takes or omits to take in good faith in accordance with a direction received by it pursuant to Section 6.05 hereof.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every provision of this Indenture that in any way relates to the Trustee is subject to paragraphs (a), (b), (c) and (e) of this Section 7.01. </w:t>
      </w:r>
    </w:p>
    <w:p>
      <w:pPr>
        <w:pStyle w:val="TextBody"/>
        <w:bidi w:val="0"/>
        <w:spacing w:before="240" w:after="0"/>
        <w:jc w:val="left"/>
        <w:rPr>
          <w:rFonts w:ascii="Times New Roman" w:hAnsi="Times New Roman"/>
          <w:sz w:val="20"/>
        </w:rPr>
      </w:pPr>
      <w:r>
        <w:rPr>
          <w:rFonts w:ascii="Times New Roman" w:hAnsi="Times New Roman"/>
          <w:sz w:val="20"/>
        </w:rPr>
        <w:t xml:space="preserve">(e) No provision of this Indenture will require the Trustee to expend or risk its own funds or incur any liability. The Trustee will be under no obligation to exercise any of its rights or powers under this Indenture at the request of any Holders, unless such Holder has offered, and if requested, provided to the Trustee security and indemnity satisfactory to the Trustee against any fees, costs, damages, losses, liabilities or expenses (including reasonable attorney’s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conclusively rely upon any document believed by it to be genuine and to have been signed or presented by the proper Person. The Trustee need not investigate any fact or matter stated in the document.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of its selection and the advice of such counsel or any Opinion of Counsel will be full and complete authorization and protection from liability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and will not be responsible for the misconduct or negligence of any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not be liable for any action it takes or omits to take in good faith that it believes to be authorized or within the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Company will be sufficient if signed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be under no obligation to exercise any of the rights or powers vested in it by this Indenture at the request or direction of any of the Holders unless such Holders have offered, and if requested, provided to the Trustee indemnity or security satisfactory to the Trustee against the fees, costs, damages, losses, liabilities or expenses (including reasonable attorney’s fees and expenses) that might be incurred by it in compliance with such request or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without limitation, its right to be indemnified, are extended to, and shall be enforceable by, the Trustee in each of its capacities hereunder, the Collateral Agent, each other Agent and each agent, custodian and other Person employed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required to give any bond or surety in respect of the performance of its powers and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(k) The Trustee may request that the Company deliver a certificate setting forth the names of individuals and/or titles of officers authorized at such time to take specified actions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(l) The Company will not, nor will the Trustee (in any of its capacities hereunder), have any responsibility or liability for any actions taken or not taken by DTC. </w:t>
      </w:r>
    </w:p>
    <w:p>
      <w:pPr>
        <w:pStyle w:val="TextBody"/>
        <w:bidi w:val="0"/>
        <w:spacing w:before="120" w:after="0"/>
        <w:jc w:val="left"/>
        <w:rPr>
          <w:rFonts w:ascii="Times New Roman" w:hAnsi="Times New Roman"/>
          <w:sz w:val="20"/>
        </w:rPr>
      </w:pPr>
      <w:r>
        <w:rPr>
          <w:rFonts w:ascii="Times New Roman" w:hAnsi="Times New Roman"/>
          <w:sz w:val="20"/>
        </w:rPr>
        <w:t xml:space="preserve">(m) The permissive rights of the Trustee under this Indenture and the Notes shall not be construed as duties.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Individual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the Collateral Agent in its individual or any other capacity may become the owner or pledgee of Notes and may otherwise deal with the Company or any Affiliate of the Company with the same rights it would have if it were not Trustee or the Collateral Agent. However, in the event that the Trustee acquires any conflicting interest, it must eliminate such conflict within 90 days or resign. Any Agent may do the same with like rights and duties. The Trustee is also subject to Section 7.09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Trustee’s 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be responsible for and makes no representation as to the validity or adequacy of this Indenture, the Notes or the Security Documents,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Default or Event of Default occurs and is continuing and if it is actually known to a Responsible Officer of the Trustee, the Trustee will mail to Holders of Notes a notice of the Default or Event of Default within the later of 90 days after it occurs or 30 days after a Responsible Officer of the Trustee obtains actual knowledge thereof. Except in the case of a Default or Event of Default in payment of principal of, premium on, if any, or interest, if any, on, any Note, the Trustee may withhold the notice if and so long as it determines that withholding the notice is in the interests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pay to the Trustee and the Collateral Agent from time to time such compensation for its acceptance of this Indenture and services hereunder and under the Notes, Guarantees and Security Documents, as applicable, as mutually agreed to in writing. The Trustee’s compensation will not be limited by any law on compensation of a trustee of an express trust. The Company will reimburse each of the Trustee and the Collateral Agent promptly upon request for all reasonable disbursements, advances and expenses incurred or made by it in addition to the compensation for its services. Such expenses will include the reasonable compensation, court costs, disbursements and expenses of the Trustee’s and the Collateral Agent’s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the Guarantors will indemnify, jointly and severally, each of the Trustee and the Collateral Agent against any and all losses, liabilities or expenses incurred by it arising out of or in connection with the acceptance or administration of its duties under this Indenture, the Notes, the Guarantees and the Security Documents, including the costs and expenses of enforcing this Indenture, the Notes, the Guarantees and the Security Documents against the Company and the Guarantors (including this Section 7.06) and defending itself against any claim (whether asserted by the Company, the Guarantors, any Holder or any other Person) or liability in connection with the exercise or performance of any of its powers or duties hereunder and thereunder, except to the extent any such loss, liability or expense may be attributable to its own gross negligence or willful misconduct as determined by a court of competent jurisdiction in a final and non-appealable decision. The Trustee and the Collateral Agent, as applicable, will notify the Company promptly of any claim for which it may seek indemnity. Failure by the Trustee or the Collateral Agent, as applicable, to so notify the Company will not relieve the Company or any of the Guarantors of their obligations hereunder. The Company or such Guarantor will defend the claim and the Trustee and the Collateral Agent, as applicable, will cooperate in the defense. Each of the Trustee and the Collateral Agent may have separate counsel of its choosing and the Company will pay the reasonable fees and expenses of such counsel. Neither the Company nor any Guarantor need pay for any settlement made without its consent, which consent will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Company and the Guarantors under this Section 7.06 will survive the satisfaction and discharge of this Indenture and the earlier resignation or removal of the Trustee or the Collateral Agent,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secure the Company’s and the Guarantors’ payment obligations in this Section 7.06, the Trustee will have a Lien prior to the Notes on all money or property held or collected by the Trustee, except that held in trust to pay principal of, premium on, if any, or interest, if any, on, particular Notes. Such Lien will survive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When the Trustee incurs expenses or renders services after an Event of Default specified in clause (8) or (9) of Section 6.01 hereof occurs, the expenses and the compensation for the services (including the fees and expenses of its agents and counsel)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resignation or removal of the Trustee and appointment of a successor Trustee will become effective only upon the successor Trustee’s acceptance of appointment as provided in this Section 7.07.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in writing at any time and be discharged from the trust hereby created by so notifying the Company. The Holders of a majority in aggregate principal amount of the then outstanding Notes may, upon 30 days advance written notice, remove the Trustee by so notifying the Trustee and the Company in writing. The Company may remove the Trustee if: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fails to comply with Section 7.09 hereof; </w:t>
      </w:r>
    </w:p>
    <w:p>
      <w:pPr>
        <w:pStyle w:val="TextBody"/>
        <w:bidi w:val="0"/>
        <w:spacing w:before="120" w:after="0"/>
        <w:jc w:val="left"/>
        <w:rPr>
          <w:rFonts w:ascii="Times New Roman" w:hAnsi="Times New Roman"/>
          <w:sz w:val="20"/>
        </w:rPr>
      </w:pPr>
      <w:r>
        <w:rPr>
          <w:rFonts w:ascii="Times New Roman" w:hAnsi="Times New Roman"/>
          <w:sz w:val="20"/>
        </w:rPr>
        <w:t xml:space="preserve">(2)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(3)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(c) 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 successor Trustee does not take office within 60 days after the retiring Trustee resigns or is removed, the retiring Trustee, the Company, or the Holders of at least 10% in aggregate principal amount of the then outstanding Notes may petition any court of competent jurisdiction at the expense of the Company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after written request by any Holder who has been a Holder for at least six months, fails to comply with Section 7.09 hereof, such Holder may petition any court of competent jurisdiction for the removal of the Trustee and the appointment of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hAnsi="Times New Roman"/>
          <w:i/>
          <w:sz w:val="20"/>
        </w:rPr>
        <w:t>provided</w:t>
      </w:r>
      <w:r>
        <w:rPr>
          <w:rFonts w:ascii="Times New Roman" w:hAnsi="Times New Roman"/>
          <w:sz w:val="20"/>
        </w:rPr>
        <w:t xml:space="preserve"> all sums owing to the Trustee hereunder have been paid and subject to the Lien provided for in Section 7.06 hereof. Notwithstanding replacement of the Trustee pursuant to this Section 7.07, the Company’s obligations under Section 7.06 hereof will continue for the benefit of the retiring Trustee. The retiring Trustee shall have no responsibility or liability for the action or inaction of any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Successor Trustee by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consolidates, merges or converts into, sells or transfers all or substantially all of its corporate trust business to, another corporation or entity, the successor corporation or entity without any further act will be the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Eligibility; Disqualification.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will at all times be a Trustee hereunder that is a corporation or other entity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New Intercompany Loan Agreement; Holder Direction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of this Indenture, including Sections 7.02(f) and 7.06, the Holders shall have the right, through the Trustee, to cause notices, requests, consents, waivers, amendments, elections, directions, declarations, accelerations, rescissions of acceleration and other analogous actions and communications (collectively, the “</w:t>
      </w:r>
      <w:r>
        <w:rPr>
          <w:rFonts w:ascii="Times New Roman" w:hAnsi="Times New Roman"/>
          <w:i/>
          <w:sz w:val="20"/>
        </w:rPr>
        <w:t>Intercompany Actions</w:t>
      </w:r>
      <w:r>
        <w:rPr>
          <w:rFonts w:ascii="Times New Roman" w:hAnsi="Times New Roman"/>
          <w:sz w:val="20"/>
        </w:rPr>
        <w:t xml:space="preserve">”) to be delivered to, from and with the Administrative Agent under the New Intercompany Loan, and to instruct the Trustee to take or refrain from taking Intercompany Actions on behalf of the Holders, in each case as provided in this Section 7.10. </w:t>
      </w:r>
    </w:p>
    <w:p>
      <w:pPr>
        <w:pStyle w:val="TextBody"/>
        <w:bidi w:val="0"/>
        <w:spacing w:before="240" w:after="0"/>
        <w:jc w:val="left"/>
        <w:rPr>
          <w:rFonts w:ascii="Times New Roman" w:hAnsi="Times New Roman"/>
          <w:sz w:val="20"/>
        </w:rPr>
      </w:pPr>
      <w:r>
        <w:rPr>
          <w:rFonts w:ascii="Times New Roman" w:hAnsi="Times New Roman"/>
          <w:sz w:val="20"/>
        </w:rPr>
        <w:t xml:space="preserve">(b) As among the Holders, each Holder shall be entitled to give directions to the Trustee with respect to Intercompany Actions in a voting amount equal to the aggregate principal amount of Notes held by such Holder and then outstanding. Any Intercompany Action that, under the New Intercompany Loan, would require or permit the consent, direction, vote, request or other action of “Lenders” (as defined therein) shall be authorized and effected hereunder if, and only if, the Trustee has received written directions from Holders representing not less than the same proportion (by principal amount) of Notes then outstanding as the proportion (by commitments, loans or other measure) of “Lenders” required under the New Intercompany Loan to approve the analogous action; </w:t>
      </w:r>
      <w:r>
        <w:rPr>
          <w:rFonts w:ascii="Times New Roman" w:hAnsi="Times New Roman"/>
          <w:i/>
          <w:sz w:val="20"/>
        </w:rPr>
        <w:t>provided</w:t>
      </w:r>
      <w:r>
        <w:rPr>
          <w:rFonts w:ascii="Times New Roman" w:hAnsi="Times New Roman"/>
          <w:sz w:val="20"/>
        </w:rPr>
        <w:t xml:space="preserve"> that, if the New Intercompany Loan does not specify a required percentage for the analogous action, the requisite Holder direction shall be the Holders of a majority in aggregate principal amount of the Notes then outstanding. For the avoidance of doubt, where the New Intercompany Loan requires the consent of all affected “Lenders” or of each “Lender” (or similar unanimity), the Trustee shall act only upon directions from each Holder (or from all affected Holders, as applicable) of the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Trustee shall, upon receipt of written directions from the Holders in the requisite proportion pursuant to clause (b) of this Section 7.10, deliver to and receive from the Administrative Agent under the New Intercompany Loan any notices, consents, waivers, amendments, elections, declarations or other communications relating to the New Intercompany Loan, and shall transmit the same to the Administrative Agent under the New Intercompany Loan or to the Holders, as applicable. The Trustee shall have no duty to prepare, originate or independently determine to send any such communication absent directions and indemnity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Subject to clause (b) and to the limitations in this Indenture, the Trustee is authorized to execute and deliver to the Administrative Agent under the New Intercompany Loan any amendment, waiver or consent in respect of the New Intercompany Loan that has been approved by the Holders in the requisite proportion, and to bind the Holders in respect thereof to the same extent as “Lenders” would be bound under the New Intercompany Loan by the analogous action.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the New Intercompany Loan permits or requires “Lenders” to declare, accelerate, rescind or waive acceleration of obligations thereunder, to make or withdraw notices of default or event of default, or to deliver declarations or elections of rights or remedies, the Trustee shall deliver such declarations, notices, accelerations, rescissions or elections as, and only as, directed by the Holders in the requisite proportion determined in accordance with clause (b).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obligated to take any Intercompany Action unless (i) it has received written directions from the requisite Holders, (ii) it has received such documents, instruments and opinions as the Trustee may reasonably request, including an Officer’s Certificate and, if applicable, an Opinion of Counsel, and (iii) it has been provided security or indemnity satisfactory to it for any loss, liability or expense. The Trustee may conclusively rely upon and shall be fully protected in acting in accordance with any direction, notice, consent or other instrument that it reasonably believes to be genuine and signed by the requisite Holders. The Trustee shall have no duty to inquire into or monitor compliance by any Person with the New Intercompany Loan, nor to determine whether any Intercompany Action is permitted thereby, and shall not be liable for any action or inaction taken in good faith in accordance with directions received hereunder. </w:t>
      </w:r>
    </w:p>
    <w:p>
      <w:pPr>
        <w:pStyle w:val="TextBody"/>
        <w:bidi w:val="0"/>
        <w:spacing w:before="240" w:after="0"/>
        <w:jc w:val="left"/>
        <w:rPr>
          <w:rFonts w:ascii="Times New Roman" w:hAnsi="Times New Roman"/>
          <w:sz w:val="20"/>
        </w:rPr>
      </w:pPr>
      <w:r>
        <w:rPr>
          <w:rFonts w:ascii="Times New Roman" w:hAnsi="Times New Roman"/>
          <w:sz w:val="20"/>
        </w:rPr>
        <w:t xml:space="preserve">(g) This Section 7.10 shall survive any satisfaction and discharge of this Indenture to the extent necessary to give effect to any Intercompany Action duly authorized prior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their acceptance of the Notes, the Holders hereby authorize and direct the Trustee and Collateral Agent, as the case may be, to execute and deliver any other Security Documents in which the Trustee or the Collateral Agent, as applicable, is named as a party, including any Security Documents executed after the Issue Date. It is hereby expressly acknowledged and agreed that, in doing so, the Trustee and the Collateral Agent are (a) expressly authorized to make the representations attributed to Holders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any Security Document, the Trustee and the Collateral Agent each shall have all of the rights, privileges, immunities, indemnities and other protections granted to it under this Indenture (in addition to those that may be granted to it under the terms of such other agreement 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Option to Effect Legal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and at any time, elect to have either Section 8.02 or 8.03 hereof be applied to all outstanding Notes upon compliance with the conditions set forth below in this Article 8.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Legal Defeasance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the Company’s exercise under Section 8.01 hereof of the option applicable to this Section 8.02, the Company and each of the Guarantors will, subject to the satisfaction of the conditions set forth in Section 8.04 hereof, be deemed to have been discharged from their obligations with respect to all outstanding Notes (including the Guarantees) on the date the conditions set forth below are satisfied (hereinafter, “</w:t>
      </w:r>
      <w:r>
        <w:rPr>
          <w:rFonts w:ascii="Times New Roman" w:hAnsi="Times New Roman"/>
          <w:i/>
          <w:sz w:val="20"/>
        </w:rPr>
        <w:t>Legal Defeasance</w:t>
      </w:r>
      <w:r>
        <w:rPr>
          <w:rFonts w:ascii="Times New Roman" w:hAnsi="Times New Roman"/>
          <w:sz w:val="20"/>
        </w:rPr>
        <w:t xml:space="preserve">”). For this purpose, Legal Defeasance means that the Company and the Guarantors will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(4) below, and to have satisfied all their other obligations under such Notes, the Guarantees and this Indenture (and the Trustee, on demand of and at the expense of the Company, shall execute such instruments requested by the Company acknowledging the same), except for the following provisions which will survive until otherwise terminated or discharged hereunder: </w:t>
      </w:r>
    </w:p>
    <w:p>
      <w:pPr>
        <w:pStyle w:val="TextBody"/>
        <w:bidi w:val="0"/>
        <w:spacing w:before="120" w:after="0"/>
        <w:jc w:val="left"/>
        <w:rPr>
          <w:rFonts w:ascii="Times New Roman" w:hAnsi="Times New Roman"/>
          <w:sz w:val="20"/>
        </w:rPr>
      </w:pPr>
      <w:r>
        <w:rPr>
          <w:rFonts w:ascii="Times New Roman" w:hAnsi="Times New Roman"/>
          <w:sz w:val="20"/>
        </w:rPr>
        <w:t xml:space="preserve">(1) the rights of Holders of outstanding Notes to receive payments in respect of the principal of, premium on, if any, or interest, if any, on such Notes when such payments are due from the trust referred to in Section 8.04 hereof; </w:t>
      </w:r>
    </w:p>
    <w:p>
      <w:pPr>
        <w:pStyle w:val="TextBody"/>
        <w:bidi w:val="0"/>
        <w:spacing w:before="120" w:after="0"/>
        <w:jc w:val="left"/>
        <w:rPr>
          <w:rFonts w:ascii="Times New Roman" w:hAnsi="Times New Roman"/>
          <w:sz w:val="20"/>
        </w:rPr>
      </w:pPr>
      <w:r>
        <w:rPr>
          <w:rFonts w:ascii="Times New Roman" w:hAnsi="Times New Roman"/>
          <w:sz w:val="20"/>
        </w:rPr>
        <w:t xml:space="preserve">(2) the Company’s obligations with respect to such Notes under Article 2 and Section 4.02 hereof; </w:t>
      </w:r>
    </w:p>
    <w:p>
      <w:pPr>
        <w:pStyle w:val="TextBody"/>
        <w:bidi w:val="0"/>
        <w:spacing w:before="120" w:after="0"/>
        <w:jc w:val="left"/>
        <w:rPr>
          <w:rFonts w:ascii="Times New Roman" w:hAnsi="Times New Roman"/>
          <w:sz w:val="20"/>
        </w:rPr>
      </w:pPr>
      <w:r>
        <w:rPr>
          <w:rFonts w:ascii="Times New Roman" w:hAnsi="Times New Roman"/>
          <w:sz w:val="20"/>
        </w:rPr>
        <w:t xml:space="preserve">(3) the rights, powers, trusts, duties and immunities of the Trustee hereunder and the Company’s and the Guarantors’ obligations in connection therewith; and </w:t>
      </w:r>
    </w:p>
    <w:p>
      <w:pPr>
        <w:pStyle w:val="TextBody"/>
        <w:bidi w:val="0"/>
        <w:spacing w:before="120" w:after="0"/>
        <w:jc w:val="left"/>
        <w:rPr>
          <w:rFonts w:ascii="Times New Roman" w:hAnsi="Times New Roman"/>
          <w:sz w:val="20"/>
        </w:rPr>
      </w:pPr>
      <w:r>
        <w:rPr>
          <w:rFonts w:ascii="Times New Roman" w:hAnsi="Times New Roman"/>
          <w:sz w:val="20"/>
        </w:rPr>
        <w:t xml:space="preserve">(4) this Article 8.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this Article 8, the Company may exercise its option under this Section 8.02 notwithstanding the prior exercise of its option under Section 8.03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the Company’s exercise under Section 8.01 hereof of the option applicable to this Section 8.03, the Company and each of the Guarantors will, subject to the satisfaction of the conditions set forth in Section 8.04 hereof, be released from each of their obligations under the covenants contained in Sections 4.03, 4.05, 4.07, 4.08, 4.09, 4.10, 4.11, 4.12, 4.13, 4.15, 4.16, 4.17 and 5.01 hereof and Article 10 hereof with respect to the outstanding Notes on and after the date the conditions set forth in Section 8.04 hereof are satisfied (hereinafter, “</w:t>
      </w:r>
      <w:r>
        <w:rPr>
          <w:rFonts w:ascii="Times New Roman" w:hAnsi="Times New Roman"/>
          <w:i/>
          <w:sz w:val="20"/>
        </w:rPr>
        <w:t>Covenant Defeasance</w:t>
      </w:r>
      <w:r>
        <w:rPr>
          <w:rFonts w:ascii="Times New Roman" w:hAnsi="Times New Roman"/>
          <w:sz w:val="20"/>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will be unaffected thereby. In addition, upon the Company’s exercise under Section 8.01 hereof of the option applicable to this Section 8.03, subject to the satisfaction of the conditions set forth in Section 8.04 hereof, Sections 6.01(3), (4), (5), (6) and (7) hereof will not constitute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Conditions to Legal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under either Section 8.02 or 8.03 hereof: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must irrevocably deposit with the Trustee, in trust, for the benefit of the Holders, cash in U.S. dollars, U.S. dollar-denominated Government Securities, or a combination thereof, in such amounts as will be sufficient, in the opinion of a nationally recognized investment bank, appraisal firm, or firm of independent public accountants, to pay the principal of, premium, if any, on and interest, if any, on the outstanding Notes on the stated date for payment thereof or on the applicable Redemption Date, as the case may be, and the Company must specify whether the Notes are being defeased to such stated date for payment or to a particular Redemption Date; </w:t>
      </w:r>
      <w:r>
        <w:rPr>
          <w:rFonts w:ascii="Times New Roman" w:hAnsi="Times New Roman"/>
          <w:i/>
          <w:sz w:val="20"/>
        </w:rPr>
        <w:t>provided</w:t>
      </w:r>
      <w:r>
        <w:rPr>
          <w:rFonts w:ascii="Times New Roman" w:hAnsi="Times New Roman"/>
          <w:sz w:val="20"/>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Times New Roman" w:hAnsi="Times New Roman"/>
          <w:i/>
          <w:sz w:val="20"/>
        </w:rPr>
        <w:t>Applicable Premium Deficit</w:t>
      </w:r>
      <w:r>
        <w:rPr>
          <w:rFonts w:ascii="Times New Roman" w:hAnsi="Times New Roman"/>
          <w:sz w:val="20"/>
        </w:rPr>
        <w:t xml:space="preserve">”) only required to be deposited with the Trustee on or prior to the date of redemption. Any Applicable Premium Deficit shall be set forth in an Officer’s Certificate delivered to the Trustee one Business Day prior to the deposit of such Applicable Premium Deficit that confirms that such Applicable Premium Deficit shall be applied toward such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an election under Section 8.02 hereof, the Company must deliver to the Trustee an Opinion of Counsel reasonably acceptable to the Trustee confirming that, subject to customary assumptions and exclusions: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received from, or there has been published by, the United States Internal Revenue Service a ruling; or </w:t>
      </w:r>
    </w:p>
    <w:p>
      <w:pPr>
        <w:pStyle w:val="TextBody"/>
        <w:bidi w:val="0"/>
        <w:spacing w:before="120" w:after="0"/>
        <w:jc w:val="left"/>
        <w:rPr>
          <w:rFonts w:ascii="Times New Roman" w:hAnsi="Times New Roman"/>
          <w:sz w:val="20"/>
        </w:rPr>
      </w:pPr>
      <w:r>
        <w:rPr>
          <w:rFonts w:ascii="Times New Roman" w:hAnsi="Times New Roman"/>
          <w:sz w:val="20"/>
        </w:rPr>
        <w:t xml:space="preserve">(B) since the issuance of the Notes, there has been a change in the applicable U.S. federal income tax law, </w:t>
      </w:r>
    </w:p>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subject to customary assumptions and exclusions, the Holders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an election under Section 8.03 hereof, the Company must deliver to the Trustee an Opinion of Counsel reasonably acceptable to the Trustee confirming that, subject to customary assumptions and exclusions, the Holders of the Notes will not recognize income, gain or loss for U.S. federal income tax purposes as a result of such Covenant Defeasance and will be subject to tax on the same amounts, in the same manner and at the same times as would have been the case if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(4) no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(5) such Legal Defeasance or Covenant Defeasance will not result in a breach or violation of, or constitute a default under any material agreement or instrument (other than this Indenture) to which, the Company or any Guarantor is a party or by which the Company or any Guarantor is bound (other than that resulting from any borrowing of funds to be applied to make the deposit required to effect such Legal Defeasance or Covenant Defeasance and any similar and simultaneous deposit relating to other Indebtedness, and, in each case, the granting of Liens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(6) the Company must deliver to the Trustee an Opinion of Counsel to the effect that, as of the date of such opinion and subject to customary assumptions and exclusions following the deposit, the trust funds will not be subject to the effect of Section 547 of Title 11 of the United States Code; </w:t>
      </w:r>
    </w:p>
    <w:p>
      <w:pPr>
        <w:pStyle w:val="TextBody"/>
        <w:bidi w:val="0"/>
        <w:spacing w:before="120" w:after="0"/>
        <w:jc w:val="left"/>
        <w:rPr>
          <w:rFonts w:ascii="Times New Roman" w:hAnsi="Times New Roman"/>
          <w:sz w:val="20"/>
        </w:rPr>
      </w:pPr>
      <w:r>
        <w:rPr>
          <w:rFonts w:ascii="Times New Roman" w:hAnsi="Times New Roman"/>
          <w:sz w:val="20"/>
        </w:rPr>
        <w:t xml:space="preserve">(7) the Company must deliver to the Trustee an Officer’s Certificate stating that the deposit was not made by the Company with the intent of defeating, hindering, delaying or defrauding any creditors of the Company or any Guarantor or others;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the Company must deliver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Deposited Money and Government Securities to be Held in Trust; Other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Section 8.06 hereof, all money and Government Securities (including the proceeds thereof) deposited with the Trustee (or other qualifying trustee, collectively for purposes of this Section 8.05, the “</w:t>
      </w:r>
      <w:r>
        <w:rPr>
          <w:rFonts w:ascii="Times New Roman" w:hAnsi="Times New Roman"/>
          <w:i/>
          <w:sz w:val="20"/>
        </w:rPr>
        <w:t>Trustee</w:t>
      </w:r>
      <w:r>
        <w:rPr>
          <w:rFonts w:ascii="Times New Roman" w:hAnsi="Times New Roman"/>
          <w:sz w:val="20"/>
        </w:rPr>
        <w:t xml:space="preserve">”)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if any,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Article 8 to the contrary, the Trustee will deliver or pay to the Company from time to time upon the request of the Company any money or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i/>
          <w:sz w:val="20"/>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premium on, if any, or interest, if any, on any Note and remaining unclaimed for two years after such principal, premium, if any, or interest, if any, has become due and payable shall be paid to the Company (subject to applicable escheatment laws)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i/>
          <w:sz w:val="20"/>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Paying Agent is unable to apply any U.S. dollars or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i/>
          <w:sz w:val="20"/>
        </w:rPr>
        <w:t>provided, however</w:t>
      </w:r>
      <w:r>
        <w:rPr>
          <w:rFonts w:ascii="Times New Roman" w:hAnsi="Times New Roman"/>
          <w:sz w:val="20"/>
        </w:rPr>
        <w:t xml:space="preserve">, that, if the Company makes any payment of principal of, premium on, if any, or interest, if any, on, any Note following the reinstatement of its obligations, the Company will be subrogated to the rights of the Holders of such Notes to receive such payment from the money held by the Trustee or Paying Agent.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Without Consent of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9.02 of this Indenture, the Company, any Guarantor (with respect to a Guarantee, this Indenture, or the Security Documents to which it is a party) and the Trustee (or the Collateral Agent, as applicable) may amend or supplement this Indenture or any Guarantee, Note, or the Security Documents without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omission, mistake, defect or inconsistency; </w:t>
      </w:r>
    </w:p>
    <w:p>
      <w:pPr>
        <w:pStyle w:val="TextBody"/>
        <w:bidi w:val="0"/>
        <w:spacing w:before="120" w:after="0"/>
        <w:jc w:val="left"/>
        <w:rPr>
          <w:rFonts w:ascii="Times New Roman" w:hAnsi="Times New Roman"/>
          <w:sz w:val="20"/>
        </w:rPr>
      </w:pPr>
      <w:r>
        <w:rPr>
          <w:rFonts w:ascii="Times New Roman" w:hAnsi="Times New Roman"/>
          <w:sz w:val="20"/>
        </w:rPr>
        <w:t xml:space="preserve">(2) to provide for uncertificated Notes of such series in addition to or in place of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(3) to comply with Section 5.01 hereof; </w:t>
      </w:r>
    </w:p>
    <w:p>
      <w:pPr>
        <w:pStyle w:val="TextBody"/>
        <w:bidi w:val="0"/>
        <w:spacing w:before="120" w:after="0"/>
        <w:jc w:val="left"/>
        <w:rPr>
          <w:rFonts w:ascii="Times New Roman" w:hAnsi="Times New Roman"/>
          <w:sz w:val="20"/>
        </w:rPr>
      </w:pPr>
      <w:r>
        <w:rPr>
          <w:rFonts w:ascii="Times New Roman" w:hAnsi="Times New Roman"/>
          <w:sz w:val="20"/>
        </w:rPr>
        <w:t xml:space="preserve">(4) to provide for the assumption of the Company’s or any Guarantor’s obligations to the Holders; </w:t>
      </w:r>
    </w:p>
    <w:p>
      <w:pPr>
        <w:pStyle w:val="TextBody"/>
        <w:bidi w:val="0"/>
        <w:spacing w:before="120" w:after="0"/>
        <w:jc w:val="left"/>
        <w:rPr>
          <w:rFonts w:ascii="Times New Roman" w:hAnsi="Times New Roman"/>
          <w:sz w:val="20"/>
        </w:rPr>
      </w:pPr>
      <w:r>
        <w:rPr>
          <w:rFonts w:ascii="Times New Roman" w:hAnsi="Times New Roman"/>
          <w:sz w:val="20"/>
        </w:rPr>
        <w:t xml:space="preserve">(5) to make any change that would provide any additional rights or benefits to the Holders or that does not materially and adversely affect the legal rights of any such Holder under this Indenture, the Notes, the Guarantees,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(6) to add covenants for the benefit of the Holders or to surrender any right or power conferred upon the Company or any Guarantor; </w:t>
      </w:r>
    </w:p>
    <w:p>
      <w:pPr>
        <w:pStyle w:val="TextBody"/>
        <w:bidi w:val="0"/>
        <w:spacing w:before="120" w:after="0"/>
        <w:jc w:val="left"/>
        <w:rPr>
          <w:rFonts w:ascii="Times New Roman" w:hAnsi="Times New Roman"/>
          <w:sz w:val="20"/>
        </w:rPr>
      </w:pPr>
      <w:r>
        <w:rPr>
          <w:rFonts w:ascii="Times New Roman" w:hAnsi="Times New Roman"/>
          <w:sz w:val="20"/>
        </w:rPr>
        <w:t xml:space="preserve">(7) to evidence and provide for the acceptance and appointment under this Indenture of a successor Trustee or successor Collateral Agent hereunder pursuant to the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(8) [reserved]; </w:t>
      </w:r>
    </w:p>
    <w:p>
      <w:pPr>
        <w:pStyle w:val="TextBody"/>
        <w:bidi w:val="0"/>
        <w:spacing w:before="120" w:after="0"/>
        <w:jc w:val="left"/>
        <w:rPr>
          <w:rFonts w:ascii="Times New Roman" w:hAnsi="Times New Roman"/>
          <w:sz w:val="20"/>
        </w:rPr>
      </w:pPr>
      <w:r>
        <w:rPr>
          <w:rFonts w:ascii="Times New Roman" w:hAnsi="Times New Roman"/>
          <w:sz w:val="20"/>
        </w:rPr>
        <w:t xml:space="preserve">(9) to add a Guarantor under this Indenture, or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(10) to conform the text of this Indenture, Guarantees, the Security Documents or the Notes to any provision of the “Description of Notes” section of the Company’s Offering Memorandum dated September 15, 2026, relating to the offering of the Notes, to the extent that such provision in the “Description of Notes” was intended to be a verbatim recitation of a provision of this Indenture, Guarantees, the Security Documents or the Notes as set forth in an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to make any amendment to the provisions of this Indenture relating to the transfer and legending of Notes, including, without limitation to facilitate the issuance and administration of the Notes and to comply with applicable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(12) to add or release Collateral from, or subordinate, the Lien of this Indenture and the Security Documents when permitted or required by the Security Documents, or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(13) to mortgage, pledge, hypothecate or grant any other Lien in favor of the Trustee or the Collateral Agent for the benefit of itself, the Trustee and the Holders of the Notes, as additional security for the payment and performance of all or any portion of the Notes Obligations, on any property or assets, including any which are required to be mortgaged, pledged or hypothecated, or on which a Lien is required to be granted to, in favor of or for the benefit of the Trustee, the Collateral Agent or the Holders of the Notes pursuant to this Indenture, any of the Security Documents or otherwise; and </w:t>
      </w:r>
    </w:p>
    <w:p>
      <w:pPr>
        <w:pStyle w:val="TextBody"/>
        <w:bidi w:val="0"/>
        <w:spacing w:before="120" w:after="0"/>
        <w:jc w:val="left"/>
        <w:rPr>
          <w:rFonts w:ascii="Times New Roman" w:hAnsi="Times New Roman"/>
          <w:sz w:val="20"/>
        </w:rPr>
      </w:pPr>
      <w:r>
        <w:rPr>
          <w:rFonts w:ascii="Times New Roman" w:hAnsi="Times New Roman"/>
          <w:sz w:val="20"/>
        </w:rPr>
        <w:t xml:space="preserve">(14) [reserved].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a resolution of its board of directors authorizing the execution of any such amendment or supplement, and upon receipt by the Trustee and Collateral Agent, if applicable, of the documents described in Section 7.02 hereof, the Trustee and Collateral Agent, if applicable, will join with the Company and the Guarantors in the execution of any amendment or supplement authorized or permitted by the terms of this Indenture and to make any further appropriate agreements and stipulations that may be therein contained, but neither the Trustee nor the Collateral Agent will be obligated to enter into such amendment or supplement that affects its own rights, duties or immunities under this Indenture, the Security Documents or otherwise. Notwithstanding anything to the contrary herein, in the case of the execution and delivery of any supplemental indenture, the sole purpose of which is to add one or more Guarantors (substantially in the form of Exhibit D) and/or address matters that are ancillary or incidental thereto, (i) the Guarantors that are Guarantors at the time of the execution and delivery of such supplemental indenture need not be a party to such supplemental indenture and (ii) no Opinion of Counsel or board resolution shall be required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With Consent of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9.02, the Company, the Guarantors, the Trustee and the Collateral Agent may amend or supplement this Indenture (including, without limitation, Section 3.09, 4.10 and 4.15 hereof) and the Notes, the Guarantees and the Security Documents with the consent of the Holders of at least a majority in aggregate principal amount of the then outstanding Notes voting as a single class (including, without limitation, consents obtained in connection with a tender offer or exchange offer for, or purchase of, the Notes), and, subject to Sections 6.04 and 6.07 hereof, any existing Default or Event of Default (other than a Default or Event of Default in the payment of the principal of, premium on, if any, or interest, if any, on, the Notes, except a payment default resulting from an acceleration that has been rescinded)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compliance with any provision of this Indenture or the Notes or the Guarantees or the Security Documents may be waived with the consent of the Holders of a majority in aggregate principal amount of the then outstanding Notes voting as a single class (including, without limitation, consents obtained in connection with a tender offer or exchange offer for, or purchase of, the Notes). Section 2.08 hereof shall determine which Notes are considered to be “outstanding” for purposes of this Section 9.02.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a resolution of its board of directors authorizing the execution of any such amendment or supplement, and upon the filing with the Trustee of evidence satisfactory to the Trustee of the consent of the Holders of Notes as aforesaid, and upon receipt by the Trustee and the Collateral Agent, if applicable, of the documents described in Section 7.02 hereof, the Trustee and the Collateral Agent, if applicable, will join with the Company and the Guarantors in the execution of such amendment or supplement unless such amendment or supplement affects the Trustee’s or the Collateral Agent’s own rights, duties or immunities under this Indenture, the Security Documents or otherwise, in which case the Trustee and Collateral Agent, as applicable, may in its discretion, but will not be obligated to, enter into such amendment or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not necessary for the consent of the Holders of Notes under this Section 9.02 to approve the particular form of any proposed amendment, supplement or waiver, but it is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under this Section 9.02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Except as provided in this Section 9.02, and subject to Sections 6.04 and 6.07 hereof, the Holders of a majority in aggregate principal amount of the Notes then outstanding voting as a single class may waive compliance in a particular instance by the Company or any Guarantor with any provision of this Indenture, the Notes, the Guarantees or the Security Documents. However, without the consent of each Holder affected, an amendment, supplement or waiver under this Section 9.02 may not (with respect to any Notes held by a non-consenting Holder): </w:t>
      </w:r>
    </w:p>
    <w:p>
      <w:pPr>
        <w:pStyle w:val="TextBody"/>
        <w:bidi w:val="0"/>
        <w:spacing w:before="120" w:after="0"/>
        <w:jc w:val="left"/>
        <w:rPr>
          <w:rFonts w:ascii="Times New Roman" w:hAnsi="Times New Roman"/>
          <w:sz w:val="20"/>
        </w:rPr>
      </w:pPr>
      <w:r>
        <w:rPr>
          <w:rFonts w:ascii="Times New Roman" w:hAnsi="Times New Roman"/>
          <w:sz w:val="20"/>
        </w:rPr>
        <w:t xml:space="preserve">(1) reduce the principal amount of such Notes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(2) reduce the principal of or change the fixed final maturity of any such Note or alter or waive the provisions with respect to the redemption of such Notes (except as provided above with respect to Sections 3.09, 4.10 and 4.15 hereof); </w:t>
      </w:r>
    </w:p>
    <w:p>
      <w:pPr>
        <w:pStyle w:val="TextBody"/>
        <w:bidi w:val="0"/>
        <w:spacing w:before="120" w:after="0"/>
        <w:jc w:val="left"/>
        <w:rPr>
          <w:rFonts w:ascii="Times New Roman" w:hAnsi="Times New Roman"/>
          <w:sz w:val="20"/>
        </w:rPr>
      </w:pPr>
      <w:r>
        <w:rPr>
          <w:rFonts w:ascii="Times New Roman" w:hAnsi="Times New Roman"/>
          <w:sz w:val="20"/>
        </w:rPr>
        <w:t xml:space="preserve">(3) reduce the rate of or change the time for payment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(4) waive a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 or in respect of a covenant or provision contained in this Indenture or any Guarantee which cannot be amended or modified without the consent of all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make any Note payable in money other than that stated in the Notes; </w:t>
      </w:r>
    </w:p>
    <w:p>
      <w:pPr>
        <w:pStyle w:val="TextBody"/>
        <w:bidi w:val="0"/>
        <w:spacing w:before="120" w:after="0"/>
        <w:jc w:val="left"/>
        <w:rPr>
          <w:rFonts w:ascii="Times New Roman" w:hAnsi="Times New Roman"/>
          <w:sz w:val="20"/>
        </w:rPr>
      </w:pPr>
      <w:r>
        <w:rPr>
          <w:rFonts w:ascii="Times New Roman" w:hAnsi="Times New Roman"/>
          <w:sz w:val="20"/>
        </w:rPr>
        <w:t xml:space="preserve">(6) make any change in the provisions of this Indenture relating to waivers of past Defaults or the rights of Holders to receive payments of principal of or premium, if any, or 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(7) make any change in these amendment and waiver provisions; </w:t>
      </w:r>
    </w:p>
    <w:p>
      <w:pPr>
        <w:pStyle w:val="TextBody"/>
        <w:bidi w:val="0"/>
        <w:spacing w:before="120" w:after="0"/>
        <w:jc w:val="left"/>
        <w:rPr>
          <w:rFonts w:ascii="Times New Roman" w:hAnsi="Times New Roman"/>
          <w:sz w:val="20"/>
        </w:rPr>
      </w:pPr>
      <w:r>
        <w:rPr>
          <w:rFonts w:ascii="Times New Roman" w:hAnsi="Times New Roman"/>
          <w:sz w:val="20"/>
        </w:rPr>
        <w:t xml:space="preserve">(8) impair the right of any Holder to receive payment of principal of, or premium, if any, or interest on such Holder’s Notes on or after the due dates therefor or to institute suit for the enforcement of any payment on or with respect to such Holder’s Notes; </w:t>
      </w:r>
    </w:p>
    <w:p>
      <w:pPr>
        <w:pStyle w:val="TextBody"/>
        <w:bidi w:val="0"/>
        <w:spacing w:before="120" w:after="0"/>
        <w:jc w:val="left"/>
        <w:rPr>
          <w:rFonts w:ascii="Times New Roman" w:hAnsi="Times New Roman"/>
          <w:sz w:val="20"/>
        </w:rPr>
      </w:pPr>
      <w:r>
        <w:rPr>
          <w:rFonts w:ascii="Times New Roman" w:hAnsi="Times New Roman"/>
          <w:sz w:val="20"/>
        </w:rPr>
        <w:t xml:space="preserve">(9) make any change to, or modification of, the ranking of the Notes that would adversely affect the Holders; or </w:t>
      </w:r>
    </w:p>
    <w:p>
      <w:pPr>
        <w:pStyle w:val="TextBody"/>
        <w:bidi w:val="0"/>
        <w:spacing w:before="120" w:after="0"/>
        <w:jc w:val="left"/>
        <w:rPr>
          <w:rFonts w:ascii="Times New Roman" w:hAnsi="Times New Roman"/>
          <w:sz w:val="20"/>
        </w:rPr>
      </w:pPr>
      <w:r>
        <w:rPr>
          <w:rFonts w:ascii="Times New Roman" w:hAnsi="Times New Roman"/>
          <w:sz w:val="20"/>
        </w:rPr>
        <w:t xml:space="preserve">(10) except as expressly permitted by this Indenture, modify the Guarantees of Sabre Financing or any Sabre Foreign Guarantors in any manner materially adverse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without the consent of each Holder of the Notes adversely affected thereby, an amendment, supplement or waiver may not modify any Security Document or the provisions of this Indenture dealing with the Security Documents or application of trust moneys in any manner, in each case, that would subordinate the Lien of the Collateral Agent with respect to all or substantially all of the value of the Collateral to the Liens securing any other Obligations constituting third-party Indebtedness for borrowed money (other than as contemplated under clause (13) under Section 9.01 or if such adversely affected Holder of the Notes is offered the opportunity to participate on a pro rata basis (excluding any bona fide market backstop fees and fees and expenses of counsel) in such other Indebtedness) or otherwise release all or substantially all of the Collateral, in each case other than in accordance with this Indenture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New Intercompany Loan, without the consent of (a) the Holders of at least a majority in aggregate principal amount of the Notes then outstanding, including consents obtained in connection with a purchase of, or tender offer or exchange offer for, Notes, the Company and the Guarantors may not amend, supplement, modify or waive the provisions of the New Intercompany Loan and the Loan Documents (as defined in the New Intercompany Loan) and the related security agreements, or subordinate the liens regarding or release collateral securing the New Intercompany Loan, that requires the consent of the holders of at least a majority of the loans thereunder and (b) each Holder of Notes then outstanding, including consents obtained in connection with a purchase of, or tender offer or exchange offer for, Notes, the Company and the Guarantors may not amend, supplement or waive the provisions of the New Intercompany Loan and the Loan Documents (as defined in the New Intercompany Loan) and the related security agreements, or subordinate the lien regarding or release collateral securing the New Intercompany Loan, that requires the consent of the each holder of the loans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Notation on or Exchange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Failure to make the appropriate notation or issue a new Note will not affect the validity and effect of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Trustee to Sign Amendments,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Collateral Agent, if applicable, will sign any amendment or supplement authorized pursuant to this Article 9 if the amendment or supplement does not adversely affect the rights, duties, liabilities or immunities of the Trustee or the Collateral Agent. The Company may not sign an amendment or supplement until the board of directors of the Company approves it. In executing any amendment or supplement, the Trustee and Collateral Agent, if applicable, shall receive and (subject to Section 7.01 hereof) will be fully protected in conclusively relying upon, in addition to the documents required by Section 13.03 hereof, an Officer’s Certificate and an Opinion of Counsel (which Opinion of Counsel may be subject to customary assumptions and exclusions) stating that the execution of such amendment or supplement is authorized or permitted by this Indenture and that such amendment or supplement is the legal, valid and binding obligation of the Company and the Guarantors enforceable against them in accordance with its terms; </w:t>
      </w:r>
      <w:r>
        <w:rPr>
          <w:rFonts w:ascii="Times New Roman" w:hAnsi="Times New Roman"/>
          <w:i/>
          <w:sz w:val="20"/>
        </w:rPr>
        <w:t>provided</w:t>
      </w:r>
      <w:r>
        <w:rPr>
          <w:rFonts w:ascii="Times New Roman" w:hAnsi="Times New Roman"/>
          <w:sz w:val="20"/>
        </w:rPr>
        <w:t xml:space="preserve"> that, no Opinion of Counsel under this Section 9.05 or Section 13.03 shall be required in connection with a supplemental indenture to add Guarantors (substantially in the form of Exhibit D) and/or address matters that are ancillary or incidental thereto.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COLLATERAL AND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due and punctual payment of the principal of, premium on, if any, and interest, if any, on, the Notes when and as the same shall be due and payable, whether on an interest payment date, at maturity, by acceleration, repurchase, redemption or otherwise, and interest on the overdue principal of, premium on, if any, and interest, if any (to the extent permitted by law), on the Notes and performance of all other obligations of the Company and the Guarantors to the Holders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the Trustee or the Collateral Agent under this Indenture and the Notes (including, without limitation, the Guarantees), according to the terms hereunder or thereunder, are secured as provided in the Security Documents. Each Holder of Notes, by its acceptance thereof, consents and agrees to the terms of the Security Documents (including, without limitation, the provisions providing for foreclosure and release of Collateral), as the same may be in effect or may be amended from time to time in accordance with its terms, and authorizes and directs the Collateral Agent, acting on each Holder’s behalf, to enter into the Security Documents, as well as any amendment, restatement, novation and/or termination and release thereof, and to perform its obligations and exercise its rights thereunder in accordance therewith. The Company will deliver to the Trustee copies of all documents delivered to the Collateral Agent pursuant to the Security Documents, and will do or cause to be done all such acts and things as may be necessary or proper, or as may be required by the provisions of the Security Documents, to assure and confirm to the Trustee and the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The Company and the Guarantors will take, and will cause their respective Subsidiaries to take any and all actions reasonably required to cause the Security Documents to create and maintain, as security for the Obligations, a valid and enforceable perfected first priority Lien (subject to Permitted Liens) in and on all the Collateral, in favor of the Collateral Agent for the benefit of itself, the Trustee and the Holders of Notes, superior to and prior to the rights of all third Persons (other than holders of Permitted Liens) and subject to no other Liens than Permitted Liens, in each case, subject to the Agreed Guarantee and Security Principles, foreign legal reservations, perfection requirements, customary exceptions and the exceptions and limitations set forth in this Indenture and the Security Documents (including Excluded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Certain Collateral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Indenture or any Security Document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(a) no action shall be required to create or perfect a Lien in any asset in respect of which the creation or perfection of a security interest therein would (i) be prohibited by enforceable anti-assignment provisions set forth in any contract directly relating to such asset (at the time of acquisition thereof and not incurred in contemplation thereof (except if contemplated in connection with any licensing arrangement permitted hereunder)) that is permitted by the terms of this Indenture, (ii) violate the terms of any contract directly relating to such asset (at the time of acquisition thereof and not incurred in contemplation thereof (except if contemplated in connection with any licensing arrangement permitted hereunder)) that is permitted by the terms of this Indenture, in each case, after giving effect to the applicable anti-assignment provisions of the UCC or other applicable law or (iii) trigger termination of any contract directly relating to such asset (at the time of acquisition thereof and not incurred in contemplation thereof (except if contemplated in connection with any licensing arrangement permitted hereunder)) that is permitted by the terms of this Indenture pursuant to any “change of control” or similar provision (in each case after giving effect to any applicable anti-assignment provisions of the UCC or other applicable law), it being understood that the Collateral shall include any proceeds and/or receivables arising out of any contract described in this clause (other than Excluded Assets (as defined in the Security Agreement) to the extent the assignment of such proceeds or receivables is expressly deemed effective under the UCC or other applicable law notwithstanding the relevant prohibition, violation or termination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the Company nor any Guarantor shall be required to create or perfect a security interest in any asset to the extent the creation or perfection of a security interest in such asset would (i) be prohibited under any applicable law, after giving effect to any applicable anti-assignment provision of the UCC or other applicable law and other than proceeds thereof to the extent that the assignment of such proceeds is effective under the UCC or other applicable law notwithstanding such applicable law and/or (ii) require any governmental consent, approval, license or authorization (unless such consent, approval, license or authorization has been obtained), after giving effect to any applicable anti-assignment provision of the UCC or other applicable law and other than proceeds thereof to the extent that the assignment of such proceeds is effective under the UCC or other applicable law notwithstanding such consent or restriction, </w:t>
      </w:r>
    </w:p>
    <w:p>
      <w:pPr>
        <w:pStyle w:val="TextBody"/>
        <w:bidi w:val="0"/>
        <w:spacing w:before="240" w:after="0"/>
        <w:jc w:val="left"/>
        <w:rPr>
          <w:rFonts w:ascii="Times New Roman" w:hAnsi="Times New Roman"/>
          <w:sz w:val="20"/>
        </w:rPr>
      </w:pPr>
      <w:r>
        <w:rPr>
          <w:rFonts w:ascii="Times New Roman" w:hAnsi="Times New Roman"/>
          <w:sz w:val="20"/>
        </w:rPr>
        <w:t xml:space="preserve">(c) any joinder or supplement to this Indenture, any Security Document, any intercreditor agreement and/or other document executed by any Restricted Party that is required to become a Guarantor may include such amendments as may be necessary to qualify any representation or warranty set forth in any such document to the extent necessary to ensure that such representation or warranty is true and correct to the extent required thereby or by the terms of any other such document and </w:t>
      </w:r>
    </w:p>
    <w:p>
      <w:pPr>
        <w:pStyle w:val="TextBody"/>
        <w:bidi w:val="0"/>
        <w:spacing w:before="240" w:after="0"/>
        <w:jc w:val="left"/>
        <w:rPr>
          <w:rFonts w:ascii="Times New Roman" w:hAnsi="Times New Roman"/>
          <w:sz w:val="20"/>
        </w:rPr>
      </w:pPr>
      <w:r>
        <w:rPr>
          <w:rFonts w:ascii="Times New Roman" w:hAnsi="Times New Roman"/>
          <w:sz w:val="20"/>
        </w:rPr>
        <w:t xml:space="preserve">(d)(i) none of the Company nor any Guarantor will be required to take any action required under the Federal Assignment of Claims Act or any similar law and (ii) no Person with a security interest in the Collateral will be permitted to exercise any right of setoff in respect of any account maintained solely for the purpose of receiving and holding government receivables.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After-Acquired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Guarantors shall grant to the Collateral Agent, for the benefit of itself, the Trustee and the Holders of the Notes, a senior lien on assets or property (other than LC Assets) acquired by the Company or a Guarantor after the Issue Date, which would have constituted Collateral had such assets and property been owned by the Company or such Guarantor on the Issue Date, subject to certain exceptions provided in the Security Documents and subject to the Agreed Guarantee and Security Principles, in each case, solely to the extent required by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Release of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Liens securing the Notes will be released in certain circumstances as provided for in the Security Documents and upon the receipt of an Officer’s Certificate and an Opinion of Counsel certifying that all conditions precedent under this Indenture have been met, including under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 upon payment in full of principal, interest and all other Obligations on the Notes issued under this Indenture or upon Legal Defeasance, Covenant Defeasance or satisfaction and discharge of this Indenture in accordance with Article 12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upon release of a Guarantee (with respect to the Liens securing such Guarantee granted by such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in connection with any disposition of Collateral to any Person other than the Company or any Guarantor (but excluding any transaction subject to Section 5.01(a)) that is not prohibited by this Indenture (with respect to the Lien on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(b) Each of these releases shall be effected by the Collateral Agent without the consent of the Holders. Upon receipt of such Officer’s Certificate and Opinion of Counsel, the Collateral Agent shall execute, deliver or acknowledge any instruments of termination, satisfaction or release requested by the Company to evidence the release of any Collateral permitted to be released pursuant to this Indenture or the Security Documents. Neither the Trustee nor the Collateral Agent shall have any liability to any Person for any release delivered in reliance on the Officer’s Certificate and Opinion of Counsel delivered to it. </w:t>
      </w:r>
    </w:p>
    <w:p>
      <w:pPr>
        <w:pStyle w:val="TextBody"/>
        <w:bidi w:val="0"/>
        <w:spacing w:before="240" w:after="0"/>
        <w:jc w:val="left"/>
        <w:rPr>
          <w:rFonts w:ascii="Times New Roman" w:hAnsi="Times New Roman"/>
          <w:sz w:val="20"/>
        </w:rPr>
      </w:pPr>
      <w:r>
        <w:rPr>
          <w:rFonts w:ascii="Times New Roman" w:hAnsi="Times New Roman"/>
          <w:sz w:val="20"/>
        </w:rPr>
        <w:t xml:space="preserve">(c) At any time when a Default or Event of Default has occurred and is continuing and the maturity of the Notes has been accelerated (whether by declaration or otherwise) and the Trustee has delivered a notice of acceleration to the Collateral Agent, no release of Collateral pursuant to the provisions of the Security Documents will be effective as against the Holders of Notes. </w:t>
      </w:r>
    </w:p>
    <w:p>
      <w:pPr>
        <w:pStyle w:val="TextBody"/>
        <w:bidi w:val="0"/>
        <w:spacing w:before="240" w:after="0"/>
        <w:jc w:val="left"/>
        <w:rPr>
          <w:rFonts w:ascii="Times New Roman" w:hAnsi="Times New Roman"/>
          <w:sz w:val="20"/>
        </w:rPr>
      </w:pPr>
      <w:r>
        <w:rPr>
          <w:rFonts w:ascii="Times New Roman" w:hAnsi="Times New Roman"/>
          <w:sz w:val="20"/>
        </w:rPr>
        <w:t xml:space="preserve">(d) None of the Restricted Parties is permitted to assert that any security interest in the Collateral is not a valid and perfected security interest or to take any action, or knowingly or negligently omit to take any action, which action or omission would have the result of impairing the security interest with respect to a material portion of the Collateral. The release of any Collateral from the terms of this Indenture and the Security Documents will not be deemed to impair the security under this Indenture in contravention of the provisions hereof if and to the extent the Collateral is released pursuant to the terms of the Security Documents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Authorization of Actions to Be Taken by the Trustee Under the 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Section 7.01 and 7.02 hereof, the Trustee may, in its sole discretion and without the consent of the Holders of Notes, direct, on behalf of the Holders of Notes, the Collateral Agent to, take all actions it deems necessary or appropriate in order to: </w:t>
      </w:r>
    </w:p>
    <w:p>
      <w:pPr>
        <w:pStyle w:val="TextBody"/>
        <w:bidi w:val="0"/>
        <w:spacing w:before="120" w:after="0"/>
        <w:jc w:val="left"/>
        <w:rPr>
          <w:rFonts w:ascii="Times New Roman" w:hAnsi="Times New Roman"/>
          <w:sz w:val="20"/>
        </w:rPr>
      </w:pPr>
      <w:r>
        <w:rPr>
          <w:rFonts w:ascii="Times New Roman" w:hAnsi="Times New Roman"/>
          <w:sz w:val="20"/>
        </w:rPr>
        <w:t xml:space="preserve">(1) enforce any of the terms of the Security Documents; and </w:t>
      </w:r>
    </w:p>
    <w:p>
      <w:pPr>
        <w:pStyle w:val="TextBody"/>
        <w:bidi w:val="0"/>
        <w:spacing w:before="120" w:after="0"/>
        <w:jc w:val="left"/>
        <w:rPr>
          <w:rFonts w:ascii="Times New Roman" w:hAnsi="Times New Roman"/>
          <w:sz w:val="20"/>
        </w:rPr>
      </w:pPr>
      <w:r>
        <w:rPr>
          <w:rFonts w:ascii="Times New Roman" w:hAnsi="Times New Roman"/>
          <w:sz w:val="20"/>
        </w:rPr>
        <w:t xml:space="preserve">(2) collect and receive any and all amounts payable in respect of the Obligations of the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have power to institute and maintain such suits and proceedings as it may deem expedient to prevent any impairment of the Collateral by any acts that may be unlawful or in violation of the Security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the Trustee or the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or the Collateral Agent shall not be responsible for the existence, genuineness or value of any of the Collateral or for the validity, perfection, priority or enforceability of the Liens in any of the Collateral, whether impaired by operation of law or by reason of any action but not omission to act on its part hereunder, except to the extent such action or omission constitutes gross negligence or willful misconduct (it being understood that the Collateral Agent has no duty to, and shall have no liability for any failure to, perfect, maintain the perfection of or enforce any security interest), for the validity or sufficiency of the Collateral or any agreement or assignment contained therein, for the validity of the title of the Company to the Collateral, for insuring the Collateral or for the payment of taxes, charges, assessments or Liens upon the Collateral or otherwise as to the maintenance of the Collateral. Without limiting the foregoing, neither the Trustee nor the Collateral Agent shall have responsibility for recording, filing, re-recording or refiling any financing statement, continuation statement, amendment, document, instrument or other notice in any public office at any time or times or to otherwise take any action to perfect or maintain the perfection of any security interest granted to it under the Security Documents relating to the Notes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Where any provision of the Security Documents relating to the Notes requires that additional property or assets be provided as Collateral, the Company shall, or shall cause the applicable Guarantors to, take any and all actions reasonably required to cause such additional property or assets to be provided as Collateral and to create and perfect a valid and enforceable first-priority security interest in such property or assets (subject to Permitted Liens and other exceptions in the Security Documents relating to the Notes) in favor of the Collateral Agent for the benefit of itself, the Trustee and the Holders of the Notes in accordance with and to the extent required under the Security Documents relating to the Notes. </w:t>
      </w:r>
    </w:p>
    <w:p>
      <w:pPr>
        <w:pStyle w:val="TextBody"/>
        <w:bidi w:val="0"/>
        <w:spacing w:before="240" w:after="0"/>
        <w:jc w:val="left"/>
        <w:rPr>
          <w:rFonts w:ascii="Times New Roman" w:hAnsi="Times New Roman"/>
          <w:sz w:val="20"/>
        </w:rPr>
      </w:pPr>
      <w:r>
        <w:rPr>
          <w:rFonts w:ascii="Times New Roman" w:hAnsi="Times New Roman"/>
          <w:sz w:val="20"/>
        </w:rPr>
        <w:t xml:space="preserve">(d) The Trustee, in giving any consent or approval under this Indenture or the Security Documents relating to the Notes, shall (unless it otherwise agrees) receive, as a condition to such consent or approval, an Officer’s Certificate or an Opinion of Counsel (which Opinion of Counsel may be subject to customary assumptions and exclusions) or both to the effect that the action or omission for which consent or approval is to be given does not violate this Indenture or the Security Documents relating to the Notes, and the Trustee shall be fully protected in giving such consent or approval on the basis of such Officer’s Certificate or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i/>
          <w:sz w:val="20"/>
        </w:rPr>
        <w:t>Authorization of Receipt of Funds by the Trustee Under the 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authorized to receive any funds for the benefit of the Holders of Notes distributed under the Security Documents, and to make further distributions of such funds to the Holders of Notes according to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i/>
          <w:sz w:val="20"/>
        </w:rPr>
        <w:t>Termination of 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full and final payment and performance of all Obligations of the Company under this Indenture and the Notes or upon Legal Defeasance, Covenant Defeasance or satisfaction and discharge of this Indenture in accordance with Article 12 hereof, the Trustee will, at the request of the Company and upon receipt of an Officer’s Certificate and Opinion of Counsel, deliver a certificate to the Collateral Agent stating that such Obligations have been paid in full, and instruct the Collateral Agent to release the Liens pursuant to this Indenture and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10.08 </w:t>
      </w:r>
      <w:r>
        <w:rPr>
          <w:rFonts w:ascii="Times New Roman" w:hAnsi="Times New Roman"/>
          <w:i/>
          <w:sz w:val="20"/>
        </w:rPr>
        <w:t>The 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the Holders by acceptance of the Notes hereby designates and appoints the Collateral Agent as its agent under this Indenture and the Security Documents, and the Company and each of the Holders by acceptance of the Notes hereby irrevocably authorizes the Collateral Agent to take such action on its behalf under the provisions of this Indenture and the Security Documents, and to exercise such powers and perform such duties as are expressly delegated to the Collateral Agent by the terms of this Indenture and the Security Documents, and consents and agrees to the terms of each Security Document, as the same may be in effect or may be amended, restated, supplemented or otherwise modified from time to time in accordance with their respective terms. The Collateral Agent agrees to act as such on the express conditions contained in this Section 10.08. Each Holder agrees that any action taken by the Collateral Agent in accordance with the provisions of this Indenture and the Security Documents, and the exercise by the Collateral Agent of any rights or remedies set forth herein and therein shall be authorized and binding upon all Holders. Notwithstanding any provision to the contrary contained elsewhere in this Indenture and the Security Documents, the duties of the Collateral Agent shall be ministerial and administrative in nature, and the Collateral Agent shall not have any duties or responsibilities, except those expressly set forth herein and in the Security Documents to which the Collateral Agent is a party, nor shall the Collateral Agent have or be deemed to have any trust or other fiduciary relationship with the Trustee, any Holder, the Company or any Guarantor, and no implied covenants, functions, responsibilities, duties, obligations or liabilities shall be read into this Indenture and the Security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t>
      </w:r>
    </w:p>
    <w:p>
      <w:pPr>
        <w:pStyle w:val="TextBody"/>
        <w:bidi w:val="0"/>
        <w:spacing w:before="240" w:after="0"/>
        <w:jc w:val="left"/>
        <w:rPr>
          <w:rFonts w:ascii="Times New Roman" w:hAnsi="Times New Roman"/>
          <w:sz w:val="20"/>
        </w:rPr>
      </w:pPr>
      <w:r>
        <w:rPr>
          <w:rFonts w:ascii="Times New Roman" w:hAnsi="Times New Roman"/>
          <w:sz w:val="20"/>
        </w:rPr>
        <w:t>(b) The Collateral Agent may perform any of its duties under this Indenture and the Security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hAnsi="Times New Roman"/>
          <w:i/>
          <w:sz w:val="20"/>
        </w:rPr>
        <w:t>Related Person</w:t>
      </w:r>
      <w:r>
        <w:rPr>
          <w:rFonts w:ascii="Times New Roman" w:hAnsi="Times New Roman"/>
          <w:sz w:val="20"/>
        </w:rPr>
        <w:t xml:space="preserve">”), and shall be entitled to advice of counsel concerning all matters pertaining to such duties, and shall be entitled to act upon, and shall be fully protected in taking action in reliance upon any advice or opinion given by legal counsel. The Collateral Agent shall not be responsible for the negligence or misconduct of any receiver, agent, employee, attorney-in-fact or Related Person that it selects as long as such selection was made in good faith and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counsel (including, without limitation, counsel to the Company or any other Guarantor), independent accountants and other experts and advisors selected by the Collateral Agent. The Collateral Agent shall not be bound to make any investigation into the facts or matters stated in any resolution, certificate, statement, instrument, opinion, report, notice, request, direction, consent, judgment, order, bond, debenture, or other paper or document. The Collateral Agent shall be fully justified in failing or refusing to take any action under this Indenture and the Security Documents, unless it shall first receive such advice or concurrence of the Trustee or the requisite Holders as it determines and, if it so requests, it shall first be indemnified to its satisfaction by the Holders against any and all liability and expense which may be incurred by it by reason of taking or continuing to take any such action. The Collateral Agent shall in all cases be fully protected in acting, or in refraining from acting, under this Indenture and the Security Documents, in accordance with a request, direction, instruction or consent of the Trustee or the Holders of a majority in aggregate principal amount of the Notes and such request and any action taken or failure to act pursuant thereto shall be binding upon all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(d) The Collateral Agent shall not be deemed to have knowledge or notice of the occurrence of any Default or Event of Default, unless a Responsible Officer of the Collateral Agent shall have received written notice from the Trustee or the Company referring to this Indenture, describing such Default or Event of Default. The Collateral Agent shall take such action with respect to such Default or Event of Default as may be requested by the Trustee in accordance with Article 6 or the Holders of a majority in aggregate principal amount of the Notes (subject to this Section 10.08). </w:t>
      </w:r>
    </w:p>
    <w:p>
      <w:pPr>
        <w:pStyle w:val="TextBody"/>
        <w:bidi w:val="0"/>
        <w:spacing w:before="240" w:after="0"/>
        <w:jc w:val="left"/>
        <w:rPr>
          <w:rFonts w:ascii="Times New Roman" w:hAnsi="Times New Roman"/>
          <w:sz w:val="20"/>
        </w:rPr>
      </w:pPr>
      <w:r>
        <w:rPr>
          <w:rFonts w:ascii="Times New Roman" w:hAnsi="Times New Roman"/>
          <w:sz w:val="20"/>
        </w:rPr>
        <w:t>(e) The Collateral Agent may resign at any time by 30 days’ written notice to the Trustee and the Company, such resignation to be effective upon the acceptance of a successor agent to its appointment as Collateral Agent. If the Collateral Agent resigns under this Indenture, the Company shall appoint a successor collateral agent acceptable to the Holders of a majority of aggregate principal amount of the Notes. If no successor collateral agent is appointed prior to the intended effective date of the resignation of the Collateral Agent (as stated in the notice of resignation), the Trustee, at the direction of the Holders of a majority in aggregate principal amount of the Notes, may appoint a successor collateral agent, subject to the consent of the Company (which consent shall not be unreasonably withheld and which shall not be required during a continuing Event of Default). If no successor collateral agent is appointed and consented to by the Company pursuant to the preceding sentence within thirty (30) days after the intended effective date of resignation (as stated in the notice of resignation), the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Collateral Agent, and the term “</w:t>
      </w:r>
      <w:r>
        <w:rPr>
          <w:rFonts w:ascii="Times New Roman" w:hAnsi="Times New Roman"/>
          <w:i/>
          <w:sz w:val="20"/>
        </w:rPr>
        <w:t>Collateral Agent</w:t>
      </w:r>
      <w:r>
        <w:rPr>
          <w:rFonts w:ascii="Times New Roman" w:hAnsi="Times New Roman"/>
          <w:sz w:val="20"/>
        </w:rPr>
        <w:t xml:space="preserve">” shall mean such successor collateral agent, and the retiring Collateral Agent’s appointment, powers and duties as the Collateral Agent shall be terminated. After the retiring Collateral Agent’s resignation hereunder, the provisions of this Section 10.08 (and Section 7.06 hereof) shall continue to inure to its benefit and the retiring Collateral Agent shall not by reason of such resignation be deemed to be released from liability as to any actions taken or omitted to be taken by it while it was the Collateral Agent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Wilmington Trust, National Association shall initially act as Collateral Agent and shall be authorized to appoint co-collateral agents as necessary in its sole discretion. Except as otherwise explicitly provided herein or in the Security Documents,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its officers, directors, employees or agents shall be responsible for any act or failure to act hereunder, except for its own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(g) The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Company, the Trustee shall notify the Collateral Agent thereof and promptly shall deliver such Collateral to the Collateral Agent or otherwise deal with such Collateral in accordance with the Collateral Agent’s instructions. </w:t>
      </w:r>
    </w:p>
    <w:p>
      <w:pPr>
        <w:pStyle w:val="TextBody"/>
        <w:bidi w:val="0"/>
        <w:spacing w:before="240" w:after="0"/>
        <w:jc w:val="left"/>
        <w:rPr>
          <w:rFonts w:ascii="Times New Roman" w:hAnsi="Times New Roman"/>
          <w:sz w:val="20"/>
        </w:rPr>
      </w:pPr>
      <w:r>
        <w:rPr>
          <w:rFonts w:ascii="Times New Roman" w:hAnsi="Times New Roman"/>
          <w:sz w:val="20"/>
        </w:rPr>
        <w:t xml:space="preserve">(h) Collateral Agent shall have no obligation whatsoever to the Trustee or any of the Holders to assure that the Collateral exists or is owned by the Company or any Guarantor or is cared for, protected, or insured or has been encumbered, or that the Collateral Agent’s Liens have been properly or sufficiently or lawfully created, perfected, protected, maintained or enforced or are entitled to any particular priority, or to determine whether all or any of the Company’s or the Guarantor’s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or any Security Document. </w:t>
      </w:r>
    </w:p>
    <w:p>
      <w:pPr>
        <w:pStyle w:val="TextBody"/>
        <w:bidi w:val="0"/>
        <w:spacing w:before="240" w:after="0"/>
        <w:jc w:val="left"/>
        <w:rPr>
          <w:rFonts w:ascii="Times New Roman" w:hAnsi="Times New Roman"/>
          <w:sz w:val="20"/>
        </w:rPr>
      </w:pPr>
      <w:r>
        <w:rPr>
          <w:rFonts w:ascii="Times New Roman" w:hAnsi="Times New Roman"/>
          <w:sz w:val="20"/>
        </w:rPr>
        <w:t xml:space="preserve">(i) No provision of this Indenture or any Security Document shall require the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Collateral Agent) unless it shall have received indemnity satisfactory to the Collateral Agent and the Trustee against potential costs and liabilities incurred by it relating thereto. Notwithstanding anything to the contrary contained in this Indenture or the Security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(i) if it no longer reasonably deems any indemnity, security or undertaking from the Company or the Holders to be sufficient.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Collateral Agent (i) shall not be liable for any action taken or omitted to be taken by it in connection with this Indenture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Collateral Agent may agree in writing with the Company (and money held in trust by the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Collateral Agent shall not be construed to impose duties to act. </w:t>
      </w:r>
    </w:p>
    <w:p>
      <w:pPr>
        <w:pStyle w:val="TextBody"/>
        <w:bidi w:val="0"/>
        <w:spacing w:before="240" w:after="0"/>
        <w:jc w:val="left"/>
        <w:rPr>
          <w:rFonts w:ascii="Times New Roman" w:hAnsi="Times New Roman"/>
          <w:sz w:val="20"/>
        </w:rPr>
      </w:pPr>
      <w:r>
        <w:rPr>
          <w:rFonts w:ascii="Times New Roman" w:hAnsi="Times New Roman"/>
          <w:sz w:val="20"/>
        </w:rPr>
        <w:t xml:space="preserve">(k) The Collateral Agent shall not be liable for any indirect, special, punitive, incidental or consequential damages (included but not limited to lost profits) whatsoever, even if it has been informed of the likelihood thereof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(l) The Collateral Agent does not assume any responsibility for any failure or delay in performance or any breach by the Company or any other Guarantor under this Indenture and the Security Documents. Neither the Collateral Agent nor the Trustee shall be responsible to the Holders or any other Person for any recitals, statements, information, representations or warranties contained in this Indenture and the Security Documents, or in any certificate, report, statement, or other document referred to or provided for in, or received by the Collateral Agent under or in connection with, this Indenture, or any Security Document; the execution, validity, genuineness, effectiveness or enforceability of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Notes Obligations; the assets, liabilities, financial condition, results of operations, business, creditworthiness or legal status of any obligor; or for any failure of any obligor to perform its Obligations under this Indenture and the Indenture Documents. The Collateral Agent shall have no obligation to any Holder or any other Person to ascertain or inquire into the existence of any Default or Event of Default, the observance or performance by any obligor of any terms of this Indenture, the Security Documents or the New Intercompany Loan, or the satisfaction of any conditions precedent contained in this Indenture and the Security Documents. The Collateral Agent shall not be required to initiate or conduct any litigation or collection or other proceeding under this Indenture and the Security Documents unless expressly set forth hereunder or thereunder. The Collateral Agent shall have the right at any time to seek instructions from the Holders with respect to the administration of this Indenture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(m) 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result of this Indenture and the Security Documents or any actions taken pursuant hereto or thereto. Further, the parties hereto and the Holders hereby agree and acknowledge that in the exercise of its rights under this Indenture and the Security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 In the event that the Collateral Agent or the Trustee is required to acquire title to an asset for any reason, or take any managerial action of any kind in regard thereto, in order to carry out any fiduciary or trust obligation for the benefit of another, which in either of the Collateral Agent or the Trustee’s sole discretion may cause the Collateral Agent or the Trustee, as applicable, to be considered an “owner or operator” under the provisions of the Comprehensive Environmental Response, Compensation and Liability Act (“</w:t>
      </w:r>
      <w:r>
        <w:rPr>
          <w:rFonts w:ascii="Times New Roman" w:hAnsi="Times New Roman"/>
          <w:i/>
          <w:sz w:val="20"/>
        </w:rPr>
        <w:t>CERCLA</w:t>
      </w:r>
      <w:r>
        <w:rPr>
          <w:rFonts w:ascii="Times New Roman" w:hAnsi="Times New Roman"/>
          <w:sz w:val="20"/>
        </w:rPr>
        <w:t xml:space="preserve">”), 42 U.S.C. § 9601, et seq., or otherwise cause the Collateral Agent or the Trustee to incur liability under CERCLA or any other federal, state or local law, each of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the Company, the Guarantors or any other Person for any environmental claims or contribution actions under any federal, state or local law, rule or regulation by reason of either of the Collateral Agent’s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Collateral Agent or the Trustee) other than the Company or the Guarantors, Holders of a majority in aggregate principal amount of the Notes shall direct the Collateral Agent or the Trustee to appoint an appropriately qualified Person (excluding the Collateral Agent or the Trustee) who they shall designate to possess, own, operate or manage, as the case may be, the property. </w:t>
      </w:r>
    </w:p>
    <w:p>
      <w:pPr>
        <w:pStyle w:val="TextBody"/>
        <w:bidi w:val="0"/>
        <w:spacing w:before="240" w:after="0"/>
        <w:jc w:val="left"/>
        <w:rPr>
          <w:rFonts w:ascii="Times New Roman" w:hAnsi="Times New Roman"/>
          <w:sz w:val="20"/>
        </w:rPr>
      </w:pPr>
      <w:r>
        <w:rPr>
          <w:rFonts w:ascii="Times New Roman" w:hAnsi="Times New Roman"/>
          <w:sz w:val="20"/>
        </w:rPr>
        <w:t xml:space="preserve">(n) Each Holder, by acceptance of the Notes, agrees that the Collateral Agent shall execute and deliver the Security Documents to which it is a party and all agreements, documents and instruments incidental thereto, and act in accordance with the terms thereof, binding the Holders to the terms thereof. For the avoidance of doubt, the Collateral Agent shall have no obligation to exercise any discretion under this Indenture or the Security Documents and shall not be required to make or give any determination, consent, approval, request or direction without the written direction of Holders of a majority in aggregate principal amount of the Notes. Whether or not expressly stated therein, in executing, delivering and performing under any Security Document, the Collateral Agent shall be entitled to each of the rights, privileges, immunities and indemnities granted to it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(o) After the occurrence and continuance of an Event of Default, the Trustee, acting at the direction of Holders of a majority in aggregate principal amount of the Notes, may direct the Collateral Agent in connection with any action required or permitted by this Indenture or the Security Documents. </w:t>
      </w:r>
    </w:p>
    <w:p>
      <w:pPr>
        <w:pStyle w:val="TextBody"/>
        <w:bidi w:val="0"/>
        <w:spacing w:before="240" w:after="0"/>
        <w:jc w:val="left"/>
        <w:rPr>
          <w:rFonts w:ascii="Times New Roman" w:hAnsi="Times New Roman"/>
          <w:sz w:val="20"/>
        </w:rPr>
      </w:pPr>
      <w:r>
        <w:rPr>
          <w:rFonts w:ascii="Times New Roman" w:hAnsi="Times New Roman"/>
          <w:sz w:val="20"/>
        </w:rPr>
        <w:t>(p) In each case that the Collateral Agent may or is required hereunder or under any Security Document to take any action (an “</w:t>
      </w:r>
      <w:r>
        <w:rPr>
          <w:rFonts w:ascii="Times New Roman" w:hAnsi="Times New Roman"/>
          <w:i/>
          <w:sz w:val="20"/>
        </w:rPr>
        <w:t>Action</w:t>
      </w:r>
      <w:r>
        <w:rPr>
          <w:rFonts w:ascii="Times New Roman" w:hAnsi="Times New Roman"/>
          <w:sz w:val="20"/>
        </w:rPr>
        <w:t xml:space="preserve">”), including without limitation to make any determination, to give consents, to exercise rights, powers or remedies, to release or sell Collateral or otherwise to act hereunder or under any Security Document, the Collateral Agent may seek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direction from Holders of a majority in aggregate principal amount of the Notes, accompanied by indemnity, if requested, satisfactory to the Collateral Agent. The Collateral Agent shall not be liable with respect to any Action taken or omitted to be taken by it in accordance with the direction from Holders of a majority in aggregate principal amount of the Notes. If the Collateral Agent shall request direction from Holders of a majority in aggregate principal amount of the Notes with respect to any Action, the Collateral Agent shall be entitled to refrain from such Action unless and until the Collateral Agent shall have received direction from Holders of a majority in aggregate principal amount of the Notes, accompanied by indemnity, if requested, satisfactory to the Collateral Agent, and the Collateral Agent shall not incur liability to any Person by reason of so refraining. </w:t>
      </w:r>
    </w:p>
    <w:p>
      <w:pPr>
        <w:pStyle w:val="TextBody"/>
        <w:bidi w:val="0"/>
        <w:spacing w:before="240" w:after="0"/>
        <w:jc w:val="left"/>
        <w:rPr>
          <w:rFonts w:ascii="Times New Roman" w:hAnsi="Times New Roman"/>
          <w:sz w:val="20"/>
        </w:rPr>
      </w:pPr>
      <w:r>
        <w:rPr>
          <w:rFonts w:ascii="Times New Roman" w:hAnsi="Times New Roman"/>
          <w:sz w:val="20"/>
        </w:rPr>
        <w:t xml:space="preserve">(q) Notwithstanding anything to the contrary in this Indenture or in any Security Document, in no event shall the Collateral Agent or the Trustee be responsible for, or have any duty or obligation with respect to, the recording, filing, registering, perfection, protection or maintenance of the security interests or Liens intended to be created by this Indenture or the Security Documents (including without limitation the filing or continuation of any UCC financing or continuation statements or similar documents or instruments), nor shall the Collateral Agent or the Trustee be responsible for, and neither the Collateral Agent nor the Trustee makes any representation regarding, the validity, effectiveness or priority of any of the Security Documents or the security interests or Liens intended to be created thereby. </w:t>
      </w:r>
    </w:p>
    <w:p>
      <w:pPr>
        <w:pStyle w:val="TextBody"/>
        <w:bidi w:val="0"/>
        <w:spacing w:before="240" w:after="0"/>
        <w:jc w:val="left"/>
        <w:rPr>
          <w:rFonts w:ascii="Times New Roman" w:hAnsi="Times New Roman"/>
          <w:sz w:val="20"/>
        </w:rPr>
      </w:pPr>
      <w:r>
        <w:rPr>
          <w:rFonts w:ascii="Times New Roman" w:hAnsi="Times New Roman"/>
          <w:sz w:val="20"/>
        </w:rPr>
        <w:t xml:space="preserve">(r) Before the Collateral Agent acts or refrains from acting in each case at the request or direction of the Company or the Guarantors, other than as set forth in this Indenture, it may require an Officer’s Certificate and an Opinion of Counsel. The Collateral Agent shall not be liable for any action it takes or omits to take in good faith in reliance on such certificate or opinion. </w:t>
      </w:r>
    </w:p>
    <w:p>
      <w:pPr>
        <w:pStyle w:val="TextBody"/>
        <w:bidi w:val="0"/>
        <w:spacing w:before="240" w:after="0"/>
        <w:jc w:val="left"/>
        <w:rPr>
          <w:rFonts w:ascii="Times New Roman" w:hAnsi="Times New Roman"/>
          <w:sz w:val="20"/>
        </w:rPr>
      </w:pPr>
      <w:r>
        <w:rPr>
          <w:rFonts w:ascii="Times New Roman" w:hAnsi="Times New Roman"/>
          <w:sz w:val="20"/>
        </w:rPr>
        <w:t xml:space="preserve">(s) The rights, privileges, benefits, immunities, indemnities and other protections given to the Trustee are extended to, and shall be enforceable by, the Collateral Agent under each Security Document, as if the Collateral Agent were named as the Trustee herein and the Security Documents were named as this Indenture herein. The Collateral Agent shall be entitled to compensation, reimbursement and indemnity as set forth in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i/>
          <w:sz w:val="20"/>
        </w:rPr>
        <w:t>Australian Security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 other provision of this Indenture that authorizes the Collateral Agent to enter into and perform under the Security Documents, the Collateral Agent is hereby authorized to enter into the Australian Security Documents, as security trustee, and the Collateral Agent hereby accepts its appointment, designation and authorization as such and agrees that it holds and will hold all of its right, title and interest in, to and under the Australian Security Documents and the Collateral granted to it thereunder, under and subject to the terms and conditions set forth in this Indenture and the Australian Security Documents; and the Collateral Agent further agrees that it will hold such Collateral in trust for the benefit of, amongst others, the First Lien Secured Parties, pursuant to the terms of this Indenture and the Australian Security Documents, in each case upon the terms and subject to the conditions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It is acknowledged that the Collateral Agent when acting in its capacity as Australian security trustee shall have rights, protections, immunities, limits on liability and indemnities hereunder and under the Australian Security Documents.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this Article 11, each of the Guarantors hereby, jointly and severally, unconditionally guarantees to each Holder of a Note authenticated and delivered by the Trustee and to the Trustee, the Collateral Agent, and their successors and assigns, irrespective of the validity and enforceability of this Indenture, the Notes or the obligations of the Company hereunder or thereunder, that: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of, premium, if any, on, and interest, if any, on the Notes will be promptly paid in full when due, whether at maturity, by acceleration, redemption or otherwise, and interest on the overdue principal of, premium on, if any, and interest, if any, on, the Notes, if lawful, and all other Obligations of the Company and each other Guarantor to the Holders, the Trustee or the Collateral Agent hereunder or thereunder will be promptly paid in full or performed, all in accordance with the terms hereof and thereof; and </w:t>
      </w:r>
    </w:p>
    <w:p>
      <w:pPr>
        <w:pStyle w:val="TextBody"/>
        <w:bidi w:val="0"/>
        <w:spacing w:before="120" w:after="0"/>
        <w:jc w:val="left"/>
        <w:rPr>
          <w:rFonts w:ascii="Times New Roman" w:hAnsi="Times New Roman"/>
          <w:sz w:val="20"/>
        </w:rPr>
      </w:pPr>
      <w:r>
        <w:rPr>
          <w:rFonts w:ascii="Times New Roman" w:hAnsi="Times New Roman"/>
          <w:sz w:val="20"/>
        </w:rPr>
        <w:t xml:space="preserve">(2) in case of any extension of time of payment or renewal of any Notes or any of such other obligations, that same will be promptly paid in full when due or performed in accordance with the terms of the extension or renewal, whether at stated maturity, by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 The Guarantors hereby agree that their obligations hereunder are unconditional, shall not be affected by, and shall remain in full force and effect without regard to, and hereby waives all rights, claims or defenses that it might otherwise have (now or in the future) with respect to each of the following (whether or not such Guarantor has knowledge thereof): (i) the validity, regularity or enforceability of the Notes, this Indenture, or the Security Documents, any of the Obligations or any guarantee or right of offset with respect thereto, (ii) any renewal, extension or acceleration of, or any increase in the amount of the Obligations, or any amendment, supplement, modification or waiver of, or any consent to or departure from, the Notes, this Indenture, or the Security Documents, and (iii)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any Holder, the Trustee or the Collateral Agent is required by any court or otherwise to return to the Company, the Guarantors or any custodian, trustee, liquidator or other similar official acting in relation to either the Company or the Guarantors, any amount paid by either to the Trustee, the Collateral Agent or such Holder, this Note Guarantee, to the extent theretofore discharged, will be reinstated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the Trustee and the Collateral Agent,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Limitation on Guarantor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Collateral Agent,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Guarantee not constituting a fraudulent transfer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Guarantee Limitation — England.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the Notes or any Security Document, with respect to each Guarantor incorporated or formed in England and Wales only, the Guarantee granted by that Guarantor under this Indenture shall not apply or extend to any liability to the extent it would result in the Guarantee granted by that Guarantor constituting unlawful financial assistance within the meaning of sections 678 or 679 of the Companies Act 2006 of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11.04 </w:t>
      </w:r>
      <w:r>
        <w:rPr>
          <w:rFonts w:ascii="Times New Roman" w:hAnsi="Times New Roman"/>
          <w:i/>
          <w:sz w:val="20"/>
        </w:rPr>
        <w:t>Guarantee Limitation — Singapore.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the Notes or any Security Document, with respect to each Guarantor incorporated or formed in Singapore only, the Guarantee granted by that Guarantor under this Indenture shall not apply or extend to any liability to the extent it would result in the Guarantee granted by that Guarantor constituting financial assistance within the meaning of section 76 of the Companies Act 1967 of Singapore.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i/>
          <w:sz w:val="20"/>
        </w:rPr>
        <w:t>Guarantee Limitation — Australia.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the Notes, or any Security Document, with respect to each Guarantor incorporated or formed in Australia only, the Guarantee granted by that Guarantor under this Indenture shall not apply or extend to any liability to the extent it would result in the Guarantee granted by that Guarantor constituting financial assistance within the meaning of Part 2J.3 of the Australian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i/>
          <w:sz w:val="20"/>
        </w:rPr>
        <w:t>Guarantee Limitation — Luxembourg.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Notwithstanding the foregoing and any other provision of the Security Documents and the Purchase Agreement, the maximum liability of a Luxembourg Guarantor for the obligations of any other Guarantor, Sabre GLBL and/or the Company which is not a direct or indirect subsidiary of such Luxembourg Guarantor shall be limited at any time to a recovery not exceeding 95 per cent (95%) of such Luxembourg Guarantor’s net assets calculated as (x) the value of the assets of such Luxembourg Guarantor decreased by (y) any liabilities owed by that Luxembourg Guarantor to any third-party creditor (excluding, for the avoidance of any doubts, any liabilities owed by such Luxembourg Guarantor to any other member of the group to which it is a party) (the “</w:t>
      </w:r>
      <w:r>
        <w:rPr>
          <w:rFonts w:ascii="Times New Roman" w:hAnsi="Times New Roman"/>
          <w:i/>
          <w:sz w:val="20"/>
        </w:rPr>
        <w:t>Net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Net Assets value shall be determined as the highest of the calculations made on the basis of: </w:t>
      </w:r>
    </w:p>
    <w:p>
      <w:pPr>
        <w:pStyle w:val="TextBody"/>
        <w:bidi w:val="0"/>
        <w:spacing w:before="120" w:after="0"/>
        <w:jc w:val="left"/>
        <w:rPr>
          <w:rFonts w:ascii="Times New Roman" w:hAnsi="Times New Roman"/>
          <w:sz w:val="20"/>
        </w:rPr>
      </w:pPr>
      <w:r>
        <w:rPr>
          <w:rFonts w:ascii="Times New Roman" w:hAnsi="Times New Roman"/>
          <w:sz w:val="20"/>
        </w:rPr>
        <w:t xml:space="preserve">(a) the latest annual accounts of such Luxembourg Guarantor available as at the Closing Date; and </w:t>
      </w:r>
    </w:p>
    <w:p>
      <w:pPr>
        <w:pStyle w:val="TextBody"/>
        <w:bidi w:val="0"/>
        <w:spacing w:before="240" w:after="0"/>
        <w:jc w:val="left"/>
        <w:rPr>
          <w:rFonts w:ascii="Times New Roman" w:hAnsi="Times New Roman"/>
          <w:sz w:val="20"/>
        </w:rPr>
      </w:pPr>
      <w:r>
        <w:rPr>
          <w:rFonts w:ascii="Times New Roman" w:hAnsi="Times New Roman"/>
          <w:sz w:val="20"/>
        </w:rPr>
        <w:t xml:space="preserve">(b) the latest annual accounts of such Luxembourg Guarantor available as at the date on which a demand for payment is made in respect of this Indenture and the Security Documents entered into by the Luxembourg Guarantor. </w:t>
      </w:r>
    </w:p>
    <w:p>
      <w:pPr>
        <w:pStyle w:val="TextBody"/>
        <w:bidi w:val="0"/>
        <w:spacing w:before="240" w:after="0"/>
        <w:jc w:val="left"/>
        <w:rPr>
          <w:rFonts w:ascii="Times New Roman" w:hAnsi="Times New Roman"/>
          <w:sz w:val="20"/>
        </w:rPr>
      </w:pPr>
      <w:r>
        <w:rPr>
          <w:rFonts w:ascii="Times New Roman" w:hAnsi="Times New Roman"/>
          <w:sz w:val="20"/>
        </w:rPr>
        <w:t>Where, for the purpose of the above determinations, no duly established annual accounts are available for the relevant reference period (which, for the avoidance of doubt, includes a situation where, in respect of the determination to be made above, no final annual accounts have been established in due time in respect of the then most recently ended financial year), the relevant Luxembourg Guarantor shall, promptly establish unaudited interim accounts (as of the date of the end of the then most recent financial quarter) or annual accounts (as applicable) duly established in accordance with Luxembourg GAAP. If the Luxembourg Guarantor fails to provide such unaudited interim accounts or annual accounts (as applicable) within 30 (thirty) business days as from the request of the Collateral Agent, the Trustee or the Holders, the Collateral Agent or the Trustee may appoint an approved statutory auditor (</w:t>
      </w:r>
      <w:r>
        <w:rPr>
          <w:rFonts w:ascii="Times New Roman" w:hAnsi="Times New Roman"/>
          <w:i/>
          <w:sz w:val="20"/>
        </w:rPr>
        <w:t>réviseur d’entreprises agréé</w:t>
      </w:r>
      <w:r>
        <w:rPr>
          <w:rFonts w:ascii="Times New Roman" w:hAnsi="Times New Roman"/>
          <w:sz w:val="20"/>
        </w:rPr>
        <w:t xml:space="preserve">) or an independent reputable investment bank which shall make the determination of the Net Assets amounts based on such available elements and facts as deemed relevant by it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above limitation shall not apply to any amounts borrowed by, or made available to, in any form whatsoever, the Luxembourg Guarantor or any of its direct or indirect present or future subsidiaries under any Security Document and/or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i/>
          <w:sz w:val="20"/>
        </w:rPr>
        <w:t>Guarantee Limitation – Poland.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Polish Guarantor incorporated in Poland shall be limited to the extent required so that such obligations do not and cannot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payment leading to a reduction of the assets required for the coverage of the total nominal capital or a repayment of capital as prohibited under Article 189 of the Polish Companies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the extent the obligations of a Polish Guarantor under this Indenture are considered a financial liability within the meaning of Article 11 section 2 of the Polish Insolvency Act, such obligations of a Polish Guarantor shall be limited to the extent required so that they do not result in the insolvency (</w:t>
            </w:r>
            <w:r>
              <w:rPr>
                <w:rFonts w:ascii="Times New Roman" w:hAnsi="Times New Roman"/>
                <w:i/>
                <w:sz w:val="20"/>
              </w:rPr>
              <w:t>niewypłacalność</w:t>
            </w:r>
            <w:r>
              <w:rPr>
                <w:rFonts w:ascii="Times New Roman" w:hAnsi="Times New Roman"/>
                <w:sz w:val="20"/>
              </w:rPr>
              <w:t xml:space="preserve">) of a Polish Guarantor within the meaning of Article 11 section 2 of the Polish Insolvency Act or in the insolvency within the meaning of Article 6 section 3 of the Polish Restructuring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limitation in limb (b) above will not apply if one or more of the following circumstances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 of Default has occurred or is continuing, irrespective of whether any of such events occurs before or after the Polish Guarantor becomes insolvent within the meaning of Article 11 section 2 of the Polish Insolvency Act or Article 6 section 3 of the Polish Restructuring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any liabilities of the Polish Guarantor (other than those under this Indenture, the Notes, or any Security Document) are of such value which results in its insolvency within the meaning of Article 11 section 2 of the Polish Insolvency Act or Article 6 section 3 of the Polish Restructuring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Polish law is amended in such a manner that over-indebtedness (</w:t>
            </w:r>
            <w:r>
              <w:rPr>
                <w:rFonts w:ascii="Times New Roman" w:hAnsi="Times New Roman"/>
                <w:i/>
                <w:sz w:val="20"/>
              </w:rPr>
              <w:t>stan nadmiernego zadłużenia</w:t>
            </w:r>
            <w:r>
              <w:rPr>
                <w:rFonts w:ascii="Times New Roman" w:hAnsi="Times New Roman"/>
                <w:sz w:val="20"/>
              </w:rPr>
              <w:t xml:space="preserve">) as provided for in Article 11 section 2 of the Polish Insolvency Act (as in force on the date of this Agreement) no longer gives grounds for declaration of bankruptcy or obliges the representatives of the Polish Guarantor to file for bankruptcy.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i/>
          <w:sz w:val="20"/>
        </w:rPr>
        <w:t>Execution and Delivery of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evidence its Guarantee set forth in Section 11.01 hereof, each Guarantor hereby agrees that this Indenture or a supplemental indenture will be executed on behalf of such Guarantor by one of its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Guarantor hereby agrees that its Guarantee set forth in Section 11.01 hereof will remain in full force and effect notwithstanding any failure to endorse on each Note a notation of such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this Indenture or on the Guarantee no longer holds that office at the time the Trustee authenticates the Note on which a Guarantee is endorsed, the Guarantee will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The delivery of any Note by the Trustee, after the authentication thereof hereunder, will constitute due delivery of the Guarantee set forth in this Indenture on behalf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If required by Section 4.17 hereof, the Company will cause such Subsidiary to comply with the provisions of Section 4.17 hereof and this Article 11,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i/>
          <w:sz w:val="20"/>
        </w:rPr>
        <w:t>Guarantors May Consolidate, etc., on Certain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11.05 hereof, no Guarantor will, and the Restricted Parties will not permit any Guarantor to, consolidate, amalgamate or merge with or into or wind up into (whether or not such Guarantor is the surviving Person), or sell, assign, transfer, lease, convey or otherwise dispose of all or substantially all of its consolidated properties or assets taken as a whole, in one or more related transactions, to any Person (other than the Company or a Guarantor) unless: </w:t>
      </w:r>
    </w:p>
    <w:p>
      <w:pPr>
        <w:pStyle w:val="TextBody"/>
        <w:bidi w:val="0"/>
        <w:spacing w:before="120" w:after="0"/>
        <w:jc w:val="left"/>
        <w:rPr>
          <w:rFonts w:ascii="Times New Roman" w:hAnsi="Times New Roman"/>
          <w:sz w:val="20"/>
        </w:rPr>
      </w:pPr>
      <w:r>
        <w:rPr>
          <w:rFonts w:ascii="Times New Roman" w:hAnsi="Times New Roman"/>
          <w:sz w:val="20"/>
        </w:rPr>
        <w:t xml:space="preserve">(1) (a) such Guarantor is the surviving Person or the Person formed by or surviving any such consolidation, amalgamation or merger (if other than such Guarantor) or to which such sale, assignment, transfer, lease, conveyance or other disposition will have been made is a Person organized or existing under (a) the laws of the jurisdiction of organization of such Guarantor, as applicable, or the laws of the United States, any state thereof, the District of Columbia, or any territory thereof or (b) other than in the case of Sabre Financial, the laws of (i) the same jurisdiction as such Guarantor, (ii) another jurisdiction in which a Guarantor has been formed or (iii) any other member country in the Organization for Economic Cooperation and Development or any political subdivision or governmental authority thereof, provided, in the case of clauses (ii) and (iii), such jurisdiction is being used for legitimate business or tax saving purposes and the use of such jurisdiction does not have a material adverse effect on the enforceability of the applicable Guarantee or Liens on Collateral of such Guarantor for the benefit of the Holders of the Notes (such surviving Guarantor or such Person, as the case may be, being herein called the “Successor Guarantor”); </w:t>
      </w:r>
    </w:p>
    <w:p>
      <w:pPr>
        <w:pStyle w:val="TextBody"/>
        <w:bidi w:val="0"/>
        <w:spacing w:before="120" w:after="0"/>
        <w:jc w:val="left"/>
        <w:rPr>
          <w:rFonts w:ascii="Times New Roman" w:hAnsi="Times New Roman"/>
          <w:sz w:val="20"/>
        </w:rPr>
      </w:pPr>
      <w:r>
        <w:rPr>
          <w:rFonts w:ascii="Times New Roman" w:hAnsi="Times New Roman"/>
          <w:sz w:val="20"/>
        </w:rPr>
        <w:t xml:space="preserve">(b) the Successor Guarantor, if other than such Guarantor, expressly assumes all the obligations of such Guarantor under this Indenture and such Guarantor’s related Guarantee pursuant to supplemental indentures or other documents or instruments; </w:t>
      </w:r>
    </w:p>
    <w:p>
      <w:pPr>
        <w:pStyle w:val="TextBody"/>
        <w:bidi w:val="0"/>
        <w:spacing w:before="120" w:after="0"/>
        <w:jc w:val="left"/>
        <w:rPr>
          <w:rFonts w:ascii="Times New Roman" w:hAnsi="Times New Roman"/>
          <w:sz w:val="20"/>
        </w:rPr>
      </w:pPr>
      <w:r>
        <w:rPr>
          <w:rFonts w:ascii="Times New Roman" w:hAnsi="Times New Roman"/>
          <w:sz w:val="20"/>
        </w:rPr>
        <w:t xml:space="preserve">(c) immediately after such transaction, no Default exists; and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Officer’s Certificate and an Opinion of Counsel, each stating that such consolidation, merger, amalgamation or transfer and such supplemental indentures, if any, comply with this Indenture;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with respect to the Guarantors, the transaction is not prohibited by Section 4.10(a) 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described in this Indenture, the Successor Guarantor will succeed to, and be substituted for, such Guarantor under this Indenture and such Guarantor’s Guarantee. Notwithstanding the foregoing, any Guarantor may (1) merge or consolidate with or into, wind up into or transfer all or part of its properties and assets to another Guarantor or the Company, (2) merge with an Affiliate of the Company solely for the purpose of reincorporating the Guarantor in the United States, any state thereof, the District of Columbia or any territory thereof or (3) convert into a corporation, partnership, limited partnership, limited liability corporation or trust organized or existing under the laws of the jurisdiction of organization of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or conveyance and upon the assumption by the Successor Guarantor, by supplemental indenture, executed and delivered to the Trustee and satisfactory in form to the Trustee, of the Guarantee set forth in this Article 11 and the due and punctual performance of all of the covenants and conditions of this Indenture to be performed by the Guarantor, such Successor Guarantor will succeed to and be substituted for the Guarantor with the same effect as if it had been named herein as a Guarantor. Such Successor Guarantor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Articles 4 and 5 hereof, and notwithstanding clauses 1(a) and (b) of this Section 11.04,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i/>
          <w:sz w:val="20"/>
        </w:rPr>
        <w:t>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Guarantee by a Sabre Foreign Guarantor will provide by its terms that it will be automatically and unconditionally released and discharged under its Guarantee upon: </w:t>
      </w:r>
    </w:p>
    <w:p>
      <w:pPr>
        <w:pStyle w:val="TextBody"/>
        <w:bidi w:val="0"/>
        <w:spacing w:before="120" w:after="0"/>
        <w:jc w:val="left"/>
        <w:rPr>
          <w:rFonts w:ascii="Times New Roman" w:hAnsi="Times New Roman"/>
          <w:sz w:val="20"/>
        </w:rPr>
      </w:pPr>
      <w:r>
        <w:rPr>
          <w:rFonts w:ascii="Times New Roman" w:hAnsi="Times New Roman"/>
          <w:sz w:val="20"/>
        </w:rPr>
        <w:t xml:space="preserve">(1) (a) any sale, exchange or transfer (by merger, amalgamation, consolidation or otherwise) of (i) the Capital Stock of such Sabre Foreign Guarantor, after which the applicable Sabre Foreign Guarantor is no longer a Restricted Subsidiary or (ii) all or substantially all the assets of such Sabre Foreign Guarantor, in each case if such sale, exchange or transfer is made in compliance with the applicable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designation of any Restricted Subsidiary that is a Sabre Foreign Guarantor as an Unrestricted Subsidiary in accordance with the terms of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(c) the exercise by the Company of its legal defeasance option or covenant defeasance option as described under Article 8 hereof or the satisfaction and discharge of the Company’s obligations under this Indenture in accordance with Article 12 hereof; and </w:t>
      </w:r>
    </w:p>
    <w:p>
      <w:pPr>
        <w:pStyle w:val="TextBody"/>
        <w:bidi w:val="0"/>
        <w:spacing w:before="120" w:after="0"/>
        <w:jc w:val="left"/>
        <w:rPr>
          <w:rFonts w:ascii="Times New Roman" w:hAnsi="Times New Roman"/>
          <w:sz w:val="20"/>
        </w:rPr>
      </w:pPr>
      <w:r>
        <w:rPr>
          <w:rFonts w:ascii="Times New Roman" w:hAnsi="Times New Roman"/>
          <w:sz w:val="20"/>
        </w:rPr>
        <w:t xml:space="preserve">(2) delivery by the Company to the Trustee of an Officer’s Certificate and an Opinion of Counsel, each stating that all conditions precedent provided for in this Indenture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Guarantee by Sabre Financing will be automatically and unconditionally released and discharged upon (1) the exercise by the Company of its legal defeasance option or covenant defeasance option as described under Article 8 hereof or the satisfaction and discharge of the Company’s obligations under this Indenture in accordance with Article 12 hereof and (2) the Company delivering to the Trustee an Officer’s Certificate and an Opinion of Counsel, each stating that all conditions precedent provided for in this Indenture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Any Guarantor not released from its obligations under its Guarantee as provided in this Section 11.05 will remain liable for the full amount of principal of, premium on, if any, and interest, if any, on, the Notes and for the other obligations of any Guarantor under this Indenture as provided in this Article 11.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i/>
          <w:sz w:val="20"/>
        </w:rPr>
        <w:t>Limitation on Guarantor Liability – Iceland.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Notwithstanding any other provision of this Indenture, the Notes or any Security Document, with respect to each Guarantor incorporated in Iceland (each an “</w:t>
      </w:r>
      <w:r>
        <w:rPr>
          <w:rFonts w:ascii="Times New Roman" w:hAnsi="Times New Roman"/>
          <w:i/>
          <w:sz w:val="20"/>
        </w:rPr>
        <w:t>Icelandic Guarantor</w:t>
      </w:r>
      <w:r>
        <w:rPr>
          <w:rFonts w:ascii="Times New Roman" w:hAnsi="Times New Roman"/>
          <w:sz w:val="20"/>
        </w:rPr>
        <w:t xml:space="preserve">”) the Guarantee granted by an Icelandic Guarantor under this Indenture shall: </w:t>
      </w:r>
    </w:p>
    <w:p>
      <w:pPr>
        <w:pStyle w:val="TextBody"/>
        <w:bidi w:val="0"/>
        <w:spacing w:before="120" w:after="0"/>
        <w:jc w:val="left"/>
        <w:rPr>
          <w:rFonts w:ascii="Times New Roman" w:hAnsi="Times New Roman"/>
          <w:sz w:val="20"/>
        </w:rPr>
      </w:pPr>
      <w:r>
        <w:rPr>
          <w:rFonts w:ascii="Times New Roman" w:hAnsi="Times New Roman"/>
          <w:sz w:val="20"/>
        </w:rPr>
        <w:t xml:space="preserve">(1) be limited if and to the extent required to comply with Icelandic mandatory provisions on unlawful financial assistance within the meaning of article 104 of the public limited companies act number 2 from 1995 (Icelandic: </w:t>
      </w:r>
      <w:r>
        <w:rPr>
          <w:rFonts w:ascii="Times New Roman" w:hAnsi="Times New Roman"/>
          <w:i/>
          <w:sz w:val="20"/>
        </w:rPr>
        <w:t>lög um hlutafélög</w:t>
      </w:r>
      <w:r>
        <w:rPr>
          <w:rFonts w:ascii="Times New Roman" w:hAnsi="Times New Roman"/>
          <w:sz w:val="20"/>
        </w:rPr>
        <w:t xml:space="preserve">) and article 79 of the private limited companies act number 138 from 1994 (Icelandic: </w:t>
      </w:r>
      <w:r>
        <w:rPr>
          <w:rFonts w:ascii="Times New Roman" w:hAnsi="Times New Roman"/>
          <w:i/>
          <w:sz w:val="20"/>
        </w:rPr>
        <w:t>lög um einkahlutafélög</w:t>
      </w:r>
      <w:r>
        <w:rPr>
          <w:rFonts w:ascii="Times New Roman" w:hAnsi="Times New Roman"/>
          <w:sz w:val="20"/>
        </w:rPr>
        <w:t xml:space="preserve">) as amended and supplemented from time to time; and </w:t>
      </w:r>
    </w:p>
    <w:p>
      <w:pPr>
        <w:pStyle w:val="TextBody"/>
        <w:bidi w:val="0"/>
        <w:spacing w:before="120" w:after="0"/>
        <w:jc w:val="left"/>
        <w:rPr>
          <w:rFonts w:ascii="Times New Roman" w:hAnsi="Times New Roman"/>
          <w:sz w:val="20"/>
        </w:rPr>
      </w:pPr>
      <w:r>
        <w:rPr>
          <w:rFonts w:ascii="Times New Roman" w:hAnsi="Times New Roman"/>
          <w:sz w:val="20"/>
        </w:rPr>
        <w:t xml:space="preserve">(2) shall further be limited to an amount equivalent to the higher of: </w:t>
      </w:r>
    </w:p>
    <w:p>
      <w:pPr>
        <w:pStyle w:val="TextBody"/>
        <w:bidi w:val="0"/>
        <w:spacing w:before="120" w:after="0"/>
        <w:jc w:val="left"/>
        <w:rPr>
          <w:rFonts w:ascii="Times New Roman" w:hAnsi="Times New Roman"/>
          <w:sz w:val="20"/>
        </w:rPr>
      </w:pPr>
      <w:r>
        <w:rPr>
          <w:rFonts w:ascii="Times New Roman" w:hAnsi="Times New Roman"/>
          <w:sz w:val="20"/>
        </w:rPr>
        <w:t xml:space="preserve">(A) the equity (Icelandic: eigið fé) of such Icelandic Guarantor on the date of this Indenture calculated in accordance with applicable accounting principles (however, adjusted upwards to the extent market values are higher than book values);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equity (Icelandic: eigið fé) of such Icelandic Guarantor at the time or times payment is requested from it calculated in accordance with applicable accounting principles (however, adjusted upwards to the extent market values are higher than book values) save that these limitations in this Section 11.11 shall not apply to any obligations and liabilities of such Icelandic Guarantor in respect of amounts relating to this Indenture (i) borrowed by such Icelandic Guarantor or any of its direct or indirect Subsidiaries and/or (ii) put at the disposal of such Icelandic Guarantor or any of its direct or indirect Subsidiaries of the Company by way of a loan, guarantee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i/>
          <w:sz w:val="20"/>
        </w:rPr>
        <w:t xml:space="preserve">Sabre Foreign Guarantor Aggregate Liability Cap.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Indenture, the Notes or the Security Documents, the maximum aggregate liability of the Sabre Foreign Guarantors under this Indenture, the Notes and the Security Documents shall not exceed an amount equal to $400,000,000. </w:t>
      </w:r>
    </w:p>
    <w:p>
      <w:pPr>
        <w:pStyle w:val="TextBody"/>
        <w:bidi w:val="0"/>
        <w:spacing w:before="48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Satisfaction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will be discharged and will cease to be of further effect as to all Notes issued hereunder, when either: </w:t>
      </w:r>
    </w:p>
    <w:p>
      <w:pPr>
        <w:pStyle w:val="TextBody"/>
        <w:bidi w:val="0"/>
        <w:spacing w:before="120" w:after="0"/>
        <w:jc w:val="left"/>
        <w:rPr>
          <w:rFonts w:ascii="Times New Roman" w:hAnsi="Times New Roman"/>
          <w:sz w:val="20"/>
        </w:rPr>
      </w:pPr>
      <w:r>
        <w:rPr>
          <w:rFonts w:ascii="Times New Roman" w:hAnsi="Times New Roman"/>
          <w:sz w:val="20"/>
        </w:rPr>
        <w:t xml:space="preserve">(1) all Notes that have been authenticated and delivered, except lost, stolen or destroyed Notes that have been replaced or paid and Notes for whose payment money has been deposited in trust and thereafter repaid to the Company,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(2) (a) all Notes not theretofore delivered to the Trustee for cancellation have become due and payable by reason of the making of a notice of redemption or otherwise, will become due and payable within one year or are to be called for redemption within one year under arrangements satisfactory to the Trustee for the giving of notice of redemption by the Trustee in the name, and at the expense, of the Company and the Company or any Guarantor have irrevocably deposited or caused to be deposited with the Trustee as trust funds in trust solely for the benefit of the Holders of the Notes, cash in U.S. dollars, U.S. dollar-denominated Government Securities, or a combination thereof, in such amounts as will be sufficient (as determined by the Company, and, if anything other than, or in combination with, cash in U.S. dollars is being deposited or provided, in the opinion of a nationally recognized firm of independent public accountants), without consideration of any reinvestment of interest to pay and discharge the entire indebtedness on the Notes not theretofore delivered to the Trustee for cancellation for principal, premium, if any, and accrued interest to the date of maturity or redemption; provided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as calculated by the Company or on behalf of the Company by such Person as the Company shall designate, with any Applicable Premium Deficit only required to be deposited with the Trustee on or prior to the date of redemption, and any Applicable Premium Deficit shall be set forth in an Officer’s Certificate delivered to the Trustee one Business Day prior to the deposit of such Applicable Premium Deficit that confirms that such Applicable Premium Deficit shall be applied toward such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any other material agreement or instrument (other than this Indenture) to which the Company or any Guarantor is a party or by which the Company or any Guarantor is bound (in each case, other than resulting from any borrowing of funds to be applied to make such deposit and any similar and simultaneous deposit relating to other Indebtedness and, in each case, the granting of Liens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paid or caused to be paid all sums payable by it under this Indenture and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has delivered irrevocable instructions to the Trustee under this Indenture to apply the deposited money toward the payment of the Notes at maturity or on the Redemption Date,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(e) if U.S. dollar-denominated Government Obligations shall have been deposited in connection with such satisfaction and discharge, then as a further condition to such satisfaction and discharge, the Trustee shall have received a certificate from a nationally recognized investment bank, appraisal firm or firm of independent accountants to the effect set forth in Section 8.04(1).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must deliver an Officer’s Certificate and an Opinion of Counsel to the Trustee stating that all conditions precedent to satisfaction and discharge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if money has been deposited with the Trustee pursuant to subclause (a) of clause (2) of this Section 12.01, the provisions of Sections 12.02 and 8.06 hereof will survive. In addition, nothing in this Section 12.01 will be deemed to discharge those provisions of Section 7.06 hereof, that, by their terms, survive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i/>
          <w:sz w:val="20"/>
        </w:rPr>
        <w:t>Application of Trust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if any, for whose payment such money has been deposited with the Trustee;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Paying Agent is unable to apply any money or Government Securities in accordance with Section 12.01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12.01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hereof; </w:t>
      </w:r>
      <w:r>
        <w:rPr>
          <w:rFonts w:ascii="Times New Roman" w:hAnsi="Times New Roman"/>
          <w:i/>
          <w:sz w:val="20"/>
        </w:rPr>
        <w:t xml:space="preserve">provided </w:t>
      </w:r>
      <w:r>
        <w:rPr>
          <w:rFonts w:ascii="Times New Roman" w:hAnsi="Times New Roman"/>
          <w:sz w:val="20"/>
        </w:rPr>
        <w:t xml:space="preserve">that if the Company has made any payment of principal of, premium on, if any, or interest, if any, on, any Notes because of the reinstatement of its obligations, the Company shall be subrogated to the rights of the Holders of such Notes to receive such payment from the money or Government Securities held by the Trustee or Paying Agent. </w:t>
      </w:r>
    </w:p>
    <w:p>
      <w:pPr>
        <w:pStyle w:val="TextBody"/>
        <w:bidi w:val="0"/>
        <w:spacing w:before="48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Company, any Guarantor, the Trustee or the Collateral Agent to the others is duly given if in writing and delivered in Person or by first class mail (registered or certified, return receipt requested), facsimile transmission or overnight air courier guaranteeing next day delivery, to the others’ address: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and/or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Sabre Financial Borrower, LLC </w:t>
      </w:r>
    </w:p>
    <w:p>
      <w:pPr>
        <w:pStyle w:val="TextBody"/>
        <w:bidi w:val="0"/>
        <w:spacing w:before="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240" w:after="0"/>
        <w:jc w:val="left"/>
        <w:rPr>
          <w:rFonts w:ascii="Times New Roman" w:hAnsi="Times New Roman"/>
          <w:sz w:val="20"/>
        </w:rPr>
      </w:pPr>
      <w:r>
        <w:rPr>
          <w:rFonts w:ascii="Times New Roman" w:hAnsi="Times New Roman"/>
          <w:sz w:val="20"/>
        </w:rPr>
        <w:t xml:space="preserve">Davis Polk &amp; Wardwell LLP </w:t>
      </w:r>
    </w:p>
    <w:p>
      <w:pPr>
        <w:pStyle w:val="TextBody"/>
        <w:bidi w:val="0"/>
        <w:spacing w:before="0" w:after="0"/>
        <w:jc w:val="left"/>
        <w:rPr>
          <w:rFonts w:ascii="Times New Roman" w:hAnsi="Times New Roman"/>
          <w:sz w:val="20"/>
        </w:rPr>
      </w:pPr>
      <w:r>
        <w:rPr>
          <w:rFonts w:ascii="Times New Roman" w:hAnsi="Times New Roman"/>
          <w:sz w:val="20"/>
        </w:rPr>
        <w:t xml:space="preserve">450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Facsimile: (212) 701-5839 </w:t>
      </w:r>
    </w:p>
    <w:p>
      <w:pPr>
        <w:pStyle w:val="TextBody"/>
        <w:bidi w:val="0"/>
        <w:spacing w:before="0" w:after="0"/>
        <w:jc w:val="left"/>
        <w:rPr>
          <w:rFonts w:ascii="Times New Roman" w:hAnsi="Times New Roman"/>
          <w:sz w:val="20"/>
        </w:rPr>
      </w:pPr>
      <w:r>
        <w:rPr>
          <w:rFonts w:ascii="Times New Roman" w:hAnsi="Times New Roman"/>
          <w:sz w:val="20"/>
        </w:rPr>
        <w:t xml:space="preserve">Attention: Yasin Keshvargar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or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Facsimile: (302) 636-4149 </w:t>
      </w:r>
    </w:p>
    <w:p>
      <w:pPr>
        <w:pStyle w:val="TextBody"/>
        <w:bidi w:val="0"/>
        <w:spacing w:before="0" w:after="0"/>
        <w:jc w:val="left"/>
        <w:rPr>
          <w:rFonts w:ascii="Times New Roman" w:hAnsi="Times New Roman"/>
          <w:sz w:val="20"/>
        </w:rPr>
      </w:pPr>
      <w:r>
        <w:rPr>
          <w:rFonts w:ascii="Times New Roman" w:hAnsi="Times New Roman"/>
          <w:sz w:val="20"/>
        </w:rPr>
        <w:t xml:space="preserve">Attention: Sabre Financial Notes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Company, any Guarantor, the Trustee or the Collateral Agent, by notice to the others,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in pdf format; and the next Business Day after timely delivery to the courier, if sent by overnight air courier guaranteeing next day delivery; </w:t>
      </w:r>
      <w:r>
        <w:rPr>
          <w:rFonts w:ascii="Times New Roman" w:hAnsi="Times New Roman"/>
          <w:i/>
          <w:sz w:val="20"/>
        </w:rPr>
        <w:t>provided</w:t>
      </w:r>
      <w:r>
        <w:rPr>
          <w:rFonts w:ascii="Times New Roman" w:hAnsi="Times New Roman"/>
          <w:sz w:val="20"/>
        </w:rPr>
        <w:t xml:space="preserve"> that notices to the Trustee or Collateral Agent shall be deemed to have been given when actually received by the Trustee or Collateral Agent,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or communication to a Holder will be mailed by first class mail, certified or registered, return receipt requested, by email, or by overnight air courier guaranteeing next day delivery to its address shown on the register kept by the Registrar. Failure to mail a notice or communication to a Holder or any defect in it will not affect its sufficiency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in the manner provided above within the time prescribed,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mails a notice or communication to Holders, it will mail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DTC (or its designee) pursuant to the standing instructions from DTC or its designee.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Communication by Holders of Notes with Other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may communicate with other Holders with respect to their rights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Company to the Trustee or Collateral Agent (in the case of actions relating to the Security Documents or the Collateral) to take any action under this Indenture, the Company shall furnish to the Trustee and the Collateral Agent,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in form reasonably satisfactory to the Trustee and the Collateral Agent (which must include the statements set forth in Section 13.04 hereof) stating that, in the opinion of the signers, all conditions precedent and covenants, if any, provided for in this Indenture and the Security Documents, if applicable, relating to the proposed action have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(2) an Opinion of Counsel in form reasonably satisfactory to the Trustee and the Collateral Agent (which must include the statements set forth in Section 13.04 hereof) stating that, in the opinion of such counsel, all such conditions precedent and covenants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such Opinion of Counsel under this Section shall not be required in the case of the initial issuance of the Notes hereunder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i/>
          <w:sz w:val="20"/>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and the Security Documents, if applicable, must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the Person making such certificate or opinion has read such covenant or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(3) a statement that, in the opinion of such Person, he or she has made such examination or investigation as is necessary to enable him or her to express an informed opinion as to whether or not such covenant or condition has been satisfied (and, in the case of an Opinion of Counsel, may be limited to reliance on an Officer’s Certificate as to matters of fact); and </w:t>
      </w:r>
    </w:p>
    <w:p>
      <w:pPr>
        <w:pStyle w:val="TextBody"/>
        <w:bidi w:val="0"/>
        <w:spacing w:before="240" w:after="0"/>
        <w:jc w:val="left"/>
        <w:rPr>
          <w:rFonts w:ascii="Times New Roman" w:hAnsi="Times New Roman"/>
          <w:sz w:val="20"/>
        </w:rPr>
      </w:pPr>
      <w:r>
        <w:rPr>
          <w:rFonts w:ascii="Times New Roman" w:hAnsi="Times New Roman"/>
          <w:sz w:val="20"/>
        </w:rPr>
        <w:t xml:space="preserve">(4) a statement as to whether or not, in the opinion of such Person, such condition or covenant has been satisfied; provided that with respect to matters of fact, an Opinion of Counsel may rely on an Officer’s Certificate or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i/>
          <w:sz w:val="20"/>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at a meeting of Holders. The Registrar or Paying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i/>
          <w:sz w:val="20"/>
        </w:rPr>
        <w:t>No Personal Liability of Directors, Officers, Employees and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past, present or future director, officer, employee, incorporator, member, partner or stockholder of the Restricted Parties or any of their direct or indirect parent companies (other than the Restricted Parties), as such, will have any liability for any obligations of the Restricted Parties under the Notes, this Indenture, the Guarantees or the Security Documents or for any claim based on, in respect of, or by reason of, such obligations or their creation. Each Holder of Notes by accepting a Note waives and releases all such liability. The waiver and release are part of the consideration for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i/>
          <w:sz w:val="20"/>
        </w:rPr>
        <w:t>Governing Law; Waiver of Jury Trial; Consent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INDENTURE, THE NOTES, THE GUARANTEES AND, EXCEPT AS OTHERWISE EXPRESSLY PROVIDED THEREIN, THE SECURITY DOCUMENTS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To the fullest extent permitted by applicable law, the Company and each Guarantor hereby irrevocably submits to the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The Company and each Guarantor irrevocably waives, to the fullest extent permitted by law, any objection which it may have to the laying of the venue of any such suit, action or proceeding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COMPANY, THE GUARANTORS, THE HOLDERS (BY THEIR ACCEPTANCE OF THE NOTES), THE TRUSTEE AND THE COLLATERAL AGENT HEREBY IRREVOCABLY WAIVES, TO THE FULLEST EXTENT PERMITTED BY APPLICABLE LAW, ANY AND ALL RIGHT TO TRIAL BY JURY IN ANY LEGAL PROCEEDING ARISING OUT OF OR RELATING TO THIS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i/>
          <w:sz w:val="20"/>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any other indenture, loan or debt agreement of the Company or its Subsidiaries or of any other Person.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i/>
          <w:sz w:val="20"/>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Indenture and the Notes will bind its successors. All agreements of the Trustee and the Collateral Agent in this Indenture will bind its successors. All agreements of each Guarantor in this Indenture will bind its successors, except as otherwise provided in Section 10.04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i/>
          <w:sz w:val="20"/>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Notes is invalid, illegal or unenforceable, the validity, legality and enforceability of the remaining provisions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i/>
          <w:sz w:val="20"/>
        </w:rPr>
        <w:t>Counterpart Originals.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hAnsi="Times New Roman"/>
          <w:i/>
          <w:sz w:val="20"/>
        </w:rPr>
        <w:t>Signature Law</w:t>
      </w:r>
      <w:r>
        <w:rPr>
          <w:rFonts w:ascii="Times New Roman" w:hAnsi="Times New Roman"/>
          <w:sz w:val="20"/>
        </w:rPr>
        <w:t xml:space="preserve">”); (ii) an original manual signature; or (iii) a faxed, scanned, or photocopied manual signature. Each electronic signature or faxed, scanned, or photocopied manual signature on this Indenture and any document delivered in connection herewith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13.12 </w:t>
      </w:r>
      <w:r>
        <w:rPr>
          <w:rFonts w:ascii="Times New Roman" w:hAnsi="Times New Roman"/>
          <w:i/>
          <w:sz w:val="20"/>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i/>
          <w:sz w:val="20"/>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or the Collateral Agent be responsible or liable for any failure or delay in the performance of its obligations hereunder arising out of or caused by, directly or indirectly, forces beyond its control, including, without limitation, (i) any act or provision of any present or future law or regulation or governmental authority, (ii) any act of God, (iii) natural disaster, (iv) war, (v) terrorism, (vi) civil unrest, (vii) accidents, (viii) labor dispute, (ix) disease, (x) epidemic or pandemic, (xi) quarantine, (xii) national emergency, (xiii) loss or malfunction of utility or computer software or hardware, (xiv) communications system failure, (xv) malware or ransomware or (xvi) unavailability of the Federal Reserve Bank wire or telex system or other wire or other funds transfer systems, or (xvii) unavailability of any securities clearing system; it being understood that the Trustee and the Collateral Agent, as applicable,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13.14 </w:t>
      </w:r>
      <w:r>
        <w:rPr>
          <w:rFonts w:ascii="Times New Roman" w:hAnsi="Times New Roman"/>
          <w:i/>
          <w:sz w:val="20"/>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and the Collateral Agent, like all financial institutions and in order to help fight the funding of terrorism and money laundering, is required to obtain, verify, and record information that identifies each person or legal entity that establishes a relationship or opens an account with the Trustee or the Collateral Agent. The parties to this Indenture agree that they will provide the Trustee with such information as it may request in order for the Trustee and the Collateral Agent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i/>
          <w:sz w:val="20"/>
        </w:rPr>
        <w:t>Copies of 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written request from a Holder, the Company shall provide copies of this Indenture or the Security Documents to such Holder. </w:t>
      </w:r>
    </w:p>
    <w:p>
      <w:pPr>
        <w:pStyle w:val="TextBody"/>
        <w:bidi w:val="0"/>
        <w:spacing w:before="480" w:after="0"/>
        <w:jc w:val="center"/>
        <w:rPr>
          <w:rFonts w:ascii="Times New Roman" w:hAnsi="Times New Roman"/>
          <w:sz w:val="20"/>
        </w:rPr>
      </w:pPr>
      <w:r>
        <w:rPr>
          <w:rFonts w:ascii="Times New Roman" w:hAnsi="Times New Roman"/>
          <w:sz w:val="20"/>
        </w:rPr>
        <w:t xml:space="preserve">ARTICLE 14 </w:t>
      </w:r>
    </w:p>
    <w:p>
      <w:pPr>
        <w:pStyle w:val="TextBody"/>
        <w:bidi w:val="0"/>
        <w:spacing w:before="0" w:after="0"/>
        <w:jc w:val="center"/>
        <w:rPr>
          <w:rFonts w:ascii="Times New Roman" w:hAnsi="Times New Roman"/>
          <w:sz w:val="20"/>
        </w:rPr>
      </w:pPr>
      <w:r>
        <w:rPr>
          <w:rFonts w:ascii="Times New Roman" w:hAnsi="Times New Roman"/>
          <w:sz w:val="20"/>
        </w:rPr>
        <w:t xml:space="preserve">PARALLEL DEBT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i/>
          <w:sz w:val="20"/>
        </w:rPr>
        <w:t>Purpose; 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Article 14 is included in this Indenture solely for the purpose of ensuring the validity and effect of certain security rights governed by the laws of certain countries outside the U.S., granted pursuant to the applicable Security Documents and, for the avoidance of doubt, shall not limit the rights and remedies provided to the First Lien Secured Parties by the other provisions of this Indenture, the Notes, or the Guarantees or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14.02 </w:t>
      </w:r>
      <w:r>
        <w:rPr>
          <w:rFonts w:ascii="Times New Roman" w:hAnsi="Times New Roman"/>
          <w:i/>
          <w:sz w:val="20"/>
        </w:rPr>
        <w:t>Additional Parallel Debt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Guarantor that becomes a Guarantor after the Issue Date and is located in a jurisdiction where Parallel Debt provisions are customary or required, the Company, the Guarantors, the Trustee and the Collateral Agent are hereby authorized to provide for Parallel Debt, in customary form (as determined by the Company in its sole discretion) in the supplemental indenture with respect to such Guarantor’s guarantee. Subject to the rights of the Trustee and the Collateral Agent hereunder, the Company, without the consent of any Holder, may also incorporate into this Indenture additional Parallel Debt provisions as necessary to address After-Acquired Property in any jurisdiction where no assets are pledged by a guarantor organized therein on the Issue Date. For the avoidance of doubt, in no event shall the Trustee or Collateral Agent be required to act outside of the United States or to enter into any foreign law governed document, in connection with any Parallel Debt or otherwise, under or pursuant to this Indenture, the Notes, or the Guarantees or the Security Documents. </w:t>
      </w:r>
    </w:p>
    <w:p>
      <w:pPr>
        <w:pStyle w:val="TextBody"/>
        <w:bidi w:val="0"/>
        <w:spacing w:before="240" w:after="0"/>
        <w:jc w:val="left"/>
        <w:rPr>
          <w:rFonts w:ascii="Times New Roman" w:hAnsi="Times New Roman"/>
          <w:sz w:val="20"/>
        </w:rPr>
      </w:pPr>
      <w:r>
        <w:rPr>
          <w:rFonts w:ascii="Times New Roman" w:hAnsi="Times New Roman"/>
          <w:sz w:val="20"/>
        </w:rPr>
        <w:t>(a) The Company and the Guarantors, by way of an independent payment obligation, hereby irrevocably and unconditionally undertakes to pay to the Collateral Agent, as creditor in its own right and not as representative of the other First Lien Secured Parties, any amounts owing from time to time by the Company or Guarantor to any First Lien Secured Party (other than the Collateral Agent) under any of this Indenture, the Notes, or the Guarantees or the Security Documents (its “</w:t>
      </w:r>
      <w:r>
        <w:rPr>
          <w:rFonts w:ascii="Times New Roman" w:hAnsi="Times New Roman"/>
          <w:i/>
          <w:sz w:val="20"/>
        </w:rPr>
        <w:t>Corresponding Debt</w:t>
      </w:r>
      <w:r>
        <w:rPr>
          <w:rFonts w:ascii="Times New Roman" w:hAnsi="Times New Roman"/>
          <w:sz w:val="20"/>
        </w:rPr>
        <w:t>”), as and when those amounts are due (the Company or such Guarantor’s payment and undertaking pursuant to this paragraph (a), its “</w:t>
      </w:r>
      <w:r>
        <w:rPr>
          <w:rFonts w:ascii="Times New Roman" w:hAnsi="Times New Roman"/>
          <w:i/>
          <w:sz w:val="20"/>
        </w:rPr>
        <w:t>Parallel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each Guarantor and the Collateral Agent acknowledges that the Parallel Debt of the Company and each Guarantor is several and is separate and independent from, and shall not in any way limit or affect, the Corresponding Debt of that Company or Guarantor nor shall the amounts for which the Company or each Guarantor is liable under its Parallel Debt be limited or affected in any way by its Corresponding Debt; </w:t>
      </w:r>
      <w:r>
        <w:rPr>
          <w:rFonts w:ascii="Times New Roman" w:hAnsi="Times New Roman"/>
          <w:i/>
          <w:sz w:val="20"/>
        </w:rPr>
        <w:t>provided</w:t>
      </w:r>
      <w:r>
        <w:rPr>
          <w:rFonts w:ascii="Times New Roman" w:hAnsi="Times New Roman"/>
          <w:sz w:val="20"/>
        </w:rPr>
        <w:t xml:space="preserve"> that, notwithstanding any other provision of this Indenture, the Notes, or the Guarantees or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(c) the Parallel Debt of the Company and each Guarantor shall be automatically decreased and discharged to the extent that its Corresponding Debt has been irrevocably paid or, in the case of guarantee obligations, discharged; </w:t>
      </w:r>
    </w:p>
    <w:p>
      <w:pPr>
        <w:pStyle w:val="TextBody"/>
        <w:bidi w:val="0"/>
        <w:spacing w:before="240" w:after="0"/>
        <w:jc w:val="left"/>
        <w:rPr>
          <w:rFonts w:ascii="Times New Roman" w:hAnsi="Times New Roman"/>
          <w:sz w:val="20"/>
        </w:rPr>
      </w:pPr>
      <w:r>
        <w:rPr>
          <w:rFonts w:ascii="Times New Roman" w:hAnsi="Times New Roman"/>
          <w:sz w:val="20"/>
        </w:rPr>
        <w:t xml:space="preserve">(d) the Corresponding Debt of the Company and each Guarantor shall be automatically decreased and discharged to the extent that its Parallel Debt has been irrevocably paid or, in the case of guarantee obligations, discharged; </w:t>
      </w:r>
    </w:p>
    <w:p>
      <w:pPr>
        <w:pStyle w:val="TextBody"/>
        <w:bidi w:val="0"/>
        <w:spacing w:before="240" w:after="0"/>
        <w:jc w:val="left"/>
        <w:rPr>
          <w:rFonts w:ascii="Times New Roman" w:hAnsi="Times New Roman"/>
          <w:sz w:val="20"/>
        </w:rPr>
      </w:pPr>
      <w:r>
        <w:rPr>
          <w:rFonts w:ascii="Times New Roman" w:hAnsi="Times New Roman"/>
          <w:sz w:val="20"/>
        </w:rPr>
        <w:t xml:space="preserve">(e) the amount of the Parallel Debt of the Company and each Guarantor shall at all times be equal to the amount of its Corresponding Debt; and </w:t>
      </w:r>
    </w:p>
    <w:p>
      <w:pPr>
        <w:pStyle w:val="TextBody"/>
        <w:bidi w:val="0"/>
        <w:spacing w:before="240" w:after="0"/>
        <w:jc w:val="left"/>
        <w:rPr>
          <w:rFonts w:ascii="Times New Roman" w:hAnsi="Times New Roman"/>
          <w:sz w:val="20"/>
        </w:rPr>
      </w:pPr>
      <w:r>
        <w:rPr>
          <w:rFonts w:ascii="Times New Roman" w:hAnsi="Times New Roman"/>
          <w:sz w:val="20"/>
        </w:rPr>
        <w:t xml:space="preserve">(f) the aggregate amount outstanding owed by the Company and each Guarantor under this Indenture, the Notes or any of the Security Documents at any time shall not exceed the amount of the Corresponding Debt at that time.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Dated as of September 28,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1"/>
        <w:gridCol w:w="81"/>
        <w:gridCol w:w="3510"/>
      </w:tblGrid>
      <w:tr>
        <w:trPr/>
        <w:tc>
          <w:tcPr>
            <w:tcW w:w="49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Sabre Financial Borrower, LLC</w:t>
            </w:r>
          </w:p>
        </w:tc>
      </w:tr>
      <w:tr>
        <w:trPr>
          <w:trHeight w:val="240" w:hRule="atLeast"/>
        </w:trPr>
        <w:tc>
          <w:tcPr>
            <w:tcW w:w="491" w:type="dxa"/>
            <w:tcBorders/>
            <w:vAlign w:val="center"/>
          </w:tcPr>
          <w:p>
            <w:pPr>
              <w:pStyle w:val="TableContents"/>
              <w:bidi w:val="0"/>
              <w:spacing w:before="0" w:after="283"/>
              <w:jc w:val="left"/>
              <w:rPr>
                <w:sz w:val="4"/>
                <w:szCs w:val="4"/>
              </w:rPr>
            </w:pPr>
            <w:r>
              <w:rPr>
                <w:sz w:val="4"/>
                <w:szCs w:val="4"/>
              </w:rPr>
            </w:r>
          </w:p>
        </w:tc>
        <w:tc>
          <w:tcPr>
            <w:tcW w:w="3591" w:type="dxa"/>
            <w:gridSpan w:val="2"/>
            <w:tcBorders/>
            <w:vAlign w:val="center"/>
          </w:tcPr>
          <w:p>
            <w:pPr>
              <w:pStyle w:val="TableContents"/>
              <w:bidi w:val="0"/>
              <w:spacing w:before="0" w:after="283"/>
              <w:jc w:val="left"/>
              <w:rPr>
                <w:sz w:val="4"/>
                <w:szCs w:val="4"/>
              </w:rPr>
            </w:pPr>
            <w:r>
              <w:rPr>
                <w:sz w:val="4"/>
                <w:szCs w:val="4"/>
              </w:rPr>
            </w:r>
          </w:p>
        </w:tc>
      </w:tr>
      <w:tr>
        <w:trPr/>
        <w:tc>
          <w:tcPr>
            <w:tcW w:w="491"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510" w:type="dxa"/>
            <w:tcBorders>
              <w:bottom w:val="single" w:sz="2" w:space="0" w:color="000000"/>
            </w:tcBorders>
            <w:tcMar>
              <w:bottom w:w="28" w:type="dxa"/>
            </w:tcMar>
          </w:tcPr>
          <w:p>
            <w:pPr>
              <w:pStyle w:val="TableContents"/>
              <w:bidi w:val="0"/>
              <w:spacing w:before="0" w:after="283"/>
              <w:jc w:val="left"/>
              <w:rPr/>
            </w:pPr>
            <w:r>
              <w:rPr/>
              <w:t>/s/ Roushan Zenooz</w:t>
            </w:r>
          </w:p>
        </w:tc>
      </w:tr>
      <w:tr>
        <w:trPr/>
        <w:tc>
          <w:tcPr>
            <w:tcW w:w="491"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1"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Roushan Zenooz</w:t>
            </w:r>
          </w:p>
        </w:tc>
      </w:tr>
      <w:tr>
        <w:trPr/>
        <w:tc>
          <w:tcPr>
            <w:tcW w:w="491"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1"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1"/>
        <w:gridCol w:w="81"/>
        <w:gridCol w:w="3510"/>
      </w:tblGrid>
      <w:tr>
        <w:trPr/>
        <w:tc>
          <w:tcPr>
            <w:tcW w:w="49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Sabre Financing Holdings, LLC </w:t>
            </w:r>
            <w:r>
              <w:rPr/>
              <w:t>as Guarantor</w:t>
            </w:r>
          </w:p>
        </w:tc>
      </w:tr>
      <w:tr>
        <w:trPr>
          <w:trHeight w:val="240" w:hRule="atLeast"/>
        </w:trPr>
        <w:tc>
          <w:tcPr>
            <w:tcW w:w="491" w:type="dxa"/>
            <w:tcBorders/>
            <w:vAlign w:val="center"/>
          </w:tcPr>
          <w:p>
            <w:pPr>
              <w:pStyle w:val="TableContents"/>
              <w:bidi w:val="0"/>
              <w:spacing w:before="0" w:after="283"/>
              <w:jc w:val="left"/>
              <w:rPr>
                <w:sz w:val="4"/>
                <w:szCs w:val="4"/>
              </w:rPr>
            </w:pPr>
            <w:r>
              <w:rPr>
                <w:sz w:val="4"/>
                <w:szCs w:val="4"/>
              </w:rPr>
            </w:r>
          </w:p>
        </w:tc>
        <w:tc>
          <w:tcPr>
            <w:tcW w:w="3591" w:type="dxa"/>
            <w:gridSpan w:val="2"/>
            <w:tcBorders/>
            <w:vAlign w:val="center"/>
          </w:tcPr>
          <w:p>
            <w:pPr>
              <w:pStyle w:val="TableContents"/>
              <w:bidi w:val="0"/>
              <w:spacing w:before="0" w:after="283"/>
              <w:jc w:val="left"/>
              <w:rPr>
                <w:sz w:val="4"/>
                <w:szCs w:val="4"/>
              </w:rPr>
            </w:pPr>
            <w:r>
              <w:rPr>
                <w:sz w:val="4"/>
                <w:szCs w:val="4"/>
              </w:rPr>
            </w:r>
          </w:p>
        </w:tc>
      </w:tr>
      <w:tr>
        <w:trPr/>
        <w:tc>
          <w:tcPr>
            <w:tcW w:w="491"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510" w:type="dxa"/>
            <w:tcBorders>
              <w:bottom w:val="single" w:sz="2" w:space="0" w:color="000000"/>
            </w:tcBorders>
            <w:tcMar>
              <w:bottom w:w="28" w:type="dxa"/>
            </w:tcMar>
          </w:tcPr>
          <w:p>
            <w:pPr>
              <w:pStyle w:val="TableContents"/>
              <w:bidi w:val="0"/>
              <w:spacing w:before="0" w:after="283"/>
              <w:jc w:val="left"/>
              <w:rPr/>
            </w:pPr>
            <w:r>
              <w:rPr/>
              <w:t>/s/ Roushan Zenooz</w:t>
            </w:r>
          </w:p>
        </w:tc>
      </w:tr>
      <w:tr>
        <w:trPr/>
        <w:tc>
          <w:tcPr>
            <w:tcW w:w="491"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1"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Roushan Zenooz</w:t>
            </w:r>
          </w:p>
        </w:tc>
      </w:tr>
      <w:tr>
        <w:trPr/>
        <w:tc>
          <w:tcPr>
            <w:tcW w:w="491"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1"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1"/>
        <w:gridCol w:w="3512"/>
      </w:tblGrid>
      <w:tr>
        <w:trPr/>
        <w:tc>
          <w:tcPr>
            <w:tcW w:w="489"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Holdings (Luxembourg) S.à r.l.</w:t>
            </w:r>
          </w:p>
          <w:p>
            <w:pPr>
              <w:pStyle w:val="TableContents"/>
              <w:bidi w:val="0"/>
              <w:spacing w:before="0" w:after="20"/>
              <w:jc w:val="left"/>
              <w:rPr>
                <w:rFonts w:ascii="Times New Roman" w:hAnsi="Times New Roman"/>
                <w:sz w:val="20"/>
              </w:rPr>
            </w:pPr>
            <w:r>
              <w:rPr>
                <w:rFonts w:ascii="Times New Roman" w:hAnsi="Times New Roman"/>
                <w:sz w:val="20"/>
              </w:rPr>
              <w:t>as Guarantor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512" w:type="dxa"/>
            <w:tcBorders>
              <w:bottom w:val="single" w:sz="2" w:space="0" w:color="000000"/>
            </w:tcBorders>
            <w:tcMar>
              <w:bottom w:w="28" w:type="dxa"/>
            </w:tcMar>
          </w:tcPr>
          <w:p>
            <w:pPr>
              <w:pStyle w:val="TableContents"/>
              <w:bidi w:val="0"/>
              <w:spacing w:before="0" w:after="283"/>
              <w:jc w:val="left"/>
              <w:rPr/>
            </w:pPr>
            <w:r>
              <w:rPr/>
              <w:t>/s/ 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Class B 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1"/>
        <w:gridCol w:w="3512"/>
      </w:tblGrid>
      <w:tr>
        <w:trPr/>
        <w:tc>
          <w:tcPr>
            <w:tcW w:w="489"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International (Luxembourg) S.à r.l.</w:t>
            </w:r>
          </w:p>
          <w:p>
            <w:pPr>
              <w:pStyle w:val="TableContents"/>
              <w:bidi w:val="0"/>
              <w:spacing w:before="0" w:after="20"/>
              <w:jc w:val="left"/>
              <w:rPr>
                <w:rFonts w:ascii="Times New Roman" w:hAnsi="Times New Roman"/>
                <w:sz w:val="20"/>
              </w:rPr>
            </w:pPr>
            <w:r>
              <w:rPr>
                <w:rFonts w:ascii="Times New Roman" w:hAnsi="Times New Roman"/>
                <w:sz w:val="20"/>
              </w:rPr>
              <w:t>as Guarantor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512" w:type="dxa"/>
            <w:tcBorders>
              <w:bottom w:val="single" w:sz="2" w:space="0" w:color="000000"/>
            </w:tcBorders>
            <w:tcMar>
              <w:bottom w:w="28" w:type="dxa"/>
            </w:tcMar>
          </w:tcPr>
          <w:p>
            <w:pPr>
              <w:pStyle w:val="TableContents"/>
              <w:bidi w:val="0"/>
              <w:spacing w:before="0" w:after="283"/>
              <w:jc w:val="left"/>
              <w:rPr/>
            </w:pPr>
            <w:r>
              <w:rPr/>
              <w:t>/s/ 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Class B 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1"/>
        <w:gridCol w:w="3512"/>
      </w:tblGrid>
      <w:tr>
        <w:trPr/>
        <w:tc>
          <w:tcPr>
            <w:tcW w:w="489"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Finance (Luxembourg) S.à r.l.</w:t>
            </w:r>
          </w:p>
          <w:p>
            <w:pPr>
              <w:pStyle w:val="TableContents"/>
              <w:bidi w:val="0"/>
              <w:spacing w:before="0" w:after="20"/>
              <w:jc w:val="left"/>
              <w:rPr>
                <w:rFonts w:ascii="Times New Roman" w:hAnsi="Times New Roman"/>
                <w:sz w:val="20"/>
              </w:rPr>
            </w:pPr>
            <w:r>
              <w:rPr>
                <w:rFonts w:ascii="Times New Roman" w:hAnsi="Times New Roman"/>
                <w:sz w:val="20"/>
              </w:rPr>
              <w:t>as Guarantor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512" w:type="dxa"/>
            <w:tcBorders>
              <w:bottom w:val="single" w:sz="2" w:space="0" w:color="000000"/>
            </w:tcBorders>
            <w:tcMar>
              <w:bottom w:w="28" w:type="dxa"/>
            </w:tcMar>
          </w:tcPr>
          <w:p>
            <w:pPr>
              <w:pStyle w:val="TableContents"/>
              <w:bidi w:val="0"/>
              <w:spacing w:before="0" w:after="283"/>
              <w:jc w:val="left"/>
              <w:rPr/>
            </w:pPr>
            <w:r>
              <w:rPr/>
              <w:t>/s/ 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Class B 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1"/>
        <w:gridCol w:w="3512"/>
      </w:tblGrid>
      <w:tr>
        <w:trPr/>
        <w:tc>
          <w:tcPr>
            <w:tcW w:w="489"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AS (Luxembourg) S.à r.l.</w:t>
            </w:r>
          </w:p>
          <w:p>
            <w:pPr>
              <w:pStyle w:val="TableContents"/>
              <w:bidi w:val="0"/>
              <w:spacing w:before="0" w:after="20"/>
              <w:jc w:val="left"/>
              <w:rPr>
                <w:rFonts w:ascii="Times New Roman" w:hAnsi="Times New Roman"/>
                <w:sz w:val="20"/>
              </w:rPr>
            </w:pPr>
            <w:r>
              <w:rPr>
                <w:rFonts w:ascii="Times New Roman" w:hAnsi="Times New Roman"/>
                <w:sz w:val="20"/>
              </w:rPr>
              <w:t>as Guarantor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512" w:type="dxa"/>
            <w:tcBorders>
              <w:bottom w:val="single" w:sz="2" w:space="0" w:color="000000"/>
            </w:tcBorders>
            <w:tcMar>
              <w:bottom w:w="28" w:type="dxa"/>
            </w:tcMar>
          </w:tcPr>
          <w:p>
            <w:pPr>
              <w:pStyle w:val="TableContents"/>
              <w:bidi w:val="0"/>
              <w:spacing w:before="0" w:after="283"/>
              <w:jc w:val="left"/>
              <w:rPr/>
            </w:pPr>
            <w:r>
              <w:rPr/>
              <w:t>/s/ 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Emilie Guirimand</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1" w:type="dxa"/>
            <w:tcBorders/>
            <w:vAlign w:val="bottom"/>
          </w:tcPr>
          <w:p>
            <w:pPr>
              <w:pStyle w:val="TableContents"/>
              <w:bidi w:val="0"/>
              <w:spacing w:before="0" w:after="283"/>
              <w:jc w:val="left"/>
              <w:rPr/>
            </w:pPr>
            <w:r>
              <w:rPr/>
              <w:t> </w:t>
            </w:r>
          </w:p>
        </w:tc>
        <w:tc>
          <w:tcPr>
            <w:tcW w:w="3512" w:type="dxa"/>
            <w:tcBorders/>
          </w:tcPr>
          <w:p>
            <w:pPr>
              <w:pStyle w:val="TableContents"/>
              <w:bidi w:val="0"/>
              <w:spacing w:before="0" w:after="0"/>
              <w:jc w:val="left"/>
              <w:rPr>
                <w:rFonts w:ascii="Times New Roman" w:hAnsi="Times New Roman"/>
                <w:sz w:val="20"/>
              </w:rPr>
            </w:pPr>
            <w:r>
              <w:rPr>
                <w:rFonts w:ascii="Times New Roman" w:hAnsi="Times New Roman"/>
                <w:sz w:val="20"/>
              </w:rPr>
              <w:t>Class B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91"/>
        <w:gridCol w:w="81"/>
        <w:gridCol w:w="3510"/>
      </w:tblGrid>
      <w:tr>
        <w:trPr/>
        <w:tc>
          <w:tcPr>
            <w:tcW w:w="49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Wilmington Trust,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 and Collateral Agent</w:t>
            </w:r>
          </w:p>
        </w:tc>
      </w:tr>
      <w:tr>
        <w:trPr>
          <w:trHeight w:val="240" w:hRule="atLeast"/>
        </w:trPr>
        <w:tc>
          <w:tcPr>
            <w:tcW w:w="491" w:type="dxa"/>
            <w:tcBorders/>
            <w:vAlign w:val="center"/>
          </w:tcPr>
          <w:p>
            <w:pPr>
              <w:pStyle w:val="TableContents"/>
              <w:bidi w:val="0"/>
              <w:spacing w:before="0" w:after="283"/>
              <w:jc w:val="left"/>
              <w:rPr>
                <w:sz w:val="4"/>
                <w:szCs w:val="4"/>
              </w:rPr>
            </w:pPr>
            <w:r>
              <w:rPr>
                <w:sz w:val="4"/>
                <w:szCs w:val="4"/>
              </w:rPr>
            </w:r>
          </w:p>
        </w:tc>
        <w:tc>
          <w:tcPr>
            <w:tcW w:w="3591" w:type="dxa"/>
            <w:gridSpan w:val="2"/>
            <w:tcBorders/>
            <w:vAlign w:val="center"/>
          </w:tcPr>
          <w:p>
            <w:pPr>
              <w:pStyle w:val="TableContents"/>
              <w:bidi w:val="0"/>
              <w:spacing w:before="0" w:after="283"/>
              <w:jc w:val="left"/>
              <w:rPr>
                <w:sz w:val="4"/>
                <w:szCs w:val="4"/>
              </w:rPr>
            </w:pPr>
            <w:r>
              <w:rPr>
                <w:sz w:val="4"/>
                <w:szCs w:val="4"/>
              </w:rPr>
            </w:r>
          </w:p>
        </w:tc>
      </w:tr>
      <w:tr>
        <w:trPr/>
        <w:tc>
          <w:tcPr>
            <w:tcW w:w="491"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510" w:type="dxa"/>
            <w:tcBorders>
              <w:bottom w:val="single" w:sz="2" w:space="0" w:color="000000"/>
            </w:tcBorders>
            <w:tcMar>
              <w:bottom w:w="28" w:type="dxa"/>
            </w:tcMar>
          </w:tcPr>
          <w:p>
            <w:pPr>
              <w:pStyle w:val="TableContents"/>
              <w:bidi w:val="0"/>
              <w:spacing w:before="0" w:after="283"/>
              <w:jc w:val="left"/>
              <w:rPr/>
            </w:pPr>
            <w:r>
              <w:rPr/>
              <w:t>/s/ Karen Ferry</w:t>
            </w:r>
          </w:p>
        </w:tc>
      </w:tr>
      <w:tr>
        <w:trPr/>
        <w:tc>
          <w:tcPr>
            <w:tcW w:w="491"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1"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Karen Ferry</w:t>
            </w:r>
          </w:p>
        </w:tc>
      </w:tr>
      <w:tr>
        <w:trPr/>
        <w:tc>
          <w:tcPr>
            <w:tcW w:w="491"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1"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A1 </w:t>
      </w:r>
    </w:p>
    <w:p>
      <w:pPr>
        <w:pStyle w:val="TextBody"/>
        <w:bidi w:val="0"/>
        <w:spacing w:before="240" w:after="0"/>
        <w:jc w:val="center"/>
        <w:rPr>
          <w:rFonts w:ascii="Times New Roman" w:hAnsi="Times New Roman"/>
          <w:sz w:val="20"/>
        </w:rPr>
      </w:pPr>
      <w:r>
        <w:rPr>
          <w:rFonts w:ascii="Times New Roman" w:hAnsi="Times New Roman"/>
          <w:sz w:val="20"/>
        </w:rPr>
        <w:t xml:space="preserve">[Face of Note]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w:t>
      </w:r>
      <w:r>
        <w:rPr>
          <w:rFonts w:ascii="Times New Roman" w:hAnsi="Times New Roman"/>
          <w:i/>
          <w:sz w:val="20"/>
        </w:rPr>
        <w:t>DTC</w:t>
      </w:r>
      <w:r>
        <w:rPr>
          <w:rFonts w:ascii="Times New Roman" w:hAnsi="Times New Roman"/>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THE NOTES EVIDENCED HEREBY HAVE NOT BEEN REGISTERED UNDER THE UNITED STATES SECURITIES ACT OF 1933 (THE “SECURITIES ACT”) OR THE SECURITIES LAWS OF ANY STATE OR OTHER JURISDICTION AND, ACCORDINGLY, MAY NOT BE OFFERED, SOLD, PLEDGED OR OTHERWISE TRANSFERRED WITHIN THE UNITED STATES OR TO, OR FOR THE ACCOUNT OF, U.S. PERSONS, EXCEPT IN ACCORDANCE WITH THE FOLLOWING SENTENCE. BY ITS ACQUISITION HEREOF OR OF A BENEFICIAL INTEREST HEREIN, THE ACQUIRER (1) REPRESENTS THAT (A) IT AND ANY ACCOUNT FOR WHICH IT IS ACTING IS A “QUALIFIED INSTITUTIONAL BUYER” (WITHIN THE MEANING OF RULE 144A UNDER THE SECURITIES ACT) AND THAT IT EXERCISES SOLE INVESTMENT DISCRETION WITH RESPECT TO EACH SUCH ACCOUNT, OR (B) IT IS NOT A U.S. PERSON (WITHIN THE MEANING OF REGULATION S UNDER THE SECURITIES ACT), IS NOT ACQUIRING THIS SECURITY FOR THE ACCOUNT OR BENEFIT OF A U.S. PERSON AND IS ACQUIRING THIS SECURITY IN AN OFFSHORE TRANSACTION IN COMPLIANCE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REGULATION S UNDER THE SECURITIES ACT, (2) AGREES FOR THE BENEFIT OF SABRE FINANCIAL BORROWER, LLC (THE “COMPANY”) THAT PRIOR TO THE DATE (THE “RESALE RESTRICTION TERMINATION DATE”) THAT IS ONE YEAR AFTER THE LATER OF THE ISSUE DATE HEREOF AND THE LAST DATE ON WHICH THE COMPANY OR ANY AFFILIATE OF THE COMPANY WAS THE OWNER OF THIS SECURITY (OR ANY PREDECESSOR OF SUCH SECURITY), IT WILL NOT OFFER, SELL PLEDGE OR OTHERWISE TRANSFER THIS NOTE OR ANY BENEFICIAL INTEREST HEREIN, EXCEPT IN ACCORDANCE WITH THE SECURITIES ACT AND ANY APPLICABLE SECURITIES LAWS OF ANY STATE OF THE UNITED STATES AND ONLY (A) TO SABRE FINANCING HOLDINGS LLC, SABRE FINANCIAL BORROWER, LLC OR ANY WHOLLY-OWNED SUBSIDIARY THEREOF, (B) PURSUANT TO A REGISTRATION STATEMENT WHICH HAS BECOME EFFECTIVE UNDER THE SECURITIES ACT, (C) IN THE UNITED STATES, SO LONG AS THE NEW NOTES REMAIN ELIGIBLE FOR RESALE PURSUANT TO RULE 144A, TO A PERSON WHO IT REASONABLY BELIEVES IS A QUALIFIED INSTITUTIONAL BUYER ACQUIRING FOR ITS OWN ACCOUNT OR FOR THE ACCOUNT OF ONE OR MORE OTHER QUALIFIED INSTITUTIONAL BUYERS IN A TRANSACTION MEETING THE REQUIREMENTS OF RULE 144A AND TO WHOM NOTICE IS GIVEN THAT SUCH RESALE, PLEDGE OR TRANSFER IS BEING MADE IN RELIANCE ON RULE 144A, (D) OUTSIDE THE UNITED STATES IN AN OFFSHORE TRANSACTION IN COMPLIANCE WITH RULE 904 OF REGULATION S UNDER THE SECURITIES ACT, OR (E) PURSUANT TO AN EXEMPTION FROM REGISTRATION PROVIDED BY RULE 144 UNDER THE SECURITIES ACT (IF AVAILABLE) OR ANY OTHER AVAILABLE EXEMPTION FROM THE REGISTRATION REQUIREMENTS OF THE SECURITIES ACT. PRIOR TO THE REGISTRATION OF ANY TRANSFER IN ACCORDANCE WITH (2)(E)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NO.: 78573X AB6 </w:t>
      </w:r>
    </w:p>
    <w:p>
      <w:pPr>
        <w:pStyle w:val="TextBody"/>
        <w:bidi w:val="0"/>
        <w:spacing w:before="240" w:after="0"/>
        <w:jc w:val="right"/>
        <w:rPr>
          <w:rFonts w:ascii="Times New Roman" w:hAnsi="Times New Roman"/>
          <w:sz w:val="20"/>
        </w:rPr>
      </w:pPr>
      <w:r>
        <w:rPr>
          <w:rFonts w:ascii="Times New Roman" w:hAnsi="Times New Roman"/>
          <w:sz w:val="20"/>
        </w:rPr>
        <w:t xml:space="preserve">ISIN NO.: US78573XAB64 </w:t>
      </w:r>
    </w:p>
    <w:p>
      <w:pPr>
        <w:pStyle w:val="TextBody"/>
        <w:bidi w:val="0"/>
        <w:spacing w:before="240" w:after="0"/>
        <w:jc w:val="center"/>
        <w:rPr>
          <w:rFonts w:ascii="Times New Roman" w:hAnsi="Times New Roman"/>
          <w:sz w:val="20"/>
        </w:rPr>
      </w:pPr>
      <w:r>
        <w:rPr>
          <w:rFonts w:ascii="Times New Roman" w:hAnsi="Times New Roman"/>
          <w:sz w:val="20"/>
        </w:rPr>
        <w:t xml:space="preserve">9.875% SENIOR SECURED NOTES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6"/>
        <w:gridCol w:w="123"/>
        <w:gridCol w:w="4846"/>
      </w:tblGrid>
      <w:tr>
        <w:trPr/>
        <w:tc>
          <w:tcPr>
            <w:tcW w:w="523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6" w:type="dxa"/>
            <w:tcBorders/>
          </w:tcPr>
          <w:p>
            <w:pPr>
              <w:pStyle w:val="TableContents"/>
              <w:bidi w:val="0"/>
              <w:spacing w:before="0" w:after="283"/>
              <w:jc w:val="left"/>
              <w:rPr/>
            </w:pPr>
            <w:r>
              <w:rPr/>
              <w:t>No. A-</w:t>
            </w:r>
            <w:r>
              <w:rPr>
                <w:u w:val="single"/>
              </w:rPr>
              <w:t>   </w:t>
            </w:r>
          </w:p>
        </w:tc>
        <w:tc>
          <w:tcPr>
            <w:tcW w:w="123"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w:t>
            </w:r>
            <w:r>
              <w:rPr>
                <w:u w:val="single"/>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SABRE FINANCIAL BORROWER, LLC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w:t>
      </w:r>
    </w:p>
    <w:p>
      <w:pPr>
        <w:pStyle w:val="TextBody"/>
        <w:bidi w:val="0"/>
        <w:spacing w:before="120" w:after="0"/>
        <w:jc w:val="left"/>
        <w:rPr>
          <w:rFonts w:ascii="Times New Roman" w:hAnsi="Times New Roman"/>
          <w:sz w:val="20"/>
        </w:rPr>
      </w:pPr>
      <w:r>
        <w:rPr>
          <w:rFonts w:ascii="Times New Roman" w:hAnsi="Times New Roman"/>
          <w:sz w:val="20"/>
        </w:rPr>
        <w:t xml:space="preserve">the principal sum of </w:t>
      </w:r>
      <w:r>
        <w:rPr>
          <w:rFonts w:ascii="Times New Roman" w:hAnsi="Times New Roman"/>
          <w:sz w:val="20"/>
          <w:u w:val="single"/>
        </w:rPr>
        <w:t>         </w:t>
      </w:r>
      <w:r>
        <w:rPr>
          <w:rFonts w:ascii="Times New Roman" w:hAnsi="Times New Roman"/>
          <w:sz w:val="20"/>
        </w:rPr>
        <w:t xml:space="preserve">[(as may be increased or decreased on the attached Schedule of Exchanges of Interest in the Global Note)] on October 15, 2032.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April 15 and October 15. </w:t>
      </w:r>
    </w:p>
    <w:p>
      <w:pPr>
        <w:pStyle w:val="TextBody"/>
        <w:bidi w:val="0"/>
        <w:spacing w:before="240" w:after="0"/>
        <w:jc w:val="left"/>
        <w:rPr>
          <w:rFonts w:ascii="Times New Roman" w:hAnsi="Times New Roman"/>
          <w:sz w:val="20"/>
        </w:rPr>
      </w:pPr>
      <w:r>
        <w:rPr>
          <w:rFonts w:ascii="Times New Roman" w:hAnsi="Times New Roman"/>
          <w:sz w:val="20"/>
        </w:rPr>
        <w:t xml:space="preserve">Record Dates: April 1 and October 1.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115"/>
        <w:gridCol w:w="122"/>
        <w:gridCol w:w="2845"/>
      </w:tblGrid>
      <w:tr>
        <w:trPr/>
        <w:tc>
          <w:tcPr>
            <w:tcW w:w="11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0"/>
              </w:rPr>
            </w:pPr>
            <w:r>
              <w:rPr>
                <w:b/>
                <w:sz w:val="20"/>
              </w:rPr>
              <w:t>SABRE FINANCIAL BORROWER, LLC</w:t>
            </w:r>
          </w:p>
        </w:tc>
      </w:tr>
      <w:tr>
        <w:trPr>
          <w:trHeight w:val="240" w:hRule="atLeast"/>
        </w:trPr>
        <w:tc>
          <w:tcPr>
            <w:tcW w:w="1115" w:type="dxa"/>
            <w:tcBorders/>
            <w:vAlign w:val="center"/>
          </w:tcPr>
          <w:p>
            <w:pPr>
              <w:pStyle w:val="TableContents"/>
              <w:bidi w:val="0"/>
              <w:spacing w:before="0" w:after="283"/>
              <w:jc w:val="left"/>
              <w:rPr>
                <w:sz w:val="4"/>
                <w:szCs w:val="4"/>
              </w:rPr>
            </w:pPr>
            <w:r>
              <w:rPr>
                <w:sz w:val="4"/>
                <w:szCs w:val="4"/>
              </w:rPr>
            </w:r>
          </w:p>
        </w:tc>
        <w:tc>
          <w:tcPr>
            <w:tcW w:w="2967"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283"/>
              <w:jc w:val="left"/>
              <w:rPr/>
            </w:pPr>
            <w:r>
              <w:rPr/>
              <w:t>By:</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2845" w:type="dxa"/>
            <w:tcBorders>
              <w:bottom w:val="single" w:sz="2" w:space="0" w:color="000000"/>
            </w:tcBorders>
            <w:tcMar>
              <w:bottom w:w="28" w:type="dxa"/>
            </w:tcMa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2" w:type="dxa"/>
            <w:tcBorders/>
            <w:vAlign w:val="bottom"/>
          </w:tcPr>
          <w:p>
            <w:pPr>
              <w:pStyle w:val="TableContents"/>
              <w:bidi w:val="0"/>
              <w:spacing w:before="0" w:after="283"/>
              <w:jc w:val="left"/>
              <w:rPr/>
            </w:pPr>
            <w:r>
              <w:rPr/>
              <w:t> </w:t>
            </w:r>
          </w:p>
        </w:tc>
        <w:tc>
          <w:tcPr>
            <w:tcW w:w="2845" w:type="dxa"/>
            <w:tcBorders/>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22" w:type="dxa"/>
            <w:tcBorders/>
            <w:vAlign w:val="bottom"/>
          </w:tcPr>
          <w:p>
            <w:pPr>
              <w:pStyle w:val="TableContents"/>
              <w:bidi w:val="0"/>
              <w:spacing w:before="0" w:after="283"/>
              <w:jc w:val="left"/>
              <w:rPr/>
            </w:pPr>
            <w:r>
              <w:rPr/>
              <w:t> </w:t>
            </w:r>
          </w:p>
        </w:tc>
        <w:tc>
          <w:tcPr>
            <w:tcW w:w="284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[Signature Page to Global Note A-</w:t>
      </w:r>
      <w:r>
        <w:rPr>
          <w:rFonts w:ascii="Times New Roman" w:hAnsi="Times New Roman"/>
          <w:sz w:val="20"/>
          <w:u w:val="single"/>
        </w:rPr>
        <w:t>    </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6"/>
        <w:gridCol w:w="203"/>
        <w:gridCol w:w="1085"/>
        <w:gridCol w:w="203"/>
        <w:gridCol w:w="2515"/>
      </w:tblGrid>
      <w:tr>
        <w:trPr/>
        <w:tc>
          <w:tcPr>
            <w:tcW w:w="7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b/>
              </w:rPr>
              <w:t xml:space="preserve">WILMINGTON TRUST, NATIONAL ASSOCIATION </w:t>
            </w:r>
            <w:r>
              <w:rPr/>
              <w:t>as Trustee</w:t>
            </w:r>
          </w:p>
        </w:tc>
      </w:tr>
      <w:tr>
        <w:trPr>
          <w:trHeight w:val="240" w:hRule="atLeast"/>
        </w:trPr>
        <w:tc>
          <w:tcPr>
            <w:tcW w:w="76" w:type="dxa"/>
            <w:tcBorders/>
            <w:vAlign w:val="center"/>
          </w:tcPr>
          <w:p>
            <w:pPr>
              <w:pStyle w:val="TableContents"/>
              <w:bidi w:val="0"/>
              <w:spacing w:before="0" w:after="283"/>
              <w:jc w:val="left"/>
              <w:rPr>
                <w:sz w:val="4"/>
                <w:szCs w:val="4"/>
              </w:rPr>
            </w:pPr>
            <w:r>
              <w:rPr>
                <w:sz w:val="4"/>
                <w:szCs w:val="4"/>
              </w:rPr>
            </w:r>
          </w:p>
        </w:tc>
        <w:tc>
          <w:tcPr>
            <w:tcW w:w="1288" w:type="dxa"/>
            <w:gridSpan w:val="2"/>
            <w:tcBorders/>
            <w:vAlign w:val="center"/>
          </w:tcPr>
          <w:p>
            <w:pPr>
              <w:pStyle w:val="TableContents"/>
              <w:bidi w:val="0"/>
              <w:spacing w:before="0" w:after="283"/>
              <w:jc w:val="left"/>
              <w:rPr>
                <w:sz w:val="4"/>
                <w:szCs w:val="4"/>
              </w:rPr>
            </w:pPr>
            <w:r>
              <w:rPr>
                <w:sz w:val="4"/>
                <w:szCs w:val="4"/>
              </w:rPr>
            </w:r>
          </w:p>
        </w:tc>
        <w:tc>
          <w:tcPr>
            <w:tcW w:w="2718" w:type="dxa"/>
            <w:gridSpan w:val="2"/>
            <w:tcBorders/>
            <w:vAlign w:val="center"/>
          </w:tcPr>
          <w:p>
            <w:pPr>
              <w:pStyle w:val="TableContents"/>
              <w:bidi w:val="0"/>
              <w:spacing w:before="0" w:after="283"/>
              <w:jc w:val="left"/>
              <w:rPr>
                <w:sz w:val="4"/>
                <w:szCs w:val="4"/>
              </w:rPr>
            </w:pPr>
            <w:r>
              <w:rPr>
                <w:sz w:val="4"/>
                <w:szCs w:val="4"/>
              </w:rPr>
            </w:r>
          </w:p>
        </w:tc>
      </w:tr>
      <w:tr>
        <w:trPr/>
        <w:tc>
          <w:tcPr>
            <w:tcW w:w="7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085" w:type="dxa"/>
            <w:tcBorders/>
          </w:tcPr>
          <w:p>
            <w:pPr>
              <w:pStyle w:val="TableContents"/>
              <w:bidi w:val="0"/>
              <w:spacing w:before="0" w:after="283"/>
              <w:jc w:val="left"/>
              <w:rPr/>
            </w:pPr>
            <w:r>
              <w:rPr/>
              <w:t>By:</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251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76" w:type="dxa"/>
            <w:tcBorders/>
            <w:vAlign w:val="center"/>
          </w:tcPr>
          <w:p>
            <w:pPr>
              <w:pStyle w:val="TableContents"/>
              <w:bidi w:val="0"/>
              <w:spacing w:before="0" w:after="283"/>
              <w:jc w:val="left"/>
              <w:rPr>
                <w:sz w:val="4"/>
                <w:szCs w:val="4"/>
              </w:rPr>
            </w:pPr>
            <w:r>
              <w:rPr>
                <w:sz w:val="4"/>
                <w:szCs w:val="4"/>
              </w:rPr>
            </w:r>
          </w:p>
        </w:tc>
        <w:tc>
          <w:tcPr>
            <w:tcW w:w="4006" w:type="dxa"/>
            <w:gridSpan w:val="4"/>
            <w:tcBorders/>
            <w:vAlign w:val="center"/>
          </w:tcPr>
          <w:p>
            <w:pPr>
              <w:pStyle w:val="TableContents"/>
              <w:bidi w:val="0"/>
              <w:spacing w:before="0" w:after="283"/>
              <w:jc w:val="left"/>
              <w:rPr>
                <w:sz w:val="4"/>
                <w:szCs w:val="4"/>
              </w:rPr>
            </w:pPr>
            <w:r>
              <w:rPr>
                <w:sz w:val="4"/>
                <w:szCs w:val="4"/>
              </w:rPr>
            </w:r>
          </w:p>
        </w:tc>
      </w:tr>
      <w:tr>
        <w:trPr/>
        <w:tc>
          <w:tcPr>
            <w:tcW w:w="7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80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p>
            <w:pPr>
              <w:pStyle w:val="TableContents"/>
              <w:bidi w:val="0"/>
              <w:spacing w:before="0" w:after="2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center"/>
        <w:rPr>
          <w:rFonts w:ascii="Times New Roman" w:hAnsi="Times New Roman"/>
          <w:sz w:val="20"/>
        </w:rPr>
      </w:pPr>
      <w:r>
        <w:rPr>
          <w:rFonts w:ascii="Times New Roman" w:hAnsi="Times New Roman"/>
          <w:sz w:val="20"/>
        </w:rPr>
        <w:t>[Signature Page to Global Note A-</w:t>
      </w:r>
      <w:r>
        <w:rPr>
          <w:rFonts w:ascii="Times New Roman" w:hAnsi="Times New Roman"/>
          <w:sz w:val="20"/>
          <w:u w:val="single"/>
        </w:rPr>
        <w:t>    </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NOTE] </w:t>
      </w:r>
    </w:p>
    <w:p>
      <w:pPr>
        <w:pStyle w:val="TextBody"/>
        <w:bidi w:val="0"/>
        <w:spacing w:before="240" w:after="0"/>
        <w:jc w:val="center"/>
        <w:rPr>
          <w:rFonts w:ascii="Times New Roman" w:hAnsi="Times New Roman"/>
          <w:sz w:val="20"/>
        </w:rPr>
      </w:pPr>
      <w:r>
        <w:rPr>
          <w:rFonts w:ascii="Times New Roman" w:hAnsi="Times New Roman"/>
          <w:sz w:val="20"/>
        </w:rPr>
        <w:t xml:space="preserve">9.875% SENIOR SECURED NOTES DUE 2032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Sabre Financial Borrower, LLC, a Delaware limited liability company (the “</w:t>
      </w:r>
      <w:r>
        <w:rPr>
          <w:rFonts w:ascii="Times New Roman" w:hAnsi="Times New Roman"/>
          <w:i/>
          <w:sz w:val="20"/>
        </w:rPr>
        <w:t>Company</w:t>
      </w:r>
      <w:r>
        <w:rPr>
          <w:rFonts w:ascii="Times New Roman" w:hAnsi="Times New Roman"/>
          <w:sz w:val="20"/>
        </w:rPr>
        <w:t>”), promises to pay or cause to be paid interest on the principal amount of this Note at 9.875% per annum from September 28, 2026 until maturity. The Company will pay interest, if any, semi-annually in arrears on April 15 and October 15 of each year, or if any such day is not a Business Day, on the next succeeding Business Day (each, an “</w:t>
      </w:r>
      <w:r>
        <w:rPr>
          <w:rFonts w:ascii="Times New Roman" w:hAnsi="Times New Roman"/>
          <w:i/>
          <w:sz w:val="20"/>
        </w:rPr>
        <w:t>Interest Payment Date</w:t>
      </w:r>
      <w:r>
        <w:rPr>
          <w:rFonts w:ascii="Times New Roman" w:hAnsi="Times New Roman"/>
          <w:sz w:val="20"/>
        </w:rPr>
        <w:t xml:space="preserve">”). Interest on the Notes will accrue from the most recent date to which interest has been paid or, if no interest has been paid, from the date of issuance; provided that, if this Note is authenticated between a record date referred to on the face hereof and the next succeeding Interest Payment Date, interest shall accrue from such next succeeding Interest Payment Date; </w:t>
      </w:r>
      <w:r>
        <w:rPr>
          <w:rFonts w:ascii="Times New Roman" w:hAnsi="Times New Roman"/>
          <w:i/>
          <w:sz w:val="20"/>
        </w:rPr>
        <w:t>provided further</w:t>
      </w:r>
      <w:r>
        <w:rPr>
          <w:rFonts w:ascii="Times New Roman" w:hAnsi="Times New Roman"/>
          <w:sz w:val="20"/>
        </w:rPr>
        <w:t xml:space="preserve"> that the first Interest Payment Date shall be April 15, 2027. If any interest payment date falls on a day that is not a Business Day, the required payment will be made on the succeeding Business Day and no interest on such payment will accrue in respect of the delay. The Company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Interest will be computed on the basis of a 360-day year comprised of twelve 30-day months.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The Company will pay interest on the Notes (except defaulted interest), if any, to the Persons who are registered Holders of Notes at the close of business on April 1 and October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if any, at the office or agency of the Paying Agent and Registrar within the contiguous United States, or, at the option of the Company, payment of interest, if any, may be made by check mailed to the Holders at their addresses set forth in the register of Holders; </w:t>
      </w:r>
      <w:r>
        <w:rPr>
          <w:rFonts w:ascii="Times New Roman" w:hAnsi="Times New Roman"/>
          <w:i/>
          <w:sz w:val="20"/>
        </w:rPr>
        <w:t>provided</w:t>
      </w:r>
      <w:r>
        <w:rPr>
          <w:rFonts w:ascii="Times New Roman" w:hAnsi="Times New Roman"/>
          <w:sz w:val="20"/>
        </w:rPr>
        <w:t xml:space="preserve"> that payment by wire transfer of immediately available funds will be required with respect to principal of, premium on, if any, and interest,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AND REGISTRAR</w:t>
      </w:r>
      <w:r>
        <w:rPr>
          <w:rFonts w:ascii="Times New Roman" w:hAnsi="Times New Roman"/>
          <w:sz w:val="20"/>
        </w:rPr>
        <w:t xml:space="preserve">. Initially, Wilmington Trust, National Association, the Trustee under the Indenture, will act as Paying Agent and Registrar. The Company may change the Paying Agent or Registrar without prior notice to the Holders of the Notes. The Company or any of its Subsidiaries may act as Paying Agent or Registrar.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 AND SECURITY DOCUMENTS</w:t>
      </w:r>
      <w:r>
        <w:rPr>
          <w:rFonts w:ascii="Times New Roman" w:hAnsi="Times New Roman"/>
          <w:sz w:val="20"/>
        </w:rPr>
        <w:t xml:space="preserve">. The Company issued the Notes under an Indenture dated as of September 28, 2026 (the “Indenture”) among the Company, the Guarantors, the Trustee and Wilmington Trust, National Association, as Collateral Agent.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Indenture does not limit the aggregate principal amount of Notes that may be issued thereunder.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October 15, 2029, the Company may redeem all or a part of the Notes, at a redemption price equal to 100% of the principal amount of the Notes redeemed plus the Applicable Premium as of, plus accrued and unpaid interest, if any, on the Notes redeemed, to, but excluding, the Redemption Date, subject to the right of Holders of record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in connection with any tender offer or other offer to purchase any series of Notes (including pursuant to a Change of Control Offer or Asset Sale Offer), if not less than 90% in aggregate principal amount of the outstanding Notes of such series validly tender and do not withdraw such Notes in such offer, all of the holders of such series of Notes will be deemed to have consented to such tender or other offer and accordingly, the Company or any third party purchasing or acquiring the Notes in lieu of the Company will have the right, upon not less than 10 nor more than 60 days’ prior notice, given not more than 60 days following such purchase, to redeem all Notes of such series that remain outstanding following such purchase at a price equal to the price paid to holders in such purchase, plus accrued and unpaid interest, if any, on such Notes to (but not including) the Redemption Date (subject to the right of holders of record on the relevant record date to receive interest due on the relevant interest payment date falling prior to or on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on or prior to October 15, 2029, the Company may redeem in the aggregate up to 40% of the original aggregate principal amount of the Notes with the net cash proceeds of one or more Subsequent Equity Offerings (1) by Sabre GLBL or (2) by any direct or indirect parent of Sabre GLBL to the extent the net cash proceeds thereof are contributed to the common equity capital of Sabre GLBL or used to purchase Capital Stock (other than Disqualified Stock) (in each case, as defined in the New Intercompany Loan) of Sabre GLBL from it, at a redemption price (expressed as a percentage of principal amount thereof) of 109.875%, plus accrued and unpaid interest to, but excluding, the Redemption Date (subject to the right of holders of record on the relevant record date to receive interest due on the relevant interest payment date); </w:t>
      </w:r>
      <w:r>
        <w:rPr>
          <w:rFonts w:ascii="Times New Roman" w:hAnsi="Times New Roman"/>
          <w:i/>
          <w:sz w:val="20"/>
        </w:rPr>
        <w:t>provided</w:t>
      </w:r>
      <w:r>
        <w:rPr>
          <w:rFonts w:ascii="Times New Roman" w:hAnsi="Times New Roman"/>
          <w:sz w:val="20"/>
        </w:rPr>
        <w:t xml:space="preserve">, however, that (1) at least 50% of the original aggregate principal amount of the Notes must remain outstanding after each such redemption; and (2) that such redemption shall occur within 180 days after the date on which any such Subsequent Equity Offering is consummated upon not less than ten nor more than 60 days’ notice mailed by first- class mail to each holder of Notes being redeemed and otherwise in accordance with the procedures set forth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pursuant to the three precedent paragraphs, the Notes will not be redeemable at the Company’s option prior to October 15, 2029. </w:t>
      </w:r>
    </w:p>
    <w:p>
      <w:pPr>
        <w:pStyle w:val="TextBody"/>
        <w:bidi w:val="0"/>
        <w:spacing w:before="120" w:after="0"/>
        <w:jc w:val="left"/>
        <w:rPr>
          <w:rFonts w:ascii="Times New Roman" w:hAnsi="Times New Roman"/>
          <w:sz w:val="20"/>
        </w:rPr>
      </w:pPr>
      <w:r>
        <w:rPr>
          <w:rFonts w:ascii="Times New Roman" w:hAnsi="Times New Roman"/>
          <w:sz w:val="20"/>
        </w:rPr>
        <w:t xml:space="preserve">On and after October 15, 2029, the Company may, at its option, on one or more occasions, redeem all or a portion of the Notes at redemption prices (expressed as percentages of the aggregate principal amount thereof) set forth below, plus accrued and unpaid interest, if any, on the Notes redeemed, to, but excluding, the Redemption Date, if redeemed during the 12-month period beginning on October 15 of the years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5"/>
        <w:gridCol w:w="402"/>
        <w:gridCol w:w="79"/>
        <w:gridCol w:w="1133"/>
        <w:gridCol w:w="280"/>
      </w:tblGrid>
      <w:tr>
        <w:trPr/>
        <w:tc>
          <w:tcPr>
            <w:tcW w:w="504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402"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104.938</w:t>
            </w:r>
          </w:p>
        </w:tc>
        <w:tc>
          <w:tcPr>
            <w:tcW w:w="280" w:type="dxa"/>
            <w:tcBorders/>
            <w:shd w:fill="CCEEFF" w:val="clear"/>
            <w:vAlign w:val="bottom"/>
          </w:tcPr>
          <w:p>
            <w:pPr>
              <w:pStyle w:val="TableContents"/>
              <w:bidi w:val="0"/>
              <w:spacing w:before="0" w:after="283"/>
              <w:jc w:val="left"/>
              <w:rPr/>
            </w:pPr>
            <w:r>
              <w:rPr/>
              <w:t>% </w:t>
            </w:r>
          </w:p>
        </w:tc>
      </w:tr>
      <w:tr>
        <w:trPr/>
        <w:tc>
          <w:tcPr>
            <w:tcW w:w="504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0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102.469</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100.000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redemptions pursuant to this paragraph (5) shall be made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receives any voluntary or mandatory prepayment of principal under the New Intercompany Loan, the Company shall retain such amount and promptly use such amount to redeem the maximum principal amount of Notes that can be redeemed with such amount (after taking into account accrued and unpaid interest and any applicable redemption premium required to be paid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(including with net cash proceeds of a Subsequent Equity Offering) may, at the Company’s discretion, be subject to one or more conditions precedent, including, without limitation, the consummation of an incurrence or issuance of debt or equity or a Change of Control. If any Notes are listed on an exchange, and the rules of such exchange so require, the Company will notify the exchange of any such notice of redemption. In addition, the Company will notify the exchange of the principal amount of any Notes outstanding following any partial redemption of Notes. If any condition precedent has not been satisfied, the Company shall provide written notice to the Trustee and Holders by 10 A.M., New York City time, on the Redemption Date, stating that such condition has not been satisfied, the notice of redemption is rescinded or delayed and the redemption shall not occur or shall be delayed.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 xml:space="preserve">MANDATORY REDEMPTION. </w:t>
      </w:r>
      <w:r>
        <w:rPr>
          <w:rFonts w:ascii="Times New Roman" w:hAnsi="Times New Roman"/>
          <w:sz w:val="20"/>
        </w:rPr>
        <w:t xml:space="preserve">The Company is not required to make mandatory redemption or sinking fund payments with respect to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REPURCHASE AT THE OPTION OF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occurrence of a Change of Control, the Company will be required to make an offer (a “Change of Control Offer”) to each Holder to repurchase all or any part (equal to $2,000 or an integral multiple of $1,000 in excess thereof) of that Holder’s Notes at a purchase price in cash equal to 101% of the aggregate principal amount of Notes repurchased, plus accrued and unpaid interest, if any, on the Notes repurchased to, but excluding, the date of purchase, subject to the rights of Holders of Notes on the relevant record date to receive interest due on the relevant interest payment date (the “Change of Control Payment”). Within 30 days following any Change of Control, the Company will mail a notice to each Holder setting forth the procedures governing the Change of Control Offer as required by the Indenture. </w:t>
      </w:r>
    </w:p>
    <w:p>
      <w:pPr>
        <w:pStyle w:val="TextBody"/>
        <w:bidi w:val="0"/>
        <w:spacing w:before="120" w:after="0"/>
        <w:jc w:val="left"/>
        <w:rPr>
          <w:rFonts w:ascii="Times New Roman" w:hAnsi="Times New Roman"/>
          <w:sz w:val="20"/>
        </w:rPr>
      </w:pPr>
      <w:r>
        <w:rPr>
          <w:rFonts w:ascii="Times New Roman" w:hAnsi="Times New Roman"/>
          <w:sz w:val="20"/>
        </w:rPr>
        <w:t xml:space="preserve">(b) (i) The Restricted Parties may not consummate any Asset Sale that would result in the sale of assets (in the aggregate since the Issue Date) contributing in excess of 17.5% of EBITDA of the Restricted Group (measured at the time of the consummation of any Asset Sale) to Persons that are not Affiliates of Sabre (the “Specified Asset Sale Limitation”). The Specified Asset Sale Limitation shall not apply to any Permitted Asset Swap or any Asset Sale the proceeds of which are initially reinvested in the Restricted Group; and (ii) to the extent that the terms of any Indebtedness of Sabre GLBL requires that such Indebtedness be prepaid with the Net Proceeds of Asset Sales, the Restricted Parties shall be entitled to distribute the Net Proceeds of any Asset Sale so required to prepay such Indebtedness to Sabre GLBL, which Net Proceeds shall promptly be used to repay such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the New Intercompany Loan requires Sabre GLBL to offer to prepay any loans thereunder, the Company will make an Asset Sale Offer to all Holders of Notes to purchase the maximum principal amount of Notes and such Pari Passu Indebtedness that is in an amount equal to at least $2,000 that may be purchased with such Excess Proceeds (as defined in the New Intercompany Loan) at an offer price in cash in an amount equal to 100% of the principal amount thereof (or accreted value thereof, if less), </w:t>
      </w:r>
      <w:r>
        <w:rPr>
          <w:rFonts w:ascii="Times New Roman" w:hAnsi="Times New Roman"/>
          <w:i/>
          <w:sz w:val="20"/>
        </w:rPr>
        <w:t xml:space="preserve">plus </w:t>
      </w:r>
      <w:r>
        <w:rPr>
          <w:rFonts w:ascii="Times New Roman" w:hAnsi="Times New Roman"/>
          <w:sz w:val="20"/>
        </w:rPr>
        <w:t xml:space="preserve">accrued and unpaid interest, if any, to, but excluding, the date fixed for the closing of such offer, in accordance with the procedures set forth in the Indenture and the New Intercompany Loan. </w:t>
      </w:r>
    </w:p>
    <w:p>
      <w:pPr>
        <w:pStyle w:val="TextBody"/>
        <w:bidi w:val="0"/>
        <w:spacing w:before="120" w:after="0"/>
        <w:jc w:val="left"/>
        <w:rPr>
          <w:rFonts w:ascii="Times New Roman" w:hAnsi="Times New Roman"/>
          <w:sz w:val="20"/>
        </w:rPr>
      </w:pPr>
      <w:r>
        <w:rPr>
          <w:rFonts w:ascii="Times New Roman" w:hAnsi="Times New Roman"/>
          <w:sz w:val="20"/>
        </w:rPr>
        <w:t xml:space="preserve">If any Excess Proceeds remain after consummation of an Asset Sale Offer, the Company may use those Excess Proceeds for general corporate purposes, subject to the other covenants contained in the Indenture. Upon completion of each Asset Sale Offer, the amount of Excess Proceeds will be reset at zero. Holders of Notes that are the subject of an offer to purchase will receive an Asset Sale Offer from the Company prior to any related purchase date and may elect to have such Notes purchased by completing the form entitled “Option of Holder to Elect Purchase” attached to the Notes.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NOTICE OF REDEMPTION</w:t>
      </w:r>
      <w:r>
        <w:rPr>
          <w:rFonts w:ascii="Times New Roman" w:hAnsi="Times New Roman"/>
          <w:sz w:val="20"/>
        </w:rPr>
        <w:t xml:space="preserve">. At least 10 days but not more than 60 days before a Redemption Date, the Company will mail or cause to be mailed, by first class mail, a notice of redemption to each Holder whose Notes are to be redeemed at its registered address or otherwise sent in accordance with the procedures of the Depositary, except that redemption notices may be mailed more than 60 days prior to a Redemption Date if the notice is issued in connection with a defeasance of the Notes or a satisfaction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discharge of the Indenture pursuant to Articles 8 or 12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DENOMINATIONS, TRANSFER, EXCHANGE</w:t>
      </w:r>
      <w:r>
        <w:rPr>
          <w:rFonts w:ascii="Times New Roman" w:hAnsi="Times New Roman"/>
          <w:sz w:val="20"/>
        </w:rPr>
        <w:t xml:space="preserve">. The Notes are in registered form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mailing of a notice of redemption of Notes to be redeemed or during the period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PERSONS DEEMED OWNERS</w:t>
      </w:r>
      <w:r>
        <w:rPr>
          <w:rFonts w:ascii="Times New Roman" w:hAnsi="Times New Roman"/>
          <w:sz w:val="20"/>
        </w:rPr>
        <w:t xml:space="preserve">. The registered Holder of a Note may be treated as the owner of it for all purposes. Only registered Holders have rights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AMENDMENT, SUPPLEMENT AND WAIVER</w:t>
      </w:r>
      <w:r>
        <w:rPr>
          <w:rFonts w:ascii="Times New Roman" w:hAnsi="Times New Roman"/>
          <w:sz w:val="20"/>
        </w:rPr>
        <w:t xml:space="preserve">. Subject to certain exceptions, the Indenture, the Notes, the Guarantees or the Security Documents may be amended or supplemented with the consent of the Holders of at least a majority in aggregate principal amount of the then outstanding Notes, and any existing Default or Event of Default or compliance with any provision of the Indenture or the Notes or the Guarantees or the Security Documents may be waived with the consent of the Holders of a majority in aggregate principal amount of the then outstanding Notes. Without the consent of any Holder of Notes, the Indenture, the Notes, the Guarantees or the Security Documents may be amended or supplemented to cure any ambiguity, omission, mistake, defect or inconsistency, to provide for uncertificated Notes in addition to or in place of certificated Notes, to provide for the assumption of the Company’s or a Guarantor’s obligations to Holders of the Notes and Guarantees by a successor to the Company or such Guarantor pursuant to the Indenture, to make any change that would provide any additional rights or benefits to the Holders of the Notes or that does not materially and adversely affect the legal rights under the Indenture of any Holder, to conform the text of the Indenture, the Notes, or the Guarantees or the Security Documents to any provision of the “Description of Notes” section of the Company’s Offering Memorandum dated September 15, 2026, relating to the offering of the Notes, to the extent that such provision in that “Description of Notes” was intended to be a verbatim recitation of a provision of the Indenture, the Notes, or the Guarantees or the Security Documents, which intent may be evidenced by an Officer’s Certificate to that effect, to enter into additional or supplemental Security Documents, to release Collateral in accordance with the terms of this Indenture and the Security Documents, or to allow any Guarantor to execute a supplemental indenture to the Indenture and/or a Guarantee with respect to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DEFAULTS AND REMEDIES</w:t>
      </w:r>
      <w:r>
        <w:rPr>
          <w:rFonts w:ascii="Times New Roman" w:hAnsi="Times New Roman"/>
          <w:sz w:val="20"/>
        </w:rPr>
        <w:t xml:space="preserve">. The Indenture contains provisions for certain Events of Default with respect to this Note, in each case upon compliance with certain conditions set forth in the Indenture. In the case of an Event of Default arising from certain events of bankruptcy or insolvency with respect to Sabre Holdings,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Trustee may withhold from Holders of the Notes notice of any continuing Default or Event of Default (except a Default or Event of Default relating to the payment of principal, premium, if any, or interest, if any) if it determines that withholding notice is in their interest. The Holders of a majority in aggregate principal amount of the then outstanding Notes by notice to the Trustee may, on behalf of all the Holders of Notes, rescind an acceleration or waive an existing Default or Event of Default and its respective consequences under the Indenture except a continuing Default or Event of Default in the payment of principal of, premium on, if any, or interest, if any, on, the Notes (including in connection with an offer to purchase). The Company is required to deliver to the Trustee annually a statement regarding compliance with the Indenture, and the Company is required, within five Business Days of becoming aware of any Default or Event of Default, to deliver to the Trustee a statement specifying such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TRUSTEE AND COLLATERAL AGENT DEALINGS WITH COMPANY</w:t>
      </w:r>
      <w:r>
        <w:rPr>
          <w:rFonts w:ascii="Times New Roman" w:hAnsi="Times New Roman"/>
          <w:sz w:val="20"/>
        </w:rPr>
        <w:t xml:space="preserve">. The Trustee and Collateral Agent, in its individual or any other capacity, may make loans to, accept deposits from, and perform services for the Company or its Affiliates, and may otherwise deal with the Company or its Affiliates, as if it were not the Trustee or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NO RECOURSE AGAINST OTHERS</w:t>
      </w:r>
      <w:r>
        <w:rPr>
          <w:rFonts w:ascii="Times New Roman" w:hAnsi="Times New Roman"/>
          <w:sz w:val="20"/>
        </w:rPr>
        <w:t xml:space="preserve">. No past, present or future director, officer, employee, incorporator, member, partner or stockholder of the Restricted Parties or any of their direct or indirect parent companies (other than the Restricted Parties), as such, will have any liability for any obligations of the Restricted Parties under the Notes, the Indenture, the Guarantees or the Security Documents or for any claim based on, in respect of, or by reason of, such obligations or their creation. Each Holder of Notes by accepting a Note waives and releases all such liability. The waiver and release are part of the consideration for issuance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AUTHENTICATION</w:t>
      </w:r>
      <w:r>
        <w:rPr>
          <w:rFonts w:ascii="Times New Roman" w:hAnsi="Times New Roman"/>
          <w:sz w:val="20"/>
        </w:rPr>
        <w:t xml:space="preserve">. This Note will not be valid until authenticated by the manual signature of the Trustee or an authenticating agent.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CUSIP NUMBERS AND ISINS</w:t>
      </w:r>
      <w:r>
        <w:rPr>
          <w:rFonts w:ascii="Times New Roman" w:hAnsi="Times New Roman"/>
          <w:sz w:val="20"/>
        </w:rPr>
        <w:t xml:space="preserve">. Pursuant to a recommendation promulgated by the Committee on Uniform Security Identification Procedures, the Company has caused CUSIP numbers and ISINs to be printed on the Notes, and the Trustee may use CUSIP numbers and ISINs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GOVERNING LAW</w:t>
      </w:r>
      <w:r>
        <w:rPr>
          <w:rFonts w:ascii="Times New Roman" w:hAnsi="Times New Roman"/>
          <w:sz w:val="20"/>
        </w:rPr>
        <w:t xml:space="preserve">. THE INDENTURE, THIS NOTE AND THE GUARANTEES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Sabre Financial Borrower, LLC </w:t>
      </w:r>
    </w:p>
    <w:p>
      <w:pPr>
        <w:pStyle w:val="TextBody"/>
        <w:bidi w:val="0"/>
        <w:spacing w:before="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pPr>
            <w:r>
              <w:rPr/>
              <w:t>(I) or (we) assign and transfer this Note to: 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7145" w:type="dxa"/>
            <w:tcBorders>
              <w:bottom w:val="single" w:sz="2" w:space="0" w:color="000000"/>
            </w:tcBorders>
            <w:tcMar>
              <w:bottom w:w="28" w:type="dxa"/>
            </w:tcMar>
          </w:tcPr>
          <w:p>
            <w:pPr>
              <w:pStyle w:val="TableContents"/>
              <w:bidi w:val="0"/>
              <w:spacing w:before="0" w:after="283"/>
              <w:jc w:val="left"/>
              <w:rPr/>
            </w:pPr>
            <w:r>
              <w:rPr/>
              <w:t> </w:t>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center"/>
              <w:rPr/>
            </w:pPr>
            <w:r>
              <w:rPr/>
              <w:t>(Insert assignee’s legal name)</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0"/>
              <w:jc w:val="center"/>
              <w:rPr>
                <w:rFonts w:ascii="Times New Roman" w:hAnsi="Times New Roman"/>
                <w:sz w:val="20"/>
              </w:rPr>
            </w:pPr>
            <w:r>
              <w:rPr>
                <w:rFonts w:ascii="Times New Roman" w:hAnsi="Times New Roman"/>
                <w:sz w:val="20"/>
              </w:rPr>
              <w:t>(Insert assignee’s soc. sec. or tax I.D. no.)</w:t>
            </w:r>
          </w:p>
          <w:p>
            <w:pPr>
              <w:pStyle w:val="TableContents"/>
              <w:bidi w:val="0"/>
              <w:spacing w:before="0" w:after="20"/>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tcPr>
          <w:p>
            <w:pPr>
              <w:pStyle w:val="TableContents"/>
              <w:bidi w:val="0"/>
              <w:spacing w:before="0" w:after="283"/>
              <w:jc w:val="center"/>
              <w:rPr/>
            </w:pPr>
            <w:r>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xml:space="preserve">                                                    </w:t>
      </w: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0"/>
        <w:gridCol w:w="120"/>
        <w:gridCol w:w="5175"/>
      </w:tblGrid>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75" w:type="dxa"/>
            <w:tcBorders/>
            <w:vAlign w:val="center"/>
          </w:tcPr>
          <w:p>
            <w:pPr>
              <w:pStyle w:val="TableContents"/>
              <w:bidi w:val="0"/>
              <w:spacing w:before="0" w:after="283"/>
              <w:jc w:val="left"/>
              <w:rPr>
                <w:sz w:val="4"/>
                <w:szCs w:val="4"/>
              </w:rPr>
            </w:pPr>
            <w:r>
              <w:rPr>
                <w:sz w:val="4"/>
                <w:szCs w:val="4"/>
              </w:rPr>
            </w:r>
          </w:p>
        </w:tc>
      </w:tr>
      <w:tr>
        <w:trPr/>
        <w:tc>
          <w:tcPr>
            <w:tcW w:w="49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75" w:type="dxa"/>
            <w:tcBorders/>
          </w:tcPr>
          <w:p>
            <w:pPr>
              <w:pStyle w:val="TableContents"/>
              <w:bidi w:val="0"/>
              <w:spacing w:before="0" w:after="0"/>
              <w:jc w:val="right"/>
              <w:rPr>
                <w:rFonts w:ascii="Times New Roman" w:hAnsi="Times New Roman"/>
                <w:sz w:val="20"/>
              </w:rPr>
            </w:pPr>
            <w:r>
              <w:rPr>
                <w:rFonts w:ascii="Times New Roman" w:hAnsi="Times New Roman"/>
                <w:sz w:val="20"/>
              </w:rPr>
              <w:t xml:space="preserve">Your Signature: </w:t>
            </w:r>
            <w:r>
              <w:rPr>
                <w:rFonts w:ascii="Times New Roman" w:hAnsi="Times New Roman"/>
                <w:sz w:val="20"/>
                <w:u w:val="single"/>
              </w:rPr>
              <w:t>              </w:t>
            </w:r>
          </w:p>
        </w:tc>
      </w:tr>
      <w:tr>
        <w:trPr/>
        <w:tc>
          <w:tcPr>
            <w:tcW w:w="49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75" w:type="dxa"/>
            <w:tcBorders/>
          </w:tcPr>
          <w:p>
            <w:pPr>
              <w:pStyle w:val="TableContents"/>
              <w:bidi w:val="0"/>
              <w:spacing w:before="0" w:after="283"/>
              <w:jc w:val="righ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Company pursuant to Section 4.10 or 4.15 of the Indenture, check the appropriate box below: </w:t>
      </w:r>
    </w:p>
    <w:p>
      <w:pPr>
        <w:pStyle w:val="TextBody"/>
        <w:bidi w:val="0"/>
        <w:spacing w:before="240" w:after="0"/>
        <w:jc w:val="center"/>
        <w:rPr/>
      </w:pPr>
      <w:r>
        <w:rPr/>
        <w:t xml:space="preserve">☐ </w:t>
      </w:r>
      <w:r>
        <w:rPr>
          <w:rFonts w:ascii="Times New Roman" w:hAnsi="Times New Roman"/>
          <w:sz w:val="20"/>
        </w:rPr>
        <w:t xml:space="preserve">SECTION 4.10       ☐ SECTION 4.15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Note purchased by the Company pursuant to Section 4.10 or Section 4.15 of the Indenture,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04"/>
        <w:gridCol w:w="120"/>
        <w:gridCol w:w="5281"/>
      </w:tblGrid>
      <w:tr>
        <w:trPr/>
        <w:tc>
          <w:tcPr>
            <w:tcW w:w="48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480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281" w:type="dxa"/>
            <w:tcBorders/>
          </w:tcPr>
          <w:p>
            <w:pPr>
              <w:pStyle w:val="TableContents"/>
              <w:bidi w:val="0"/>
              <w:spacing w:before="0" w:after="283"/>
              <w:jc w:val="right"/>
              <w:rPr/>
            </w:pPr>
            <w:r>
              <w:rPr/>
              <w:t xml:space="preserve">Your Signature: </w:t>
            </w:r>
            <w:r>
              <w:rPr>
                <w:u w:val="single"/>
              </w:rPr>
              <w:t>              </w:t>
            </w:r>
          </w:p>
        </w:tc>
      </w:tr>
      <w:tr>
        <w:trPr/>
        <w:tc>
          <w:tcPr>
            <w:tcW w:w="480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281" w:type="dxa"/>
            <w:tcBorders/>
          </w:tcPr>
          <w:p>
            <w:pPr>
              <w:pStyle w:val="TableContents"/>
              <w:bidi w:val="0"/>
              <w:spacing w:before="0" w:after="283"/>
              <w:jc w:val="right"/>
              <w:rPr/>
            </w:pPr>
            <w:r>
              <w:rPr/>
              <w:t>(Sign exactly as your name appears on the face of this Note)</w:t>
            </w:r>
          </w:p>
        </w:tc>
      </w:tr>
    </w:tbl>
    <w:p>
      <w:pPr>
        <w:pStyle w:val="TextBody"/>
        <w:bidi w:val="0"/>
        <w:spacing w:before="240" w:after="0"/>
        <w:jc w:val="right"/>
        <w:rPr>
          <w:rFonts w:ascii="Times New Roman" w:hAnsi="Times New Roman"/>
          <w:sz w:val="20"/>
        </w:rPr>
      </w:pPr>
      <w:r>
        <w:rPr>
          <w:rFonts w:ascii="Times New Roman" w:hAnsi="Times New Roman"/>
          <w:sz w:val="20"/>
        </w:rPr>
        <w:t xml:space="preserve">Tax Identification No.: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0"/>
        <w:gridCol w:w="421"/>
        <w:gridCol w:w="1445"/>
        <w:gridCol w:w="421"/>
        <w:gridCol w:w="1445"/>
        <w:gridCol w:w="421"/>
        <w:gridCol w:w="1445"/>
        <w:gridCol w:w="421"/>
        <w:gridCol w:w="1176"/>
      </w:tblGrid>
      <w:tr>
        <w:trPr/>
        <w:tc>
          <w:tcPr>
            <w:tcW w:w="301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 Exchange</w:t>
            </w:r>
          </w:p>
        </w:tc>
        <w:tc>
          <w:tcPr>
            <w:tcW w:w="421" w:type="dxa"/>
            <w:tcBorders/>
            <w:vAlign w:val="bottom"/>
          </w:tcPr>
          <w:p>
            <w:pPr>
              <w:pStyle w:val="TableContents"/>
              <w:bidi w:val="0"/>
              <w:spacing w:before="0" w:after="283"/>
              <w:jc w:val="left"/>
              <w:rPr/>
            </w:pPr>
            <w:r>
              <w:rPr/>
              <w:t>  </w:t>
            </w:r>
          </w:p>
        </w:tc>
        <w:tc>
          <w:tcPr>
            <w:tcW w:w="1445" w:type="dxa"/>
            <w:tcBorders>
              <w:bottom w:val="single" w:sz="8" w:space="0" w:color="000000"/>
            </w:tcBorders>
            <w:tcMar>
              <w:bottom w:w="28" w:type="dxa"/>
            </w:tcMar>
            <w:vAlign w:val="bottom"/>
          </w:tcPr>
          <w:p>
            <w:pPr>
              <w:pStyle w:val="TableContents"/>
              <w:bidi w:val="0"/>
              <w:spacing w:before="0" w:after="283"/>
              <w:jc w:val="center"/>
              <w:rPr/>
            </w:pPr>
            <w:r>
              <w:rPr/>
              <w:t>Amount of</w:t>
              <w:br/>
              <w:t>decrease in</w:t>
              <w:br/>
              <w:t>Principal</w:t>
              <w:br/>
              <w:t>Amount of this</w:t>
              <w:br/>
              <w:t>Global Note</w:t>
            </w:r>
          </w:p>
        </w:tc>
        <w:tc>
          <w:tcPr>
            <w:tcW w:w="421" w:type="dxa"/>
            <w:tcBorders/>
            <w:vAlign w:val="bottom"/>
          </w:tcPr>
          <w:p>
            <w:pPr>
              <w:pStyle w:val="TableContents"/>
              <w:bidi w:val="0"/>
              <w:spacing w:before="0" w:after="283"/>
              <w:jc w:val="left"/>
              <w:rPr/>
            </w:pPr>
            <w:r>
              <w:rPr/>
              <w:t>  </w:t>
            </w:r>
          </w:p>
        </w:tc>
        <w:tc>
          <w:tcPr>
            <w:tcW w:w="1445" w:type="dxa"/>
            <w:tcBorders>
              <w:bottom w:val="single" w:sz="8" w:space="0" w:color="000000"/>
            </w:tcBorders>
            <w:tcMar>
              <w:bottom w:w="28" w:type="dxa"/>
            </w:tcMar>
            <w:vAlign w:val="bottom"/>
          </w:tcPr>
          <w:p>
            <w:pPr>
              <w:pStyle w:val="TableContents"/>
              <w:bidi w:val="0"/>
              <w:spacing w:before="0" w:after="283"/>
              <w:jc w:val="center"/>
              <w:rPr/>
            </w:pPr>
            <w:r>
              <w:rPr/>
              <w:t>Amount of</w:t>
              <w:br/>
              <w:t>increase in</w:t>
              <w:br/>
              <w:t>Principal</w:t>
              <w:br/>
              <w:t>Amount of this</w:t>
              <w:br/>
              <w:t>Global Note</w:t>
            </w:r>
          </w:p>
        </w:tc>
        <w:tc>
          <w:tcPr>
            <w:tcW w:w="421" w:type="dxa"/>
            <w:tcBorders/>
            <w:vAlign w:val="bottom"/>
          </w:tcPr>
          <w:p>
            <w:pPr>
              <w:pStyle w:val="TableContents"/>
              <w:bidi w:val="0"/>
              <w:spacing w:before="0" w:after="283"/>
              <w:jc w:val="left"/>
              <w:rPr/>
            </w:pPr>
            <w:r>
              <w:rPr/>
              <w:t>  </w:t>
            </w:r>
          </w:p>
        </w:tc>
        <w:tc>
          <w:tcPr>
            <w:tcW w:w="1445" w:type="dxa"/>
            <w:tcBorders>
              <w:bottom w:val="single" w:sz="8" w:space="0" w:color="000000"/>
            </w:tcBorders>
            <w:tcMar>
              <w:bottom w:w="28" w:type="dxa"/>
            </w:tcMar>
            <w:vAlign w:val="bottom"/>
          </w:tcPr>
          <w:p>
            <w:pPr>
              <w:pStyle w:val="TableContents"/>
              <w:bidi w:val="0"/>
              <w:spacing w:before="0" w:after="283"/>
              <w:jc w:val="center"/>
              <w:rPr/>
            </w:pPr>
            <w:r>
              <w:rPr/>
              <w:t>Principal</w:t>
              <w:br/>
              <w:t>Amount of this</w:t>
              <w:br/>
              <w:t>Global Note</w:t>
              <w:br/>
              <w:t>following such</w:t>
              <w:br/>
              <w:t xml:space="preserve">decrease </w:t>
              <w:br/>
              <w:t>(or increase)</w:t>
            </w:r>
          </w:p>
        </w:tc>
        <w:tc>
          <w:tcPr>
            <w:tcW w:w="421" w:type="dxa"/>
            <w:tcBorders/>
            <w:vAlign w:val="bottom"/>
          </w:tcPr>
          <w:p>
            <w:pPr>
              <w:pStyle w:val="TableContents"/>
              <w:bidi w:val="0"/>
              <w:spacing w:before="0" w:after="283"/>
              <w:jc w:val="left"/>
              <w:rPr/>
            </w:pPr>
            <w:r>
              <w:rPr/>
              <w:t>  </w:t>
            </w:r>
          </w:p>
        </w:tc>
        <w:tc>
          <w:tcPr>
            <w:tcW w:w="1176" w:type="dxa"/>
            <w:tcBorders>
              <w:bottom w:val="single" w:sz="8" w:space="0" w:color="000000"/>
            </w:tcBorders>
            <w:tcMar>
              <w:bottom w:w="28" w:type="dxa"/>
            </w:tcMar>
            <w:vAlign w:val="bottom"/>
          </w:tcPr>
          <w:p>
            <w:pPr>
              <w:pStyle w:val="TableContents"/>
              <w:bidi w:val="0"/>
              <w:spacing w:before="0" w:after="283"/>
              <w:jc w:val="center"/>
              <w:rPr/>
            </w:pPr>
            <w:r>
              <w:rPr/>
              <w:t>Signature of</w:t>
              <w:br/>
              <w:t>authorized</w:t>
              <w:br/>
              <w:t>signatory of</w:t>
              <w:br/>
              <w:t>Trustee or</w:t>
              <w:br/>
              <w:t>Custodian</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A2 </w:t>
      </w:r>
    </w:p>
    <w:p>
      <w:pPr>
        <w:pStyle w:val="TextBody"/>
        <w:bidi w:val="0"/>
        <w:spacing w:before="240" w:after="0"/>
        <w:jc w:val="center"/>
        <w:rPr>
          <w:rFonts w:ascii="Times New Roman" w:hAnsi="Times New Roman"/>
          <w:sz w:val="20"/>
        </w:rPr>
      </w:pPr>
      <w:r>
        <w:rPr>
          <w:rFonts w:ascii="Times New Roman" w:hAnsi="Times New Roman"/>
          <w:sz w:val="20"/>
        </w:rPr>
        <w:t xml:space="preserve">[Face of Regulation S Temporary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RIGHTS ATTACHING TO THIS REGULATION S TEMPORARY GLOBAL NOTE, AND THE CONDITIONS AND PROCEDURES GOVERNING ITS EXCHANGE FOR DEFINITIVE NOTES, ARE AS SPECIFIED IN THE INDENTURE (AS DEFINED HEREIN). THIS LEGEND WILL BE DEEMED REMOVED AFTER THE EXPIRATION OF FORTY DAYS FROM THE LATER OF (i) THE DATE ON WHICH THESE NOTES WERE FIRST OFFERED AND (ii) THE DATE OF ISSUE OF THESE NOTES.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THE NOTES EVIDENCED HEREBY HAVE NOT BEEN REGISTERED UNDER THE UNITED STATES SECURITIES ACT OF 1933 (THE “SECURITIES ACT”) OR THE SECURITIES LAWS OF ANY STATE OR OTHER JURISDICTION AND, ACCORDINGLY, MAY NOT BE OFFERED, SOLD, PLEDGED OR OTHERWISE TRANSFERRED WITHIN THE UNITED STATES OR TO, OR FOR THE ACCOUNT OF, U.S. PERSONS, EXCEPT IN ACCORDANCE WITH THE FOLLOWING SENTENCE. BY ITS ACQUISITION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OF A BENEFICIAL INTEREST HEREIN, THE ACQUIRER (1) REPRESENTS THAT (A) IT AND ANY ACCOUNT FOR WHICH IT IS ACTING IS A “QUALIFIED INSTITUTIONAL BUYER” (WITHIN THE MEANING OF RULE 144A UNDER THE SECURITIES ACT) AND THAT IT EXERCISES SOLE INVESTMENT DISCRETION WITH RESPECT TO EACH SUCH ACCOUNT, OR (B) IT IS NOT A U.S. PERSON (WITHIN THE MEANING OF REGULATION S UNDER THE SECURITIES ACT), IS NOT ACQUIRING THIS SECURITY FOR THE ACCOUNT OR BENEFIT OF A U.S. PERSON AND IS ACQUIRING THIS SECURITY IN AN OFFSHORE TRANSACTION IN COMPLIANCE WITH REGULATION S UNDER THE SECURITIES ACT, (2) AGREES FOR THE BENEFIT OF SABRE FINANCIAL BORROWER, LLC (THE “COMPANY”) THAT PRIOR TO THE DATE (THE “RESALE RESTRICTION TERMINATION DATE”) THAT IS 40 DAYS AFTER THE LATER OF THE ISSUE DATE HEREOF AND THE DATE ON WHICH THIS SECURITY (OR ANY PREDECESSOR OF SUCH SECURITY) WAS FIRST OFFERED TO PERSONS OTHER THAN DISTRIBUTORS (AS DEFINED IN RULE 902 OF REGULATION S) IN RELIANCE ON REGULATION S, IT WILL NOT OFFER, SELL PLEDGE OR OTHERWISE TRANSFER THIS NOTE OR ANY BENEFICIAL INTEREST HEREIN, EXCEPT IN ACCORDANCE WITH THE SECURITIES ACT AND ANY APPLICABLE SECURITIES LAWS OF ANY STATE OF THE UNITED STATES AND ONLY (A) TO SABRE FINANCING HOLDINGS LLC, SABRE FINANCIAL BORROWER, LLC OR ANY WHOLLY-OWNED SUBSIDIARY THEREOF, (B) PURSUANT TO A REGISTRATION STATEMENT WHICH HAS BECOME EFFECTIVE UNDER THE SECURITIES ACT, (C) IN THE UNITED STATES, SO LONG AS THE NEW NOTES REMAIN ELIGIBLE FOR RESALE PURSUANT TO RULE 144A, TO A PERSON WHO IT REASONABLY BELIEVES IS A QUALIFIED INSTITUTIONAL BUYER ACQUIRING FOR ITS OWN ACCOUNT OR FOR THE ACCOUNT OF ONE OR MORE OTHER QUALIFIED INSTITUTIONAL BUYERS IN A TRANSACTION MEETING THE REQUIREMENTS OF RULE 144A AND TO WHOM NOTICE IS GIVEN THAT SUCH RESALE, PLEDGE OR TRANSFER IS BEING MADE IN RELIANCE ON RULE 144A, (D) OUTSIDE THE UNITED STATES IN AN OFFSHORE TRANSACTION IN COMPLIANCE WITH RULE 904 OF REGULATION S UNDER THE SECURITIES ACT, OR (E) PURSUANT TO AN EXEMPTION FROM REGISTRATION PROVIDED BY RULE 144 UNDER THE SECURITIES ACT (IF AVAILABLE) OR ANY OTHER AVAILABLE EXEMPTION FROM THE REGISTRATION REQUIREMENTS OF THE SECURITIES ACT. PRIOR TO THE REGISTRATION OF ANY TRANSFER IN ACCORDANCE WITH (2)(E)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No.: U86042 AB1 </w:t>
      </w:r>
    </w:p>
    <w:p>
      <w:pPr>
        <w:pStyle w:val="TextBody"/>
        <w:bidi w:val="0"/>
        <w:spacing w:before="240" w:after="0"/>
        <w:jc w:val="right"/>
        <w:rPr>
          <w:rFonts w:ascii="Times New Roman" w:hAnsi="Times New Roman"/>
          <w:sz w:val="20"/>
        </w:rPr>
      </w:pPr>
      <w:r>
        <w:rPr>
          <w:rFonts w:ascii="Times New Roman" w:hAnsi="Times New Roman"/>
          <w:sz w:val="20"/>
        </w:rPr>
        <w:t xml:space="preserve">ISIN No: USU86042AB17 </w:t>
      </w:r>
    </w:p>
    <w:p>
      <w:pPr>
        <w:pStyle w:val="TextBody"/>
        <w:bidi w:val="0"/>
        <w:spacing w:before="240" w:after="0"/>
        <w:jc w:val="center"/>
        <w:rPr>
          <w:rFonts w:ascii="Times New Roman" w:hAnsi="Times New Roman"/>
          <w:sz w:val="20"/>
        </w:rPr>
      </w:pPr>
      <w:r>
        <w:rPr>
          <w:rFonts w:ascii="Times New Roman" w:hAnsi="Times New Roman"/>
          <w:sz w:val="20"/>
        </w:rPr>
        <w:t xml:space="preserve">9.875% SENIOR SECURED NOTES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6"/>
        <w:gridCol w:w="123"/>
        <w:gridCol w:w="4846"/>
      </w:tblGrid>
      <w:tr>
        <w:trPr/>
        <w:tc>
          <w:tcPr>
            <w:tcW w:w="523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6" w:type="dxa"/>
            <w:tcBorders/>
          </w:tcPr>
          <w:p>
            <w:pPr>
              <w:pStyle w:val="TableContents"/>
              <w:bidi w:val="0"/>
              <w:spacing w:before="0" w:after="283"/>
              <w:jc w:val="left"/>
              <w:rPr/>
            </w:pPr>
            <w:r>
              <w:rPr/>
              <w:t>No. S-</w:t>
            </w:r>
            <w:r>
              <w:rPr>
                <w:u w:val="single"/>
              </w:rPr>
              <w:t>   </w:t>
            </w:r>
          </w:p>
        </w:tc>
        <w:tc>
          <w:tcPr>
            <w:tcW w:w="123"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 xml:space="preserve">$ </w:t>
            </w:r>
            <w:r>
              <w:rPr>
                <w:u w:val="single"/>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SABRE FINANCIAL BORROWER, LLC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sum of </w:t>
      </w:r>
      <w:r>
        <w:rPr>
          <w:rFonts w:ascii="Times New Roman" w:hAnsi="Times New Roman"/>
          <w:sz w:val="20"/>
          <w:u w:val="single"/>
        </w:rPr>
        <w:t>                       </w:t>
      </w:r>
      <w:r>
        <w:rPr>
          <w:rFonts w:ascii="Times New Roman" w:hAnsi="Times New Roman"/>
          <w:sz w:val="20"/>
        </w:rPr>
        <w:t xml:space="preserve">[(as may be increased or decreased on the attached Schedule of Exchanges of Interest in the Regulation S Temporary Global Note) ]on October 15, 2032.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April 15 and October 15. </w:t>
      </w:r>
    </w:p>
    <w:p>
      <w:pPr>
        <w:pStyle w:val="TextBody"/>
        <w:bidi w:val="0"/>
        <w:spacing w:before="240" w:after="0"/>
        <w:jc w:val="left"/>
        <w:rPr>
          <w:rFonts w:ascii="Times New Roman" w:hAnsi="Times New Roman"/>
          <w:sz w:val="20"/>
        </w:rPr>
      </w:pPr>
      <w:r>
        <w:rPr>
          <w:rFonts w:ascii="Times New Roman" w:hAnsi="Times New Roman"/>
          <w:sz w:val="20"/>
        </w:rPr>
        <w:t xml:space="preserve">Record Dates: April 1 and October 1.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br w:type="page"/>
      </w:r>
    </w:p>
    <w:p>
      <w:pPr>
        <w:pStyle w:val="HorizontalLine"/>
        <w:pBdr>
          <w:bottom w:val="double" w:sz="6" w:space="0" w:color="808080"/>
        </w:pBdr>
        <w:bidi w:val="0"/>
        <w:jc w:val="left"/>
        <w:rPr/>
      </w:pPr>
      <w:r>
        <w:rPr/>
      </w:r>
    </w:p>
    <w:tbl>
      <w:tblPr>
        <w:tblW w:w="4460" w:type="dxa"/>
        <w:jc w:val="right"/>
        <w:tblInd w:w="0" w:type="dxa"/>
        <w:tblLayout w:type="fixed"/>
        <w:tblCellMar>
          <w:top w:w="0" w:type="dxa"/>
          <w:left w:w="0" w:type="dxa"/>
          <w:bottom w:w="0" w:type="dxa"/>
          <w:right w:w="0" w:type="dxa"/>
        </w:tblCellMar>
      </w:tblPr>
      <w:tblGrid>
        <w:gridCol w:w="3200"/>
        <w:gridCol w:w="629"/>
        <w:gridCol w:w="631"/>
      </w:tblGrid>
      <w:tr>
        <w:trPr/>
        <w:tc>
          <w:tcPr>
            <w:tcW w:w="3200"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vAlign w:val="bottom"/>
          </w:tcPr>
          <w:p>
            <w:pPr>
              <w:pStyle w:val="TableContents"/>
              <w:bidi w:val="0"/>
              <w:spacing w:before="0" w:after="283"/>
              <w:jc w:val="left"/>
              <w:rPr>
                <w:b/>
              </w:rPr>
            </w:pPr>
            <w:r>
              <w:rPr>
                <w:b/>
              </w:rPr>
              <w:t>SABRE FINANCIAL BORROWER, LLC</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1260"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tcPr>
          <w:p>
            <w:pPr>
              <w:pStyle w:val="TableContents"/>
              <w:bidi w:val="0"/>
              <w:spacing w:before="0" w:after="283"/>
              <w:jc w:val="left"/>
              <w:rPr/>
            </w:pPr>
            <w:r>
              <w:rPr/>
              <w:t>By:</w:t>
            </w:r>
          </w:p>
        </w:tc>
        <w:tc>
          <w:tcPr>
            <w:tcW w:w="629" w:type="dxa"/>
            <w:tcBorders>
              <w:bottom w:val="single" w:sz="2" w:space="0" w:color="000000"/>
            </w:tcBorders>
            <w:tcMar>
              <w:bottom w:w="28" w:type="dxa"/>
            </w:tcMar>
            <w:vAlign w:val="bottom"/>
          </w:tcPr>
          <w:p>
            <w:pPr>
              <w:pStyle w:val="TableContents"/>
              <w:bidi w:val="0"/>
              <w:spacing w:before="0" w:after="283"/>
              <w:jc w:val="left"/>
              <w:rPr/>
            </w:pPr>
            <w:r>
              <w:rPr/>
              <w:t> </w:t>
            </w:r>
          </w:p>
        </w:tc>
        <w:tc>
          <w:tcPr>
            <w:tcW w:w="631" w:type="dxa"/>
            <w:tcBorders>
              <w:bottom w:val="single" w:sz="2" w:space="0" w:color="000000"/>
            </w:tcBorders>
            <w:tcMar>
              <w:bottom w:w="28" w:type="dxa"/>
            </w:tcMar>
          </w:tcPr>
          <w:p>
            <w:pPr>
              <w:pStyle w:val="TableContents"/>
              <w:bidi w:val="0"/>
              <w:spacing w:before="0" w:after="283"/>
              <w:jc w:val="left"/>
              <w:rPr/>
            </w:pPr>
            <w:r>
              <w:rPr/>
              <w:t> </w:t>
            </w:r>
          </w:p>
        </w:tc>
      </w:tr>
      <w:tr>
        <w:trPr/>
        <w:tc>
          <w:tcPr>
            <w:tcW w:w="4460" w:type="dxa"/>
            <w:gridSpan w:val="3"/>
            <w:tcBorders/>
          </w:tcPr>
          <w:p>
            <w:pPr>
              <w:pStyle w:val="TableContents"/>
              <w:bidi w:val="0"/>
              <w:spacing w:before="0" w:after="283"/>
              <w:jc w:val="left"/>
              <w:rPr/>
            </w:pPr>
            <w:r>
              <w:rPr/>
              <w:t>Name:</w:t>
            </w:r>
          </w:p>
        </w:tc>
      </w:tr>
      <w:tr>
        <w:trPr/>
        <w:tc>
          <w:tcPr>
            <w:tcW w:w="4460"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[Signature Page to Global Note S-</w:t>
      </w:r>
      <w:r>
        <w:rPr>
          <w:rFonts w:ascii="Times New Roman" w:hAnsi="Times New Roman"/>
          <w:sz w:val="20"/>
          <w:u w:val="single"/>
        </w:rPr>
        <w:t>   </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2386"/>
        <w:gridCol w:w="466"/>
        <w:gridCol w:w="1230"/>
      </w:tblGrid>
      <w:tr>
        <w:trPr/>
        <w:tc>
          <w:tcPr>
            <w:tcW w:w="2386"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This is one of the Notes referred to</w:t>
            </w:r>
          </w:p>
        </w:tc>
      </w:tr>
      <w:tr>
        <w:trPr/>
        <w:tc>
          <w:tcPr>
            <w:tcW w:w="4082" w:type="dxa"/>
            <w:gridSpan w:val="3"/>
            <w:tcBorders/>
          </w:tcPr>
          <w:p>
            <w:pPr>
              <w:pStyle w:val="TableContents"/>
              <w:bidi w:val="0"/>
              <w:spacing w:before="0" w:after="283"/>
              <w:jc w:val="left"/>
              <w:rPr/>
            </w:pPr>
            <w:r>
              <w:rPr/>
              <w:t>in the within-mentioned Indenture: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WILMINGTON TRUST, NATIONAL ASSOCIATION</w:t>
            </w:r>
            <w:r>
              <w:rPr/>
              <w:t>, as Trustee</w:t>
            </w:r>
          </w:p>
        </w:tc>
      </w:tr>
      <w:tr>
        <w:trPr>
          <w:trHeight w:val="240" w:hRule="atLeast"/>
        </w:trPr>
        <w:tc>
          <w:tcPr>
            <w:tcW w:w="2386" w:type="dxa"/>
            <w:tcBorders/>
            <w:vAlign w:val="center"/>
          </w:tcPr>
          <w:p>
            <w:pPr>
              <w:pStyle w:val="TableContents"/>
              <w:bidi w:val="0"/>
              <w:spacing w:before="0" w:after="283"/>
              <w:jc w:val="left"/>
              <w:rPr>
                <w:sz w:val="4"/>
                <w:szCs w:val="4"/>
              </w:rPr>
            </w:pPr>
            <w:r>
              <w:rPr>
                <w:sz w:val="4"/>
                <w:szCs w:val="4"/>
              </w:rPr>
            </w:r>
          </w:p>
        </w:tc>
        <w:tc>
          <w:tcPr>
            <w:tcW w:w="1696" w:type="dxa"/>
            <w:gridSpan w:val="2"/>
            <w:tcBorders/>
            <w:vAlign w:val="center"/>
          </w:tcPr>
          <w:p>
            <w:pPr>
              <w:pStyle w:val="TableContents"/>
              <w:bidi w:val="0"/>
              <w:spacing w:before="0" w:after="283"/>
              <w:jc w:val="left"/>
              <w:rPr>
                <w:sz w:val="4"/>
                <w:szCs w:val="4"/>
              </w:rPr>
            </w:pPr>
            <w:r>
              <w:rPr>
                <w:sz w:val="4"/>
                <w:szCs w:val="4"/>
              </w:rPr>
            </w:r>
          </w:p>
        </w:tc>
      </w:tr>
      <w:tr>
        <w:trPr/>
        <w:tc>
          <w:tcPr>
            <w:tcW w:w="2386" w:type="dxa"/>
            <w:tcBorders/>
          </w:tcPr>
          <w:p>
            <w:pPr>
              <w:pStyle w:val="TableContents"/>
              <w:bidi w:val="0"/>
              <w:spacing w:before="0" w:after="283"/>
              <w:jc w:val="left"/>
              <w:rPr/>
            </w:pPr>
            <w:r>
              <w:rPr/>
              <w:t>By:</w:t>
            </w:r>
          </w:p>
        </w:tc>
        <w:tc>
          <w:tcPr>
            <w:tcW w:w="466"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[Signature Page to Global Note S-</w:t>
      </w:r>
      <w:r>
        <w:rPr>
          <w:rFonts w:ascii="Times New Roman" w:hAnsi="Times New Roman"/>
          <w:sz w:val="20"/>
          <w:u w:val="single"/>
        </w:rPr>
        <w:t>   </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Regulation S Temporary Global Note] </w:t>
      </w:r>
    </w:p>
    <w:p>
      <w:pPr>
        <w:pStyle w:val="TextBody"/>
        <w:bidi w:val="0"/>
        <w:spacing w:before="240" w:after="0"/>
        <w:jc w:val="center"/>
        <w:rPr>
          <w:rFonts w:ascii="Times New Roman" w:hAnsi="Times New Roman"/>
          <w:sz w:val="20"/>
        </w:rPr>
      </w:pPr>
      <w:r>
        <w:rPr>
          <w:rFonts w:ascii="Times New Roman" w:hAnsi="Times New Roman"/>
          <w:sz w:val="20"/>
        </w:rPr>
        <w:t xml:space="preserve">9.875% Senior Secured Notes due 2032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xml:space="preserve">. Sabre Financial Borrower, LLC, a Delaware limited liability company (the “Company”), promises to pay or cause to be paid interest on the principal amount of this Note at 9.875% per annum from September 28, 2026 until maturity. The Company will pay interest, if any, semi annually in arrears on April 15 and October 15 of each year, or if any such day is not a Business Day, on the next succeeding Business Day (each, an “Interest Payment Date”). Interest on the Notes will accrue from the most recent date to which interest has been paid or, if no interest has been paid, from the date of issuance; </w:t>
      </w:r>
      <w:r>
        <w:rPr>
          <w:rFonts w:ascii="Times New Roman" w:hAnsi="Times New Roman"/>
          <w:i/>
          <w:sz w:val="20"/>
        </w:rPr>
        <w:t>provided</w:t>
      </w:r>
      <w:r>
        <w:rPr>
          <w:rFonts w:ascii="Times New Roman" w:hAnsi="Times New Roman"/>
          <w:sz w:val="20"/>
        </w:rPr>
        <w:t xml:space="preserve"> that, if this Note is authenticated between a record date referred to on the face hereof and the next succeeding Interest Payment Date, interest shall accrue from such next succeeding Interest Payment Date; </w:t>
      </w:r>
      <w:r>
        <w:rPr>
          <w:rFonts w:ascii="Times New Roman" w:hAnsi="Times New Roman"/>
          <w:i/>
          <w:sz w:val="20"/>
        </w:rPr>
        <w:t>provided</w:t>
      </w:r>
      <w:r>
        <w:rPr>
          <w:rFonts w:ascii="Times New Roman" w:hAnsi="Times New Roman"/>
          <w:sz w:val="20"/>
        </w:rPr>
        <w:t xml:space="preserve"> further that the first Interest Payment Date shall be April 15, 2027. If any interest payment date falls on a day that is not a Business Day, the required payment will be made on the succeeding Business Day and no interest on such payment will accrue in respect of the delay. The Company will pay interest (including post petition interest in any proceeding under any Bankruptcy Law) on overdue principal at the then applicable interest rate on the Notes to the extent lawful; it will pay interest (including post petition interest in any proceeding under any Bankruptcy Law) on overdue installments of interest, if any (without regard to any applicable grace period), at the same rate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Interest will be computed on the basis of a 360-day year comprised of twelve 30-day months.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The Company will pay interest on the Notes (except defaulted interest), if any, to the Persons who are registered Holders of Notes at the close of business on April 1 and October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if any, at the office or agency of the Paying Agent and Registrar within the contiguous United States, or, at the option of the Company, payment of interest, if any, may be made by check mailed to the Holders at their addresses set forth in the register of Holders; </w:t>
      </w:r>
      <w:r>
        <w:rPr>
          <w:rFonts w:ascii="Times New Roman" w:hAnsi="Times New Roman"/>
          <w:i/>
          <w:sz w:val="20"/>
        </w:rPr>
        <w:t>provided</w:t>
      </w:r>
      <w:r>
        <w:rPr>
          <w:rFonts w:ascii="Times New Roman" w:hAnsi="Times New Roman"/>
          <w:sz w:val="20"/>
        </w:rPr>
        <w:t xml:space="preserve"> that payment by wire transfer of immediately available funds will be required with respect to principal of, premium on, if any, and interest,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AND REGISTRAR</w:t>
      </w:r>
      <w:r>
        <w:rPr>
          <w:rFonts w:ascii="Times New Roman" w:hAnsi="Times New Roman"/>
          <w:sz w:val="20"/>
        </w:rPr>
        <w:t xml:space="preserve">. Initially, Wilmington Trust, National Association, the Trustee under the Indenture, will act as Paying Agent and Registrar. The Company may change the Paying Agent or Registrar without prior notice to the Holders of the Notes. The Company or any of its Subsidiaries may act as Paying Agent or Registrar.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 AND SECURITY DOCUMENTS</w:t>
      </w:r>
      <w:r>
        <w:rPr>
          <w:rFonts w:ascii="Times New Roman" w:hAnsi="Times New Roman"/>
          <w:sz w:val="20"/>
        </w:rPr>
        <w:t xml:space="preserve">. The Company issued the Notes under an Indenture dated as of September 28, 2026 (the “Indenture”) among the Company, the Guarantors, the Trustee and Wilmington Trust, National Association, as Collateral Agent.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Indenture does not limit the aggregate principal amount of Notes that may be issued thereunder.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October 15, 2029, the Company may redeem all or a part of the Notes, at a redemption price equal to 100% of the principal amount of the Notes redeemed plus the Applicable Premium as of, plus accrued and unpaid interest, if any, on the Notes redeemed, to, but excluding, the Redemption Date, subject to the right of Holders of record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in connection with any tender offer or other offer to purchase any series of Notes (including pursuant to a Change of Control Offer or Asset Sale Offer), if not less than 90% in aggregate principal amount of the outstanding Notes of such series validly tender and do not withdraw such Notes in such offer, all of the holders of such series of Notes will be deemed to have consented to such tender or other offer and accordingly, the Company or any third party purchasing or acquiring the Notes in lieu of the Company will have the right, upon not less than 10 nor more than 60 days’ prior notice, given not more than 60 days following such purchase, to redeem all Notes of such series that remain outstanding following such purchase at a price equal to the price paid to holders in such purchase, plus accrued and unpaid interest, if any, on such Notes to (but not including) the Redemption Date (subject to the right of holders of record on the relevant record date to receive interest due on the relevant interest payment date falling prior to or on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on or prior to October 15, 2029, the Company may redeem in the aggregate up to 40% of the original aggregate principal amount of the Notes with the net cash proceeds of one or more Subsequent Equity Offerings (1) by Sabre GLBL or (2) by any direct or indirect parent of Sabre GLBL to the extent the net cash proceeds thereof are contributed to the common equity capital of Sabre GLBL or used to purchase Capital Stock (other than Disqualified Stock) (in each case, as defined in the New Intercompany Loan) of Sabre GLBL from it, at a redemption price (expressed as a percentage of principal amount thereof) of 109.875%, plus accrued and unpaid interest to, but excluding, the Redemption Date (subject to the right of holders of record on the relevant record date to receive interest due on the relevant interest payment date); </w:t>
      </w:r>
      <w:r>
        <w:rPr>
          <w:rFonts w:ascii="Times New Roman" w:hAnsi="Times New Roman"/>
          <w:i/>
          <w:sz w:val="20"/>
        </w:rPr>
        <w:t>provided</w:t>
      </w:r>
      <w:r>
        <w:rPr>
          <w:rFonts w:ascii="Times New Roman" w:hAnsi="Times New Roman"/>
          <w:sz w:val="20"/>
        </w:rPr>
        <w:t xml:space="preserve">, however, that (1) at least 50% of the original aggregate principal amount of the Notes must remain outstanding after each such redemption; and (2) that such redemption shall occur within 180 days after the date on which any such Subsequent Equity Offering is consummated upon not less than ten nor more than 60 days’ notice mailed by first-class mail to each holder of Notes being redeemed and otherwise in accordance with the procedures set forth in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pursuant to the three precedent paragraphs, the Notes will not be redeemable at the Company’s option prior to October 15, 2029. </w:t>
      </w:r>
    </w:p>
    <w:p>
      <w:pPr>
        <w:pStyle w:val="TextBody"/>
        <w:bidi w:val="0"/>
        <w:spacing w:before="240" w:after="0"/>
        <w:jc w:val="left"/>
        <w:rPr>
          <w:rFonts w:ascii="Times New Roman" w:hAnsi="Times New Roman"/>
          <w:sz w:val="20"/>
        </w:rPr>
      </w:pPr>
      <w:r>
        <w:rPr>
          <w:rFonts w:ascii="Times New Roman" w:hAnsi="Times New Roman"/>
          <w:sz w:val="20"/>
        </w:rPr>
        <w:t xml:space="preserve">On and after October 15, 2029, the Company may, at its option, on one or more occasions, redeem all or a portion of the Notes at redemption prices (expressed as percentages of the aggregate principal amount thereof) set forth below, plus accrued and unpaid interest, if any, on the Notes redeemed, to, but excluding, the Redemption Date, if redeemed during the 12-month period beginning on October 15 of the years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5"/>
        <w:gridCol w:w="355"/>
        <w:gridCol w:w="73"/>
        <w:gridCol w:w="1058"/>
        <w:gridCol w:w="278"/>
      </w:tblGrid>
      <w:tr>
        <w:trPr/>
        <w:tc>
          <w:tcPr>
            <w:tcW w:w="517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7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Year</w:t>
            </w:r>
          </w:p>
        </w:tc>
        <w:tc>
          <w:tcPr>
            <w:tcW w:w="35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t>Percentage</w:t>
            </w:r>
          </w:p>
        </w:tc>
        <w:tc>
          <w:tcPr>
            <w:tcW w:w="278"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104.938</w:t>
            </w:r>
          </w:p>
        </w:tc>
        <w:tc>
          <w:tcPr>
            <w:tcW w:w="278" w:type="dxa"/>
            <w:tcBorders/>
            <w:shd w:fill="CCEEFF" w:val="clear"/>
            <w:vAlign w:val="bottom"/>
          </w:tcPr>
          <w:p>
            <w:pPr>
              <w:pStyle w:val="TableContents"/>
              <w:bidi w:val="0"/>
              <w:spacing w:before="0" w:after="283"/>
              <w:jc w:val="left"/>
              <w:rPr/>
            </w:pPr>
            <w:r>
              <w:rPr/>
              <w:t>% </w:t>
            </w:r>
          </w:p>
        </w:tc>
      </w:tr>
      <w:tr>
        <w:trPr/>
        <w:tc>
          <w:tcPr>
            <w:tcW w:w="517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102.469</w:t>
            </w:r>
          </w:p>
        </w:tc>
        <w:tc>
          <w:tcPr>
            <w:tcW w:w="278"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100.000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redemptions pursuant to this paragraph (5) shall be made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receives any voluntary or mandatory prepayment of principal under the New Intercompany Loan, the Company shall retain such amount and promptly use such amount to redeem the maximum principal amount of Notes that can be redeemed with such amount (after taking into account accrued and unpaid interest and any applicable redemption premium required to be paid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(including with net cash proceeds of a Subsequent Equity Offering) may, at the Company’s discretion, be subject to one or more conditions precedent, including, without limitation, the consummation of an incurrence or issuance of debt or equity or a Change of Control. If any Notes are listed on an exchange, and the rules of such exchange so require, the Company will notify the exchange of any such notice of redemption. In addition, the Company will notify the exchange of the principal amount of any Notes outstanding following any partial redemption of Notes. If any condition precedent has not been satisfied, the Company shall provide written notice to the Trustee and Holders by 10 A.M., New York City time, on the Redemption Date, stating that such condition has not been satisfied, the notice of redemption is rescinded or delayed and the redemption shall not occur or shall be delayed.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 xml:space="preserve">MANDATORY REDEMPTION. </w:t>
      </w:r>
      <w:r>
        <w:rPr>
          <w:rFonts w:ascii="Times New Roman" w:hAnsi="Times New Roman"/>
          <w:sz w:val="20"/>
        </w:rPr>
        <w:t xml:space="preserve">The Company is not required to make mandatory redemption or sinking fund payments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REPURCHASE AT THE OPTION OF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the occurrence of a Change of Control, the Company will be required to make an offer (a “</w:t>
      </w:r>
      <w:r>
        <w:rPr>
          <w:rFonts w:ascii="Times New Roman" w:hAnsi="Times New Roman"/>
          <w:i/>
          <w:sz w:val="20"/>
        </w:rPr>
        <w:t>Change of Control Offer</w:t>
      </w:r>
      <w:r>
        <w:rPr>
          <w:rFonts w:ascii="Times New Roman" w:hAnsi="Times New Roman"/>
          <w:sz w:val="20"/>
        </w:rPr>
        <w:t>”) to each Holder to repurchase all or any part (equal to $2,000 or an integral multiple of $1,000 in excess thereof) of that Holder’s Notes at a purchase price in cash equal to 101% of the aggregate principal amount of Notes repurchased, plus accrued and unpaid interest, if any, on the Notes repurchased to, but excluding, the date of purchase, subject to the rights of Holders of Notes on the relevant record date to receive interest due on the relevant interest payment date (the “</w:t>
      </w:r>
      <w:r>
        <w:rPr>
          <w:rFonts w:ascii="Times New Roman" w:hAnsi="Times New Roman"/>
          <w:i/>
          <w:sz w:val="20"/>
        </w:rPr>
        <w:t>Change of Control Payment</w:t>
      </w:r>
      <w:r>
        <w:rPr>
          <w:rFonts w:ascii="Times New Roman" w:hAnsi="Times New Roman"/>
          <w:sz w:val="20"/>
        </w:rPr>
        <w:t xml:space="preserve">”). Within 30 days following any Change of Control, the Company will mail a notice to each Holder setting forth the procedures governing the Change of Control Offer as required by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(b)(i) The Restricted Parties may not consummate any Asset Sale that would result in the sale of assets (in the aggregate since the Issue Date) contributing in excess of 17.5% of EBITDA of the Restricted Group (measured at the time of the consummation of any Asset Sale) to Persons that are not Affiliates of Sabre (the “</w:t>
      </w:r>
      <w:r>
        <w:rPr>
          <w:rFonts w:ascii="Times New Roman" w:hAnsi="Times New Roman"/>
          <w:i/>
          <w:sz w:val="20"/>
        </w:rPr>
        <w:t>Specified Asset Sale Limitation</w:t>
      </w:r>
      <w:r>
        <w:rPr>
          <w:rFonts w:ascii="Times New Roman" w:hAnsi="Times New Roman"/>
          <w:sz w:val="20"/>
        </w:rPr>
        <w:t xml:space="preserve">”). The Specified Asset Sale Limitation shall not apply to any Permitted Asset Swap or any Asset Sale the proceeds of which are initially reinvested in the Restricted Group; and (ii) to the extent that the terms of any Indebtedness of Sabre GLBL requires that such Indebtedness be prepaid with the Net Proceeds of Asset Sales, the Restricted Parties shall be entitled to distribute the Net Proceeds of any Asset Sale so required to prepay such Indebtedness to Sabre GLBL, which Net Proceeds shall promptly be used to repay such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the New Intercompany Loan requires Sabre GLBL to offer to prepay any loans thereunder, the Company will make an Asset Sale Offer to all Holders of Notes to purchase the maximum principal amount of Notes and such Pari Passu Indebtedness that is in an amount equal to at least $2,000 that may be purchased with such Excess Proceeds (as defined in the New Intercompany Loan) at an offer price in cash in an amount equal to 100% of the principal amount thereof (or accreted value thereof, if less), </w:t>
      </w:r>
      <w:r>
        <w:rPr>
          <w:rFonts w:ascii="Times New Roman" w:hAnsi="Times New Roman"/>
          <w:i/>
          <w:sz w:val="20"/>
        </w:rPr>
        <w:t xml:space="preserve">plus </w:t>
      </w:r>
      <w:r>
        <w:rPr>
          <w:rFonts w:ascii="Times New Roman" w:hAnsi="Times New Roman"/>
          <w:sz w:val="20"/>
        </w:rPr>
        <w:t xml:space="preserve">accrued and unpaid interest, if any, to, but excluding, the date fixed for the closing of such offer, in accordance with the procedures set forth in the Indenture and the New Intercompany Loan. </w:t>
      </w:r>
    </w:p>
    <w:p>
      <w:pPr>
        <w:pStyle w:val="TextBody"/>
        <w:bidi w:val="0"/>
        <w:spacing w:before="120" w:after="0"/>
        <w:jc w:val="left"/>
        <w:rPr>
          <w:rFonts w:ascii="Times New Roman" w:hAnsi="Times New Roman"/>
          <w:sz w:val="20"/>
        </w:rPr>
      </w:pPr>
      <w:r>
        <w:rPr>
          <w:rFonts w:ascii="Times New Roman" w:hAnsi="Times New Roman"/>
          <w:sz w:val="20"/>
        </w:rPr>
        <w:t>If any Excess Proceeds remain after consummation of an Asset Sale Offer, the Company may use those Excess Proceeds for general corporate purposes, subject to the other covenants contained in the Indenture. Upon completion of each Asset Sale Offer, the amount of Excess Proceeds will be reset at zero. Holders of Notes that are the subject of an offer to purchase will receive an Asset Sale Offer from the Company prior to any related purchase date and may elect to have such Notes purchased by completing the form entitled “</w:t>
      </w:r>
      <w:r>
        <w:rPr>
          <w:rFonts w:ascii="Times New Roman" w:hAnsi="Times New Roman"/>
          <w:i/>
          <w:sz w:val="20"/>
        </w:rPr>
        <w:t>Option of Holder to Elect Purchase</w:t>
      </w:r>
      <w:r>
        <w:rPr>
          <w:rFonts w:ascii="Times New Roman" w:hAnsi="Times New Roman"/>
          <w:sz w:val="20"/>
        </w:rPr>
        <w:t xml:space="preserve">” attached to the Notes.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NOTICE OF REDEMPTION.</w:t>
      </w:r>
      <w:r>
        <w:rPr>
          <w:rFonts w:ascii="Times New Roman" w:hAnsi="Times New Roman"/>
          <w:sz w:val="20"/>
        </w:rPr>
        <w:t xml:space="preserve"> At least 10 days but not more than 60 days before a Redemption Date, the Company will mail or cause to be mailed, by first class mail, a notice of redemption to each Holder whose Notes are to be redeemed at its registered address or otherwise sent in accordance with the procedures of the Depositary, except that redemption notices may be mailed more than 60 days prior to a Redemption Date if the notice is issued in connection with a defeasance of the Notes or a satisfaction and discharge of the Indenture pursuant to Articles 8 or 12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DENOMINATIONS, TRANSFER, EXCHANGE</w:t>
      </w:r>
      <w:r>
        <w:rPr>
          <w:rFonts w:ascii="Times New Roman" w:hAnsi="Times New Roman"/>
          <w:sz w:val="20"/>
        </w:rPr>
        <w:t xml:space="preserve">. The Notes are in registered form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mailing of a notice of redemption of Notes to be redeemed or during the period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PERSONS DEEMED OWNERS</w:t>
      </w:r>
      <w:r>
        <w:rPr>
          <w:rFonts w:ascii="Times New Roman" w:hAnsi="Times New Roman"/>
          <w:sz w:val="20"/>
        </w:rPr>
        <w:t xml:space="preserve">. The registered Holder of a Note may be treated as the owner of it for all purposes. Only registered Holders have rights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AMENDMENT, SUPPLEMENT AND WAIVER</w:t>
      </w:r>
      <w:r>
        <w:rPr>
          <w:rFonts w:ascii="Times New Roman" w:hAnsi="Times New Roman"/>
          <w:sz w:val="20"/>
        </w:rPr>
        <w:t xml:space="preserve">. Subject to certain exceptions, the Indenture, the Notes, the Guarantees or the Security Documents may be amended or supplemented with the consent of the Holders of at least a majority in aggregate principal amount of the then outstanding Notes, and any existing Default or Event of Default or compliance with any provision of the Indenture or the Notes or the Guarantees or the Security Documents may be waived with the consent of the Holders of a majority in aggregate principal amount of the then outstanding Notes. Without the consent of any Holder of Notes, the Indenture, the Notes, the Guarantees or the Security Documents may be amended or supplemented to cure any ambiguity, omission, mistake, defect or inconsistency, to provide for uncertificated Notes in addition to or in place of certificated Notes, to provide for the assumption of the Company’s or a Guarantor’s obligations to Holders of the Notes and Guarantees by a successor to the Company or such Guarantor pursuant to the Indenture, to make any change that would provide any additional rights or benefits to the Holders of the Notes or that does not materially and adversely affect the legal rights under the Indenture of any Holder, to conform the text of the Indenture, the Notes, or the Guarantees or the Security Documents to any provision of the “Description of Notes” section of the Company’s Offering Memorandum dated September 15, 2026, relating to the offering of the Notes, to the extent that such provision in that “Description of Notes” was intended to be a verbatim recitation of a provision of the Indenture, the Notes, or the Guarantees or the Security Documents, which intent may be evidenced by an Officer’s Certificate to that effect, to enter into additional or supplemental Security Documents, to release Collateral in accordance with the terms of this Indenture and the Security Documents, or to allow any Guarantor to execute a supplemental indenture to the Indenture and/or a Guarantee with respect to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DEFAULTS AND REMEDIES</w:t>
      </w:r>
      <w:r>
        <w:rPr>
          <w:rFonts w:ascii="Times New Roman" w:hAnsi="Times New Roman"/>
          <w:sz w:val="20"/>
        </w:rPr>
        <w:t xml:space="preserve">. The Indenture contains provisions for certain Events of Default with respect to this Note, in each case upon compliance with certain conditions set forth in the Indenture. In the case of an Event of Default arising from certain events of bankruptcy or insolvency with respect to Sabre Holdings,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Trustee may withhold from Holders of the Notes notice of any continuing Default or Event of Default (except a Default or Event of Default relating to the payment of principal, premium, if any, or interest, if any) if it determines that withholding notice is in their interest. The Holders of a majority in aggregate principal amount of the then outstanding Notes by notice to the Trustee may, on behalf of all the Holders of Notes, rescind an acceleration or waive an existing Default or Event of Default and its respective consequences under the Indenture except a continuing Default or Event of Default in the payment of principal of, premium on, if any, or interest, if any, on, the Notes (including in connection with an offer to purchase). The Company is required to deliver to the Trustee annually a statement regarding compliance with the Indenture, and the Company is required, within five Business Days of becoming aware of any Default or Event of Default, to deliver to the Trustee a statement specifying such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TRUSTEE AND COLLATERAL AGENT DEALINGS WITH COMPANY</w:t>
      </w:r>
      <w:r>
        <w:rPr>
          <w:rFonts w:ascii="Times New Roman" w:hAnsi="Times New Roman"/>
          <w:sz w:val="20"/>
        </w:rPr>
        <w:t xml:space="preserve">. The Trustee and Collateral Agent, in its individual or any other capacity, may make loans to, accept deposits from, and perform services for the Company or its Affiliates, and may otherwise deal with the Company or its Affiliates, as if it were not the Trustee or the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NO RECOURSE AGAINST OTHERS</w:t>
      </w:r>
      <w:r>
        <w:rPr>
          <w:rFonts w:ascii="Times New Roman" w:hAnsi="Times New Roman"/>
          <w:sz w:val="20"/>
        </w:rPr>
        <w:t xml:space="preserve">. No past, present or future director, officer, employee, incorporator, member, partner or stockholder of the Restricted Parties or any of their direct or indirect parent companies (other than the Restricted Parties), as such, will have any liability for any obligations of the Restricted Parties under the Notes, the Indenture, the Guarantees or the Security Documents or for any claim based on, in respect of, or by reason of, such obligations or their creation. Each Holder of Notes by accepting a Note waives and releases all such liability. The waiver and release are part of the consideration for issuance of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AUTHENTICATION</w:t>
      </w:r>
      <w:r>
        <w:rPr>
          <w:rFonts w:ascii="Times New Roman" w:hAnsi="Times New Roman"/>
          <w:sz w:val="20"/>
        </w:rPr>
        <w:t xml:space="preserve">. This Note will not be valid until authenticated by the manual signature of the Trustee or an authenticating agent.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CUSIP NUMBERS AND ISINS</w:t>
      </w:r>
      <w:r>
        <w:rPr>
          <w:rFonts w:ascii="Times New Roman" w:hAnsi="Times New Roman"/>
          <w:sz w:val="20"/>
        </w:rPr>
        <w:t xml:space="preserve">. Pursuant to a recommendation promulgated by the Committee on Uniform Security Identification Procedures, the Company has caused CUSIP numbers and ISINs to be printed on the Notes, and the Trustee may use CUSIP numbers and ISINs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GOVERNING LAW</w:t>
      </w:r>
      <w:r>
        <w:rPr>
          <w:rFonts w:ascii="Times New Roman" w:hAnsi="Times New Roman"/>
          <w:sz w:val="20"/>
        </w:rPr>
        <w:t xml:space="preserve">. THE INDENTURE, THIS NOTE AND THE GUARANTEES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Sabre Financial Borrower, LLC </w:t>
      </w:r>
    </w:p>
    <w:p>
      <w:pPr>
        <w:pStyle w:val="TextBody"/>
        <w:bidi w:val="0"/>
        <w:spacing w:before="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12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pPr>
            <w:r>
              <w:rPr/>
              <w:t>(I) or (we) assign and transfer this Note to:</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7145" w:type="dxa"/>
            <w:tcBorders>
              <w:bottom w:val="single" w:sz="2" w:space="0" w:color="000000"/>
            </w:tcBorders>
            <w:tcMar>
              <w:bottom w:w="28" w:type="dxa"/>
            </w:tcMar>
          </w:tcPr>
          <w:p>
            <w:pPr>
              <w:pStyle w:val="TableContents"/>
              <w:bidi w:val="0"/>
              <w:spacing w:before="0" w:after="283"/>
              <w:jc w:val="left"/>
              <w:rPr/>
            </w:pPr>
            <w:r>
              <w:rPr/>
              <w:t> </w:t>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center"/>
              <w:rPr/>
            </w:pPr>
            <w:r>
              <w:rPr/>
              <w:t>(Insert assignee’s legal name)</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0"/>
              <w:jc w:val="center"/>
              <w:rPr>
                <w:rFonts w:ascii="Times New Roman" w:hAnsi="Times New Roman"/>
                <w:sz w:val="20"/>
              </w:rPr>
            </w:pPr>
            <w:r>
              <w:rPr>
                <w:rFonts w:ascii="Times New Roman" w:hAnsi="Times New Roman"/>
                <w:sz w:val="20"/>
              </w:rPr>
              <w:t>(Insert assignee’s soc. sec. or tax I.D. no.)</w:t>
            </w:r>
          </w:p>
          <w:p>
            <w:pPr>
              <w:pStyle w:val="TableContents"/>
              <w:bidi w:val="0"/>
              <w:spacing w:before="0" w:after="20"/>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3"/>
            <w:tcBorders/>
          </w:tcPr>
          <w:p>
            <w:pPr>
              <w:pStyle w:val="TableContents"/>
              <w:bidi w:val="0"/>
              <w:spacing w:before="0" w:after="283"/>
              <w:jc w:val="center"/>
              <w:rPr/>
            </w:pPr>
            <w:r>
              <w:rPr/>
              <w:t>(Print or type assignee’s name, address and zip code)</w:t>
            </w:r>
          </w:p>
        </w:tc>
      </w:tr>
    </w:tbl>
    <w:p>
      <w:pPr>
        <w:pStyle w:val="TextBody"/>
        <w:bidi w:val="0"/>
        <w:spacing w:before="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xml:space="preserve">                                                    </w:t>
      </w: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0"/>
        <w:gridCol w:w="120"/>
        <w:gridCol w:w="5175"/>
      </w:tblGrid>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75" w:type="dxa"/>
            <w:tcBorders/>
            <w:vAlign w:val="center"/>
          </w:tcPr>
          <w:p>
            <w:pPr>
              <w:pStyle w:val="TableContents"/>
              <w:bidi w:val="0"/>
              <w:spacing w:before="0" w:after="283"/>
              <w:jc w:val="left"/>
              <w:rPr>
                <w:sz w:val="4"/>
                <w:szCs w:val="4"/>
              </w:rPr>
            </w:pPr>
            <w:r>
              <w:rPr>
                <w:sz w:val="4"/>
                <w:szCs w:val="4"/>
              </w:rPr>
            </w:r>
          </w:p>
        </w:tc>
      </w:tr>
      <w:tr>
        <w:trPr/>
        <w:tc>
          <w:tcPr>
            <w:tcW w:w="49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75" w:type="dxa"/>
            <w:tcBorders/>
          </w:tcPr>
          <w:p>
            <w:pPr>
              <w:pStyle w:val="TableContents"/>
              <w:bidi w:val="0"/>
              <w:spacing w:before="0" w:after="0"/>
              <w:jc w:val="right"/>
              <w:rPr>
                <w:rFonts w:ascii="Times New Roman" w:hAnsi="Times New Roman"/>
                <w:sz w:val="20"/>
              </w:rPr>
            </w:pPr>
            <w:r>
              <w:rPr>
                <w:rFonts w:ascii="Times New Roman" w:hAnsi="Times New Roman"/>
                <w:sz w:val="20"/>
              </w:rPr>
              <w:t xml:space="preserve">Your Signature: </w:t>
            </w:r>
            <w:r>
              <w:rPr>
                <w:rFonts w:ascii="Times New Roman" w:hAnsi="Times New Roman"/>
                <w:sz w:val="20"/>
                <w:u w:val="single"/>
              </w:rPr>
              <w:t>              </w:t>
            </w:r>
          </w:p>
        </w:tc>
      </w:tr>
      <w:tr>
        <w:trPr/>
        <w:tc>
          <w:tcPr>
            <w:tcW w:w="49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75" w:type="dxa"/>
            <w:tcBorders/>
          </w:tcPr>
          <w:p>
            <w:pPr>
              <w:pStyle w:val="TableContents"/>
              <w:bidi w:val="0"/>
              <w:spacing w:before="0" w:after="283"/>
              <w:jc w:val="righ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Company pursuant to Section 4.10 or 4.15 of the Indenture, check the appropriate box below: </w:t>
      </w:r>
    </w:p>
    <w:p>
      <w:pPr>
        <w:pStyle w:val="TextBody"/>
        <w:bidi w:val="0"/>
        <w:spacing w:before="120" w:after="0"/>
        <w:jc w:val="center"/>
        <w:rPr/>
      </w:pPr>
      <w:r>
        <w:rPr/>
        <w:t xml:space="preserve">☐ </w:t>
      </w:r>
      <w:r>
        <w:rPr>
          <w:rFonts w:ascii="Times New Roman" w:hAnsi="Times New Roman"/>
          <w:sz w:val="20"/>
        </w:rPr>
        <w:t xml:space="preserve">SECTION 4.10       ☐ SECTION 4.15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Note purchased by the Company pursuant to Section 4.10 or Section 4.15 of the Indenture,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0"/>
        <w:gridCol w:w="120"/>
        <w:gridCol w:w="5175"/>
      </w:tblGrid>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75" w:type="dxa"/>
            <w:tcBorders/>
            <w:vAlign w:val="center"/>
          </w:tcPr>
          <w:p>
            <w:pPr>
              <w:pStyle w:val="TableContents"/>
              <w:bidi w:val="0"/>
              <w:spacing w:before="0" w:after="283"/>
              <w:jc w:val="left"/>
              <w:rPr>
                <w:sz w:val="4"/>
                <w:szCs w:val="4"/>
              </w:rPr>
            </w:pPr>
            <w:r>
              <w:rPr>
                <w:sz w:val="4"/>
                <w:szCs w:val="4"/>
              </w:rPr>
            </w:r>
          </w:p>
        </w:tc>
      </w:tr>
      <w:tr>
        <w:trPr/>
        <w:tc>
          <w:tcPr>
            <w:tcW w:w="49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75" w:type="dxa"/>
            <w:tcBorders/>
          </w:tcPr>
          <w:p>
            <w:pPr>
              <w:pStyle w:val="TableContents"/>
              <w:bidi w:val="0"/>
              <w:spacing w:before="0" w:after="0"/>
              <w:jc w:val="right"/>
              <w:rPr>
                <w:rFonts w:ascii="Times New Roman" w:hAnsi="Times New Roman"/>
                <w:sz w:val="20"/>
              </w:rPr>
            </w:pPr>
            <w:r>
              <w:rPr>
                <w:rFonts w:ascii="Times New Roman" w:hAnsi="Times New Roman"/>
                <w:sz w:val="20"/>
              </w:rPr>
              <w:t xml:space="preserve">Your Signature: </w:t>
            </w:r>
            <w:r>
              <w:rPr>
                <w:rFonts w:ascii="Times New Roman" w:hAnsi="Times New Roman"/>
                <w:sz w:val="20"/>
                <w:u w:val="single"/>
              </w:rPr>
              <w:t>              </w:t>
            </w:r>
          </w:p>
        </w:tc>
      </w:tr>
      <w:tr>
        <w:trPr/>
        <w:tc>
          <w:tcPr>
            <w:tcW w:w="49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75" w:type="dxa"/>
            <w:tcBorders/>
          </w:tcPr>
          <w:p>
            <w:pPr>
              <w:pStyle w:val="TableContents"/>
              <w:bidi w:val="0"/>
              <w:spacing w:before="0" w:after="283"/>
              <w:jc w:val="right"/>
              <w:rPr/>
            </w:pPr>
            <w:r>
              <w:rPr/>
              <w:t>(Sign exactly as your name appears on the face of this Note)</w:t>
            </w:r>
          </w:p>
        </w:tc>
      </w:tr>
    </w:tbl>
    <w:p>
      <w:pPr>
        <w:pStyle w:val="TextBody"/>
        <w:bidi w:val="0"/>
        <w:spacing w:before="240" w:after="0"/>
        <w:jc w:val="right"/>
        <w:rPr>
          <w:rFonts w:ascii="Times New Roman" w:hAnsi="Times New Roman"/>
          <w:sz w:val="20"/>
        </w:rPr>
      </w:pPr>
      <w:r>
        <w:rPr>
          <w:rFonts w:ascii="Times New Roman" w:hAnsi="Times New Roman"/>
          <w:sz w:val="20"/>
        </w:rPr>
        <w:t xml:space="preserve">Tax Identification No.: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REGULATION S TEMPORARY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Regulation S Temporary Global Note for an interest in another Global Note or exchange of a part of another other Restricted Global Note for an interest in this Regulation S Temporary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0"/>
        <w:gridCol w:w="421"/>
        <w:gridCol w:w="1445"/>
        <w:gridCol w:w="421"/>
        <w:gridCol w:w="1445"/>
        <w:gridCol w:w="421"/>
        <w:gridCol w:w="1445"/>
        <w:gridCol w:w="421"/>
        <w:gridCol w:w="1176"/>
      </w:tblGrid>
      <w:tr>
        <w:trPr/>
        <w:tc>
          <w:tcPr>
            <w:tcW w:w="301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 Exchange</w:t>
            </w:r>
          </w:p>
        </w:tc>
        <w:tc>
          <w:tcPr>
            <w:tcW w:w="421" w:type="dxa"/>
            <w:tcBorders/>
            <w:vAlign w:val="bottom"/>
          </w:tcPr>
          <w:p>
            <w:pPr>
              <w:pStyle w:val="TableContents"/>
              <w:bidi w:val="0"/>
              <w:spacing w:before="0" w:after="283"/>
              <w:jc w:val="left"/>
              <w:rPr/>
            </w:pPr>
            <w:r>
              <w:rPr/>
              <w:t>  </w:t>
            </w:r>
          </w:p>
        </w:tc>
        <w:tc>
          <w:tcPr>
            <w:tcW w:w="1445" w:type="dxa"/>
            <w:tcBorders>
              <w:bottom w:val="single" w:sz="8" w:space="0" w:color="000000"/>
            </w:tcBorders>
            <w:tcMar>
              <w:bottom w:w="28" w:type="dxa"/>
            </w:tcMar>
            <w:vAlign w:val="bottom"/>
          </w:tcPr>
          <w:p>
            <w:pPr>
              <w:pStyle w:val="TableContents"/>
              <w:bidi w:val="0"/>
              <w:spacing w:before="0" w:after="283"/>
              <w:jc w:val="center"/>
              <w:rPr/>
            </w:pPr>
            <w:r>
              <w:rPr/>
              <w:t>Amount of</w:t>
              <w:br/>
              <w:t>decrease in</w:t>
              <w:br/>
              <w:t>Principal</w:t>
              <w:br/>
              <w:t>Amount of this</w:t>
              <w:br/>
              <w:t>Global Note</w:t>
            </w:r>
          </w:p>
        </w:tc>
        <w:tc>
          <w:tcPr>
            <w:tcW w:w="421" w:type="dxa"/>
            <w:tcBorders/>
            <w:vAlign w:val="bottom"/>
          </w:tcPr>
          <w:p>
            <w:pPr>
              <w:pStyle w:val="TableContents"/>
              <w:bidi w:val="0"/>
              <w:spacing w:before="0" w:after="283"/>
              <w:jc w:val="left"/>
              <w:rPr/>
            </w:pPr>
            <w:r>
              <w:rPr/>
              <w:t>  </w:t>
            </w:r>
          </w:p>
        </w:tc>
        <w:tc>
          <w:tcPr>
            <w:tcW w:w="1445" w:type="dxa"/>
            <w:tcBorders>
              <w:bottom w:val="single" w:sz="8" w:space="0" w:color="000000"/>
            </w:tcBorders>
            <w:tcMar>
              <w:bottom w:w="28" w:type="dxa"/>
            </w:tcMar>
            <w:vAlign w:val="bottom"/>
          </w:tcPr>
          <w:p>
            <w:pPr>
              <w:pStyle w:val="TableContents"/>
              <w:bidi w:val="0"/>
              <w:spacing w:before="0" w:after="283"/>
              <w:jc w:val="center"/>
              <w:rPr/>
            </w:pPr>
            <w:r>
              <w:rPr/>
              <w:t>Amount of</w:t>
              <w:br/>
              <w:t>increase in</w:t>
              <w:br/>
              <w:t>Principal</w:t>
              <w:br/>
              <w:t>Amount of this</w:t>
              <w:br/>
              <w:t>Global Note</w:t>
            </w:r>
          </w:p>
        </w:tc>
        <w:tc>
          <w:tcPr>
            <w:tcW w:w="421" w:type="dxa"/>
            <w:tcBorders/>
            <w:vAlign w:val="bottom"/>
          </w:tcPr>
          <w:p>
            <w:pPr>
              <w:pStyle w:val="TableContents"/>
              <w:bidi w:val="0"/>
              <w:spacing w:before="0" w:after="283"/>
              <w:jc w:val="left"/>
              <w:rPr/>
            </w:pPr>
            <w:r>
              <w:rPr/>
              <w:t>  </w:t>
            </w:r>
          </w:p>
        </w:tc>
        <w:tc>
          <w:tcPr>
            <w:tcW w:w="1445" w:type="dxa"/>
            <w:tcBorders>
              <w:bottom w:val="single" w:sz="8" w:space="0" w:color="000000"/>
            </w:tcBorders>
            <w:tcMar>
              <w:bottom w:w="28" w:type="dxa"/>
            </w:tcMar>
            <w:vAlign w:val="bottom"/>
          </w:tcPr>
          <w:p>
            <w:pPr>
              <w:pStyle w:val="TableContents"/>
              <w:bidi w:val="0"/>
              <w:spacing w:before="0" w:after="283"/>
              <w:jc w:val="center"/>
              <w:rPr/>
            </w:pPr>
            <w:r>
              <w:rPr/>
              <w:t>Principal</w:t>
              <w:br/>
              <w:t>Amount of this</w:t>
              <w:br/>
              <w:t>Global Note</w:t>
              <w:br/>
              <w:t>following such</w:t>
              <w:br/>
              <w:t xml:space="preserve">decrease </w:t>
              <w:br/>
              <w:t>(or increase)</w:t>
            </w:r>
          </w:p>
        </w:tc>
        <w:tc>
          <w:tcPr>
            <w:tcW w:w="421" w:type="dxa"/>
            <w:tcBorders/>
            <w:vAlign w:val="bottom"/>
          </w:tcPr>
          <w:p>
            <w:pPr>
              <w:pStyle w:val="TableContents"/>
              <w:bidi w:val="0"/>
              <w:spacing w:before="0" w:after="283"/>
              <w:jc w:val="left"/>
              <w:rPr/>
            </w:pPr>
            <w:r>
              <w:rPr/>
              <w:t>  </w:t>
            </w:r>
          </w:p>
        </w:tc>
        <w:tc>
          <w:tcPr>
            <w:tcW w:w="1176" w:type="dxa"/>
            <w:tcBorders>
              <w:bottom w:val="single" w:sz="8" w:space="0" w:color="000000"/>
            </w:tcBorders>
            <w:tcMar>
              <w:bottom w:w="28" w:type="dxa"/>
            </w:tcMar>
            <w:vAlign w:val="bottom"/>
          </w:tcPr>
          <w:p>
            <w:pPr>
              <w:pStyle w:val="TableContents"/>
              <w:bidi w:val="0"/>
              <w:spacing w:before="0" w:after="283"/>
              <w:jc w:val="center"/>
              <w:rPr/>
            </w:pPr>
            <w:r>
              <w:rPr/>
              <w:t>Signature of</w:t>
              <w:br/>
              <w:t>authorized</w:t>
              <w:br/>
              <w:t>signatory of</w:t>
              <w:br/>
              <w:t>Trustee or</w:t>
              <w:br/>
              <w:t>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Sabre Financial Borrower, LLC </w:t>
      </w:r>
    </w:p>
    <w:p>
      <w:pPr>
        <w:pStyle w:val="TextBody"/>
        <w:bidi w:val="0"/>
        <w:spacing w:before="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Fax No.: (302) 636-4149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i/>
          <w:sz w:val="20"/>
          <w:u w:val="single"/>
        </w:rPr>
        <w:t>9.875% Senior Secured Notes due 2032 (the “Notes”</w:t>
      </w:r>
      <w:r>
        <w:rPr>
          <w:rFonts w:ascii="Times New Roman" w:hAnsi="Times New Roman"/>
          <w:i/>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(CUSIP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September 28, 2026 (the “</w:t>
      </w:r>
      <w:r>
        <w:rPr>
          <w:rFonts w:ascii="Times New Roman" w:hAnsi="Times New Roman"/>
          <w:i/>
          <w:sz w:val="20"/>
        </w:rPr>
        <w:t>Indenture</w:t>
      </w:r>
      <w:r>
        <w:rPr>
          <w:rFonts w:ascii="Times New Roman" w:hAnsi="Times New Roman"/>
          <w:sz w:val="20"/>
        </w:rPr>
        <w:t>”), among Sabre Financial Borrower, LLC, as issuer (the “</w:t>
      </w:r>
      <w:r>
        <w:rPr>
          <w:rFonts w:ascii="Times New Roman" w:hAnsi="Times New Roman"/>
          <w:i/>
          <w:sz w:val="20"/>
        </w:rPr>
        <w:t>Company</w:t>
      </w:r>
      <w:r>
        <w:rPr>
          <w:rFonts w:ascii="Times New Roman" w:hAnsi="Times New Roman"/>
          <w:sz w:val="20"/>
        </w:rPr>
        <w:t xml:space="preserve">”), the Guarantors party thereto and Wilmington Trust, National Association, as trustee and collateral agent. Capitalized terms used but not defined herein shall have the meanings given to them in the Indenture. </w:t>
      </w:r>
    </w:p>
    <w:p>
      <w:pPr>
        <w:pStyle w:val="TextBody"/>
        <w:bidi w:val="0"/>
        <w:spacing w:before="240" w:after="0"/>
        <w:jc w:val="left"/>
        <w:rPr/>
      </w:pPr>
      <w:r>
        <w:rPr>
          <w:u w:val="single"/>
        </w:rPr>
        <w:t>            </w:t>
      </w:r>
      <w:r>
        <w:rPr>
          <w:rFonts w:ascii="Times New Roman" w:hAnsi="Times New Roman"/>
          <w:sz w:val="20"/>
        </w:rPr>
        <w:t>, (the “</w:t>
      </w:r>
      <w:r>
        <w:rPr>
          <w:rFonts w:ascii="Times New Roman" w:hAnsi="Times New Roman"/>
          <w:i/>
          <w:sz w:val="20"/>
        </w:rPr>
        <w:t>Transferor</w:t>
      </w:r>
      <w:r>
        <w:rPr>
          <w:rFonts w:ascii="Times New Roman" w:hAnsi="Times New Roman"/>
          <w:sz w:val="20"/>
        </w:rPr>
        <w:t>”) owns and proposes to transfer the Note[s] or interest in such Note[s] specified in Annex A hereto, in the principal amount of $</w:t>
      </w:r>
      <w:r>
        <w:rPr>
          <w:rFonts w:ascii="Times New Roman" w:hAnsi="Times New Roman"/>
          <w:sz w:val="20"/>
          <w:u w:val="single"/>
        </w:rPr>
        <w:t>   </w:t>
      </w:r>
      <w:r>
        <w:rPr>
          <w:rFonts w:ascii="Times New Roman" w:hAnsi="Times New Roman"/>
          <w:sz w:val="20"/>
        </w:rPr>
        <w:t xml:space="preserve"> in such Note[s] or interests (the “</w:t>
      </w:r>
      <w:r>
        <w:rPr>
          <w:rFonts w:ascii="Times New Roman" w:hAnsi="Times New Roman"/>
          <w:i/>
          <w:sz w:val="20"/>
        </w:rPr>
        <w:t>Transfer</w:t>
      </w:r>
      <w:r>
        <w:rPr>
          <w:rFonts w:ascii="Times New Roman" w:hAnsi="Times New Roman"/>
          <w:sz w:val="20"/>
        </w:rPr>
        <w:t>”), to</w:t>
      </w:r>
      <w:r>
        <w:rPr>
          <w:rFonts w:ascii="Times New Roman" w:hAnsi="Times New Roman"/>
          <w:sz w:val="20"/>
          <w:u w:val="single"/>
        </w:rPr>
        <w:t>            </w:t>
      </w:r>
      <w:r>
        <w:rPr>
          <w:rFonts w:ascii="Times New Roman" w:hAnsi="Times New Roman"/>
          <w:sz w:val="20"/>
        </w:rPr>
        <w:t>(the “</w:t>
      </w:r>
      <w:r>
        <w:rPr>
          <w:rFonts w:ascii="Times New Roman" w:hAnsi="Times New Roman"/>
          <w:i/>
          <w:sz w:val="20"/>
        </w:rPr>
        <w:t>Transferee</w:t>
      </w:r>
      <w:r>
        <w:rPr>
          <w:rFonts w:ascii="Times New Roman" w:hAnsi="Times New Roman"/>
          <w:sz w:val="20"/>
        </w:rPr>
        <w:t xml:space="preserve">”), as further specified in Annex A hereto. In connection with the Transfer, the Transferor hereby certifies that: </w:t>
      </w:r>
    </w:p>
    <w:p>
      <w:pPr>
        <w:pStyle w:val="TextBody"/>
        <w:bidi w:val="0"/>
        <w:spacing w:before="240" w:after="0"/>
        <w:jc w:val="center"/>
        <w:rPr>
          <w:rFonts w:ascii="Times New Roman" w:hAnsi="Times New Roman"/>
          <w:sz w:val="20"/>
        </w:rPr>
      </w:pPr>
      <w:r>
        <w:rPr>
          <w:rFonts w:ascii="Times New Roman" w:hAnsi="Times New Roman"/>
          <w:sz w:val="20"/>
        </w:rPr>
        <w:t xml:space="preserve">[CHECK ALL THAT APPLY] </w:t>
      </w:r>
    </w:p>
    <w:p>
      <w:pPr>
        <w:pStyle w:val="TextBody"/>
        <w:bidi w:val="0"/>
        <w:spacing w:before="240" w:after="0"/>
        <w:jc w:val="left"/>
        <w:rPr>
          <w:rFonts w:ascii="Times New Roman" w:hAnsi="Times New Roman"/>
          <w:sz w:val="20"/>
        </w:rPr>
      </w:pPr>
      <w:r>
        <w:rPr>
          <w:rFonts w:ascii="Times New Roman" w:hAnsi="Times New Roman"/>
          <w:sz w:val="20"/>
        </w:rPr>
        <w:t xml:space="preserve">1. ☐ </w:t>
      </w:r>
      <w:r>
        <w:rPr>
          <w:rFonts w:ascii="Times New Roman" w:hAnsi="Times New Roman"/>
          <w:b/>
          <w:sz w:val="20"/>
          <w:u w:val="single"/>
        </w:rPr>
        <w:t>Check if Transferee will take delivery of a beneficial interest in the 144A Global Note or a Restricted Definitive Note pursuant to Rule 144A</w:t>
      </w:r>
      <w:r>
        <w:rPr>
          <w:rFonts w:ascii="Times New Roman" w:hAnsi="Times New Roman"/>
          <w:sz w:val="20"/>
        </w:rPr>
        <w:t>. The Transfer is being effected pursuant to and in accordance with Rule 144A under the Securities Act of 1933, as amended (the “</w:t>
      </w:r>
      <w:r>
        <w:rPr>
          <w:rFonts w:ascii="Times New Roman" w:hAnsi="Times New Roman"/>
          <w:i/>
          <w:sz w:val="20"/>
        </w:rPr>
        <w:t>Securities Act</w:t>
      </w:r>
      <w:r>
        <w:rPr>
          <w:rFonts w:ascii="Times New Roman" w:hAnsi="Times New Roman"/>
          <w:sz w:val="20"/>
        </w:rPr>
        <w:t xml:space="preserve">”),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 </w:t>
      </w:r>
      <w:r>
        <w:rPr>
          <w:rFonts w:ascii="Times New Roman" w:hAnsi="Times New Roman"/>
          <w:b/>
          <w:sz w:val="20"/>
          <w:u w:val="single"/>
        </w:rPr>
        <w:t>Check if Transferee will take delivery of a beneficial interest in the Regulation S Temporary Global Note, the Regulation S Permanent Global Note or a Restricted Definitive Note pursuant to Regulation S</w:t>
      </w:r>
      <w:r>
        <w:rPr>
          <w:rFonts w:ascii="Times New Roman" w:hAnsi="Times New Roman"/>
          <w:sz w:val="20"/>
        </w:rPr>
        <w:t xml:space="preserve">.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3. ☐ </w:t>
      </w:r>
      <w:r>
        <w:rPr>
          <w:rFonts w:ascii="Times New Roman" w:hAnsi="Times New Roman"/>
          <w:b/>
          <w:sz w:val="20"/>
          <w:u w:val="single"/>
        </w:rPr>
        <w:t>Check and complete if Transferee will take delivery of a beneficial interest in a Restricted Definitive Note pursuant to any provision of the Securities Act other than Rule 144A or Regulation S</w:t>
      </w:r>
      <w:r>
        <w:rPr>
          <w:rFonts w:ascii="Times New Roman" w:hAnsi="Times New Roman"/>
          <w:sz w:val="20"/>
        </w:rPr>
        <w:t xml:space="preserve">.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 </w:t>
      </w:r>
    </w:p>
    <w:p>
      <w:pPr>
        <w:pStyle w:val="TextBody"/>
        <w:bidi w:val="0"/>
        <w:spacing w:before="120" w:after="0"/>
        <w:jc w:val="left"/>
        <w:rPr>
          <w:rFonts w:ascii="Times New Roman" w:hAnsi="Times New Roman"/>
          <w:sz w:val="20"/>
        </w:rPr>
      </w:pPr>
      <w:r>
        <w:rPr>
          <w:rFonts w:ascii="Times New Roman" w:hAnsi="Times New Roman"/>
          <w:sz w:val="20"/>
        </w:rPr>
        <w:t xml:space="preserve">(a) ☐ such Transfer is being effected pursuant to and in accordance with Rule 144 under the Securities Act; </w:t>
      </w:r>
    </w:p>
    <w:p>
      <w:pPr>
        <w:pStyle w:val="TextBody"/>
        <w:bidi w:val="0"/>
        <w:spacing w:before="240" w:after="0"/>
        <w:jc w:val="center"/>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z w:val="20"/>
        </w:rPr>
      </w:pPr>
      <w:r>
        <w:rPr>
          <w:rFonts w:ascii="Times New Roman" w:hAnsi="Times New Roman"/>
          <w:sz w:val="20"/>
        </w:rPr>
        <w:t xml:space="preserve">(b) ☐ such Transfer is being effected to the Company or a subsidiary thereof; </w:t>
      </w:r>
    </w:p>
    <w:p>
      <w:pPr>
        <w:pStyle w:val="TextBody"/>
        <w:bidi w:val="0"/>
        <w:spacing w:before="240" w:after="0"/>
        <w:jc w:val="center"/>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z w:val="20"/>
        </w:rPr>
      </w:pPr>
      <w:r>
        <w:rPr>
          <w:rFonts w:ascii="Times New Roman" w:hAnsi="Times New Roman"/>
          <w:sz w:val="20"/>
        </w:rPr>
        <w:t xml:space="preserve">(c) ☐ such Transfer is being effected pursuant to an effective registration statement under the Securities Act and in compliance with the prospectus delivery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w:t>
      </w:r>
      <w:r>
        <w:rPr>
          <w:rFonts w:ascii="Times New Roman" w:hAnsi="Times New Roman"/>
          <w:sz w:val="20"/>
          <w:u w:val="single"/>
        </w:rPr>
        <w:t xml:space="preserve"> </w:t>
      </w:r>
      <w:r>
        <w:rPr>
          <w:rFonts w:ascii="Times New Roman" w:hAnsi="Times New Roman"/>
          <w:b/>
          <w:sz w:val="20"/>
          <w:u w:val="single"/>
        </w:rPr>
        <w:t>Check if Transferee will take delivery of a beneficial interest in an Unrestricted Global Note or of an Unrestricted Definitive Note.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 </w:t>
      </w:r>
      <w:r>
        <w:rPr>
          <w:rFonts w:ascii="Times New Roman" w:hAnsi="Times New Roman"/>
          <w:b/>
          <w:sz w:val="20"/>
        </w:rPr>
        <w:t>Check if Transfer is pursuant to Rule 144</w:t>
      </w:r>
      <w:r>
        <w:rPr>
          <w:rFonts w:ascii="Times New Roman" w:hAnsi="Times New Roman"/>
          <w:sz w:val="20"/>
        </w:rPr>
        <w:t xml:space="preserve">.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 </w:t>
      </w:r>
      <w:r>
        <w:rPr>
          <w:rFonts w:ascii="Times New Roman" w:hAnsi="Times New Roman"/>
          <w:b/>
          <w:sz w:val="20"/>
        </w:rPr>
        <w:t>Check if Transfer is Pursuant to Regulation S</w:t>
      </w:r>
      <w:r>
        <w:rPr>
          <w:rFonts w:ascii="Times New Roman" w:hAnsi="Times New Roman"/>
          <w:sz w:val="20"/>
        </w:rPr>
        <w:t xml:space="preserve">.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 ☐ </w:t>
      </w:r>
      <w:r>
        <w:rPr>
          <w:rFonts w:ascii="Times New Roman" w:hAnsi="Times New Roman"/>
          <w:b/>
          <w:sz w:val="20"/>
        </w:rPr>
        <w:t>Check if Transfer is Pursuant to Other Exemption</w:t>
      </w:r>
      <w:r>
        <w:rPr>
          <w:rFonts w:ascii="Times New Roman" w:hAnsi="Times New Roman"/>
          <w:sz w:val="20"/>
        </w:rPr>
        <w:t xml:space="preserve">.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5"/>
        <w:gridCol w:w="61"/>
        <w:gridCol w:w="3616"/>
      </w:tblGrid>
      <w:tr>
        <w:trPr/>
        <w:tc>
          <w:tcPr>
            <w:tcW w:w="4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center"/>
              <w:rPr/>
            </w:pPr>
            <w:r>
              <w:rPr/>
              <w:t>[Insert Name of Transferor]</w:t>
            </w:r>
          </w:p>
        </w:tc>
      </w:tr>
      <w:tr>
        <w:trPr>
          <w:trHeight w:val="240" w:hRule="atLeast"/>
        </w:trPr>
        <w:tc>
          <w:tcPr>
            <w:tcW w:w="405" w:type="dxa"/>
            <w:tcBorders/>
            <w:vAlign w:val="center"/>
          </w:tcPr>
          <w:p>
            <w:pPr>
              <w:pStyle w:val="TableContents"/>
              <w:bidi w:val="0"/>
              <w:spacing w:before="0" w:after="283"/>
              <w:jc w:val="left"/>
              <w:rPr>
                <w:sz w:val="4"/>
                <w:szCs w:val="4"/>
              </w:rPr>
            </w:pPr>
            <w:r>
              <w:rPr>
                <w:sz w:val="4"/>
                <w:szCs w:val="4"/>
              </w:rPr>
            </w:r>
          </w:p>
        </w:tc>
        <w:tc>
          <w:tcPr>
            <w:tcW w:w="3677" w:type="dxa"/>
            <w:gridSpan w:val="2"/>
            <w:tcBorders/>
            <w:vAlign w:val="center"/>
          </w:tcPr>
          <w:p>
            <w:pPr>
              <w:pStyle w:val="TableContents"/>
              <w:bidi w:val="0"/>
              <w:spacing w:before="0" w:after="283"/>
              <w:jc w:val="left"/>
              <w:rPr>
                <w:sz w:val="4"/>
                <w:szCs w:val="4"/>
              </w:rPr>
            </w:pPr>
            <w:r>
              <w:rPr>
                <w:sz w:val="4"/>
                <w:szCs w:val="4"/>
              </w:rPr>
            </w:r>
          </w:p>
        </w:tc>
      </w:tr>
      <w:tr>
        <w:trPr/>
        <w:tc>
          <w:tcPr>
            <w:tcW w:w="40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6" w:type="dxa"/>
            <w:tcBorders>
              <w:bottom w:val="single" w:sz="2" w:space="0" w:color="000000"/>
            </w:tcBorders>
            <w:tcMar>
              <w:bottom w:w="28" w:type="dxa"/>
            </w:tcMar>
          </w:tcPr>
          <w:p>
            <w:pPr>
              <w:pStyle w:val="TableContents"/>
              <w:bidi w:val="0"/>
              <w:spacing w:before="0" w:after="283"/>
              <w:jc w:val="left"/>
              <w:rPr/>
            </w:pPr>
            <w:r>
              <w:rPr/>
              <w:t> </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vAlign w:val="bottom"/>
          </w:tcPr>
          <w:p>
            <w:pPr>
              <w:pStyle w:val="TableContents"/>
              <w:bidi w:val="0"/>
              <w:spacing w:before="0" w:after="283"/>
              <w:jc w:val="left"/>
              <w:rPr/>
            </w:pPr>
            <w:r>
              <w:rPr/>
              <w:t>Name:</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ANNEX A TO CERTIFICATE OF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Transferor owns and proposes to transfer the following: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[CHECK ONE OF (a) OR (b)]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a beneficial interest in the: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pPr>
            <w:r>
              <w:rPr/>
              <w:t xml:space="preserve">☐ </w:t>
            </w:r>
            <w:r>
              <w:rPr>
                <w:rFonts w:ascii="Times New Roman" w:hAnsi="Times New Roman"/>
                <w:sz w:val="20"/>
              </w:rPr>
              <w:t xml:space="preserve">144A Global Note (CUSIP </w:t>
            </w:r>
            <w:r>
              <w:rPr>
                <w:rFonts w:ascii="Times New Roman" w:hAnsi="Times New Roman"/>
                <w:sz w:val="20"/>
                <w:u w:val="single"/>
              </w:rPr>
              <w:t>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pPr>
            <w:r>
              <w:rPr/>
              <w:t xml:space="preserve">☐ </w:t>
            </w:r>
            <w:r>
              <w:rPr>
                <w:rFonts w:ascii="Times New Roman" w:hAnsi="Times New Roman"/>
                <w:sz w:val="20"/>
              </w:rPr>
              <w:t xml:space="preserve">Regulation S Global Note (CUSIP </w:t>
            </w:r>
            <w:r>
              <w:rPr>
                <w:rFonts w:ascii="Times New Roman" w:hAnsi="Times New Roman"/>
                <w:sz w:val="20"/>
                <w:u w:val="single"/>
              </w:rPr>
              <w:t>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Restricted Definitive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Transfer the Transferee will hold: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a beneficial interest in the: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pPr>
            <w:r>
              <w:rPr/>
              <w:t xml:space="preserve">☐ </w:t>
            </w:r>
            <w:r>
              <w:rPr>
                <w:rFonts w:ascii="Times New Roman" w:hAnsi="Times New Roman"/>
                <w:sz w:val="20"/>
              </w:rPr>
              <w:t xml:space="preserve">144A Global Note (CUSIP </w:t>
            </w:r>
            <w:r>
              <w:rPr>
                <w:rFonts w:ascii="Times New Roman" w:hAnsi="Times New Roman"/>
                <w:sz w:val="20"/>
                <w:u w:val="single"/>
              </w:rPr>
              <w:t>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pPr>
            <w:r>
              <w:rPr/>
              <w:t xml:space="preserve">☐ </w:t>
            </w:r>
            <w:r>
              <w:rPr>
                <w:rFonts w:ascii="Times New Roman" w:hAnsi="Times New Roman"/>
                <w:sz w:val="20"/>
              </w:rPr>
              <w:t xml:space="preserve">Regulation S Global Note (CUSIP </w:t>
            </w:r>
            <w:r>
              <w:rPr>
                <w:rFonts w:ascii="Times New Roman" w:hAnsi="Times New Roman"/>
                <w:sz w:val="20"/>
                <w:u w:val="single"/>
              </w:rPr>
              <w:t>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pPr>
            <w:r>
              <w:rPr/>
              <w:t xml:space="preserve">☐ </w:t>
            </w:r>
            <w:r>
              <w:rPr>
                <w:rFonts w:ascii="Times New Roman" w:hAnsi="Times New Roman"/>
                <w:sz w:val="20"/>
              </w:rPr>
              <w:t xml:space="preserve">Unrestricted Global Note (CUSIP </w:t>
            </w:r>
            <w:r>
              <w:rPr>
                <w:rFonts w:ascii="Times New Roman" w:hAnsi="Times New Roman"/>
                <w:sz w:val="20"/>
                <w:u w:val="single"/>
              </w:rPr>
              <w:t>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pPr>
            <w:r>
              <w:rPr/>
              <w:t xml:space="preserve">☐ </w:t>
            </w:r>
            <w:r>
              <w:rPr>
                <w:rFonts w:ascii="Times New Roman" w:hAnsi="Times New Roman"/>
                <w:sz w:val="20"/>
              </w:rPr>
              <w:t xml:space="preserve">a Restricted Definitive Note;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an Unrestricted Definitive Note,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terms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OF EXCHANGE </w:t>
      </w:r>
    </w:p>
    <w:p>
      <w:pPr>
        <w:pStyle w:val="TextBody"/>
        <w:bidi w:val="0"/>
        <w:spacing w:before="240" w:after="0"/>
        <w:jc w:val="left"/>
        <w:rPr>
          <w:rFonts w:ascii="Times New Roman" w:hAnsi="Times New Roman"/>
          <w:sz w:val="20"/>
        </w:rPr>
      </w:pPr>
      <w:r>
        <w:rPr>
          <w:rFonts w:ascii="Times New Roman" w:hAnsi="Times New Roman"/>
          <w:sz w:val="20"/>
        </w:rPr>
        <w:t xml:space="preserve">Sabre Financial Borrower, LLC </w:t>
      </w:r>
    </w:p>
    <w:p>
      <w:pPr>
        <w:pStyle w:val="TextBody"/>
        <w:bidi w:val="0"/>
        <w:spacing w:before="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Fax No.: (302) 636-4149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9.875% Senior Secured Notes due 2032 (the “Notes”</w:t>
            </w:r>
            <w:r>
              <w:rPr>
                <w:rFonts w:ascii="Times New Roman" w:hAnsi="Times New Roman"/>
                <w:sz w:val="20"/>
                <w:u w:val="single"/>
              </w:rPr>
              <w:t>)</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(CUSIP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September 28, 2026 (the “</w:t>
      </w:r>
      <w:r>
        <w:rPr>
          <w:rFonts w:ascii="Times New Roman" w:hAnsi="Times New Roman"/>
          <w:i/>
          <w:sz w:val="20"/>
        </w:rPr>
        <w:t>Indenture</w:t>
      </w:r>
      <w:r>
        <w:rPr>
          <w:rFonts w:ascii="Times New Roman" w:hAnsi="Times New Roman"/>
          <w:sz w:val="20"/>
        </w:rPr>
        <w:t>”), among Sabre Financial Borrower, LLC, as issuer (the “</w:t>
      </w:r>
      <w:r>
        <w:rPr>
          <w:rFonts w:ascii="Times New Roman" w:hAnsi="Times New Roman"/>
          <w:i/>
          <w:sz w:val="20"/>
        </w:rPr>
        <w:t>Company</w:t>
      </w:r>
      <w:r>
        <w:rPr>
          <w:rFonts w:ascii="Times New Roman" w:hAnsi="Times New Roman"/>
          <w:sz w:val="20"/>
        </w:rPr>
        <w:t xml:space="preserve">”), the Guarantors party thereto and Wilmington Trust, National Association, as trustee and collateral agent. Capitalized terms used but not defined herein shall have the meanings given to them in the Indenture. </w:t>
      </w:r>
    </w:p>
    <w:p>
      <w:pPr>
        <w:pStyle w:val="TextBody"/>
        <w:bidi w:val="0"/>
        <w:spacing w:before="240" w:after="0"/>
        <w:jc w:val="left"/>
        <w:rPr/>
      </w:pPr>
      <w:r>
        <w:rPr>
          <w:u w:val="single"/>
        </w:rPr>
        <w:t>           </w:t>
      </w:r>
      <w:r>
        <w:rPr>
          <w:rFonts w:ascii="Times New Roman" w:hAnsi="Times New Roman"/>
          <w:sz w:val="20"/>
        </w:rPr>
        <w:t>, (the “</w:t>
      </w:r>
      <w:r>
        <w:rPr>
          <w:rFonts w:ascii="Times New Roman" w:hAnsi="Times New Roman"/>
          <w:i/>
          <w:sz w:val="20"/>
        </w:rPr>
        <w:t>Owner</w:t>
      </w:r>
      <w:r>
        <w:rPr>
          <w:rFonts w:ascii="Times New Roman" w:hAnsi="Times New Roman"/>
          <w:sz w:val="20"/>
        </w:rPr>
        <w:t>”) owns and proposes to exchange the Note[s] or interest in such Note[s] specified herein, in the principal amount of $</w:t>
      </w:r>
      <w:r>
        <w:rPr>
          <w:rFonts w:ascii="Times New Roman" w:hAnsi="Times New Roman"/>
          <w:sz w:val="20"/>
          <w:u w:val="single"/>
        </w:rPr>
        <w:t>     </w:t>
      </w:r>
      <w:r>
        <w:rPr>
          <w:rFonts w:ascii="Times New Roman" w:hAnsi="Times New Roman"/>
          <w:sz w:val="20"/>
        </w:rPr>
        <w:t xml:space="preserve"> in such Note[s] or interests (the “</w:t>
      </w:r>
      <w:r>
        <w:rPr>
          <w:rFonts w:ascii="Times New Roman" w:hAnsi="Times New Roman"/>
          <w:i/>
          <w:sz w:val="20"/>
        </w:rPr>
        <w:t>Exchange</w:t>
      </w:r>
      <w:r>
        <w:rPr>
          <w:rFonts w:ascii="Times New Roman" w:hAnsi="Times New Roman"/>
          <w:sz w:val="20"/>
        </w:rPr>
        <w:t xml:space="preserve">”). In connection with the Exchange, the Owner hereby certifies that: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Exchange of Restricted Definitive Notes or Beneficial Interests in a Restricted Global Note for Unrestricted Definitive Notes or Beneficial Interests in an Unrestricted Global Note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 </w:t>
      </w:r>
      <w:r>
        <w:rPr>
          <w:rFonts w:ascii="Times New Roman" w:hAnsi="Times New Roman"/>
          <w:b/>
          <w:sz w:val="20"/>
        </w:rPr>
        <w:t>Check if Exchange is from beneficial interest in a Restricted Global Note to beneficial interest in an Unrestricted Global Note</w:t>
      </w:r>
      <w:r>
        <w:rPr>
          <w:rFonts w:ascii="Times New Roman" w:hAnsi="Times New Roman"/>
          <w:sz w:val="20"/>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hAnsi="Times New Roman"/>
          <w:i/>
          <w:sz w:val="20"/>
        </w:rPr>
        <w:t>Securities Act</w:t>
      </w:r>
      <w:r>
        <w:rPr>
          <w:rFonts w:ascii="Times New Roman" w:hAnsi="Times New Roman"/>
          <w:sz w:val="20"/>
        </w:rPr>
        <w:t xml:space="preserve">”),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 </w:t>
      </w:r>
      <w:r>
        <w:rPr>
          <w:rFonts w:ascii="Times New Roman" w:hAnsi="Times New Roman"/>
          <w:b/>
          <w:sz w:val="20"/>
        </w:rPr>
        <w:t>Check if Exchange is from beneficial interest in a Restricted Global Note to Unrestricted Definitive Note</w:t>
      </w:r>
      <w:r>
        <w:rPr>
          <w:rFonts w:ascii="Times New Roman" w:hAnsi="Times New Roman"/>
          <w:sz w:val="20"/>
        </w:rPr>
        <w:t xml:space="preserv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 </w:t>
      </w:r>
      <w:r>
        <w:rPr>
          <w:rFonts w:ascii="Times New Roman" w:hAnsi="Times New Roman"/>
          <w:b/>
          <w:sz w:val="20"/>
        </w:rPr>
        <w:t>Check if Exchange is from Restricted Definitive Note to beneficial interest in an Unrestricted Global Note</w:t>
      </w:r>
      <w:r>
        <w:rPr>
          <w:rFonts w:ascii="Times New Roman" w:hAnsi="Times New Roman"/>
          <w:sz w:val="20"/>
        </w:rPr>
        <w:t xml:space="preserv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 ☐ </w:t>
      </w:r>
      <w:r>
        <w:rPr>
          <w:rFonts w:ascii="Times New Roman" w:hAnsi="Times New Roman"/>
          <w:b/>
          <w:sz w:val="20"/>
        </w:rPr>
        <w:t>Check if Exchange is from Restricted Definitive Note to Unrestricted Definitive Note</w:t>
      </w:r>
      <w:r>
        <w:rPr>
          <w:rFonts w:ascii="Times New Roman" w:hAnsi="Times New Roman"/>
          <w:sz w:val="20"/>
        </w:rPr>
        <w:t xml:space="preserv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Exchange of Restricted Definitive Notes or Beneficial Interests in Restricted Global Notes for Restricted Definitive Notes or Beneficial Interests in Restricted Global Notes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 </w:t>
      </w:r>
      <w:r>
        <w:rPr>
          <w:rFonts w:ascii="Times New Roman" w:hAnsi="Times New Roman"/>
          <w:b/>
          <w:sz w:val="20"/>
        </w:rPr>
        <w:t xml:space="preserve">Check if Exchange is from beneficial interest in a Restricted Global Note to Restricted Definitive Note. </w:t>
      </w:r>
      <w:r>
        <w:rPr>
          <w:rFonts w:ascii="Times New Roman" w:hAnsi="Times New Roman"/>
          <w:sz w:val="20"/>
        </w:rPr>
        <w:t xml:space="preserve">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 </w:t>
      </w:r>
      <w:r>
        <w:rPr>
          <w:rFonts w:ascii="Times New Roman" w:hAnsi="Times New Roman"/>
          <w:b/>
          <w:sz w:val="20"/>
        </w:rPr>
        <w:t>Check if Exchange is from Restricted Definitive Note to beneficial interest in a Restricted Global Note</w:t>
      </w:r>
      <w:r>
        <w:rPr>
          <w:rFonts w:ascii="Times New Roman" w:hAnsi="Times New Roman"/>
          <w:sz w:val="20"/>
        </w:rPr>
        <w:t xml:space="preserve">. In connection with the Exchange of the Owner’s Restricted Definitive Note for a beneficial interest in the [CHECK ONE] ☐ 144A Global Note,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1"/>
        <w:gridCol w:w="71"/>
        <w:gridCol w:w="3580"/>
      </w:tblGrid>
      <w:tr>
        <w:trPr/>
        <w:tc>
          <w:tcPr>
            <w:tcW w:w="431"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op w:val="single" w:sz="2" w:space="0" w:color="000000"/>
            </w:tcBorders>
            <w:tcMar>
              <w:top w:w="28" w:type="dxa"/>
            </w:tcMar>
          </w:tcPr>
          <w:p>
            <w:pPr>
              <w:pStyle w:val="TableContents"/>
              <w:bidi w:val="0"/>
              <w:spacing w:before="0" w:after="283"/>
              <w:jc w:val="center"/>
              <w:rPr/>
            </w:pPr>
            <w:r>
              <w:rPr/>
              <w:t>[Insert Name of Transferor]</w:t>
            </w:r>
          </w:p>
        </w:tc>
      </w:tr>
      <w:tr>
        <w:trPr>
          <w:trHeight w:val="240" w:hRule="atLeast"/>
        </w:trPr>
        <w:tc>
          <w:tcPr>
            <w:tcW w:w="431"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pPr>
            <w:r>
              <w:rPr/>
              <w:t>By:</w:t>
            </w:r>
          </w:p>
        </w:tc>
        <w:tc>
          <w:tcPr>
            <w:tcW w:w="71" w:type="dxa"/>
            <w:tcBorders>
              <w:bottom w:val="single" w:sz="2" w:space="0" w:color="000000"/>
            </w:tcBorders>
            <w:tcMar>
              <w:bottom w:w="28" w:type="dxa"/>
            </w:tcMar>
            <w:vAlign w:val="bottom"/>
          </w:tcPr>
          <w:p>
            <w:pPr>
              <w:pStyle w:val="TableContents"/>
              <w:bidi w:val="0"/>
              <w:spacing w:before="0" w:after="283"/>
              <w:jc w:val="left"/>
              <w:rPr/>
            </w:pPr>
            <w:r>
              <w:rPr/>
              <w:t> </w:t>
            </w:r>
          </w:p>
        </w:tc>
        <w:tc>
          <w:tcPr>
            <w:tcW w:w="3580" w:type="dxa"/>
            <w:tcBorders>
              <w:bottom w:val="single" w:sz="2" w:space="0" w:color="000000"/>
            </w:tcBorders>
            <w:tcMar>
              <w:bottom w:w="28" w:type="dxa"/>
            </w:tcMar>
          </w:tcPr>
          <w:p>
            <w:pPr>
              <w:pStyle w:val="TableContents"/>
              <w:bidi w:val="0"/>
              <w:spacing w:before="0" w:after="283"/>
              <w:jc w:val="left"/>
              <w:rPr/>
            </w:pPr>
            <w:r>
              <w:rPr/>
              <w:t> </w:t>
            </w:r>
          </w:p>
        </w:tc>
      </w:tr>
      <w:tr>
        <w:trPr/>
        <w:tc>
          <w:tcPr>
            <w:tcW w:w="431"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31"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8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SUPPLEMENTAL INDENTURE </w:t>
      </w:r>
    </w:p>
    <w:p>
      <w:pPr>
        <w:pStyle w:val="TextBody"/>
        <w:bidi w:val="0"/>
        <w:spacing w:before="0" w:after="0"/>
        <w:jc w:val="center"/>
        <w:rPr>
          <w:rFonts w:ascii="Times New Roman" w:hAnsi="Times New Roman"/>
          <w:sz w:val="20"/>
        </w:rPr>
      </w:pPr>
      <w:r>
        <w:rPr>
          <w:rFonts w:ascii="Times New Roman" w:hAnsi="Times New Roman"/>
          <w:sz w:val="20"/>
        </w:rPr>
        <w:t xml:space="preserve">TO BE DELIVERED BY SUBSEQUENT GUARANTORS] </w:t>
      </w:r>
    </w:p>
    <w:p>
      <w:pPr>
        <w:pStyle w:val="TextBody"/>
        <w:bidi w:val="0"/>
        <w:spacing w:before="240" w:after="0"/>
        <w:jc w:val="left"/>
        <w:rPr>
          <w:rFonts w:ascii="Times New Roman" w:hAnsi="Times New Roman"/>
          <w:sz w:val="20"/>
        </w:rPr>
      </w:pPr>
      <w:r>
        <w:rPr>
          <w:rFonts w:ascii="Times New Roman" w:hAnsi="Times New Roman"/>
          <w:sz w:val="20"/>
        </w:rPr>
        <w:t>[   ] SUPPLEMENTAL INDENTURE (this “</w:t>
      </w:r>
      <w:r>
        <w:rPr>
          <w:rFonts w:ascii="Times New Roman" w:hAnsi="Times New Roman"/>
          <w:i/>
          <w:sz w:val="20"/>
        </w:rPr>
        <w:t>Supplemental Indenture</w:t>
      </w:r>
      <w:r>
        <w:rPr>
          <w:rFonts w:ascii="Times New Roman" w:hAnsi="Times New Roman"/>
          <w:sz w:val="20"/>
        </w:rPr>
        <w:t>”), dated as of [</w:t>
      </w:r>
      <w:r>
        <w:rPr>
          <w:rFonts w:ascii="Times New Roman" w:hAnsi="Times New Roman"/>
          <w:sz w:val="20"/>
          <w:u w:val="single"/>
        </w:rPr>
        <w:t>   </w:t>
      </w:r>
      <w:r>
        <w:rPr>
          <w:rFonts w:ascii="Times New Roman" w:hAnsi="Times New Roman"/>
          <w:sz w:val="20"/>
        </w:rPr>
        <w:t>], among (the “</w:t>
      </w:r>
      <w:r>
        <w:rPr>
          <w:rFonts w:ascii="Times New Roman" w:hAnsi="Times New Roman"/>
          <w:i/>
          <w:sz w:val="20"/>
        </w:rPr>
        <w:t>Guaranteeing Entity</w:t>
      </w:r>
      <w:r>
        <w:rPr>
          <w:rFonts w:ascii="Times New Roman" w:hAnsi="Times New Roman"/>
          <w:sz w:val="20"/>
        </w:rPr>
        <w:t>”), Sabre Financial Borrower, LLC (the “</w:t>
      </w:r>
      <w:r>
        <w:rPr>
          <w:rFonts w:ascii="Times New Roman" w:hAnsi="Times New Roman"/>
          <w:i/>
          <w:sz w:val="20"/>
        </w:rPr>
        <w:t>Company</w:t>
      </w:r>
      <w:r>
        <w:rPr>
          <w:rFonts w:ascii="Times New Roman" w:hAnsi="Times New Roman"/>
          <w:sz w:val="20"/>
        </w:rPr>
        <w:t>”) and Wilmington Trust, National Association, as trustee (the “</w:t>
      </w:r>
      <w:r>
        <w:rPr>
          <w:rFonts w:ascii="Times New Roman" w:hAnsi="Times New Roman"/>
          <w:i/>
          <w:sz w:val="20"/>
        </w:rPr>
        <w:t>Trustee</w:t>
      </w:r>
      <w:r>
        <w:rPr>
          <w:rFonts w:ascii="Times New Roman" w:hAnsi="Times New Roman"/>
          <w:sz w:val="20"/>
        </w:rPr>
        <w:t>”) and collateral agent (the “</w:t>
      </w:r>
      <w:r>
        <w:rPr>
          <w:rFonts w:ascii="Times New Roman" w:hAnsi="Times New Roman"/>
          <w:i/>
          <w:sz w:val="20"/>
        </w:rPr>
        <w:t>Collateral Agent</w:t>
      </w:r>
      <w:r>
        <w:rPr>
          <w:rFonts w:ascii="Times New Roman" w:hAnsi="Times New Roman"/>
          <w:sz w:val="20"/>
        </w:rPr>
        <w:t xml:space="preserve">”), under the Indenture referred to below.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Company and certain Guarantors have heretofore executed and delivered to the Trustee and the Collateral Agent an indenture (the “</w:t>
      </w:r>
      <w:r>
        <w:rPr>
          <w:rFonts w:ascii="Times New Roman" w:hAnsi="Times New Roman"/>
          <w:i/>
          <w:sz w:val="20"/>
        </w:rPr>
        <w:t>Indenture</w:t>
      </w:r>
      <w:r>
        <w:rPr>
          <w:rFonts w:ascii="Times New Roman" w:hAnsi="Times New Roman"/>
          <w:sz w:val="20"/>
        </w:rPr>
        <w:t>”), dated as of September 28, 2026 providing for the issuance of the Company’s 9.875% Senior Secured Notes due 2032 (the “</w:t>
      </w:r>
      <w:r>
        <w:rPr>
          <w:rFonts w:ascii="Times New Roman" w:hAnsi="Times New Roman"/>
          <w:i/>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Indenture provides that under certain circumstances the Guaranteeing Entity shall execute and deliver to the Trustee and the Collateral Agent a supplemental indenture pursuant to which the Guaranteeing Entity shall unconditionally guarantee all of the Company’s Obligations under the Notes and the Indenture on the terms and conditions set forth herein (the “</w:t>
      </w:r>
      <w:r>
        <w:rPr>
          <w:rFonts w:ascii="Times New Roman" w:hAnsi="Times New Roman"/>
          <w:i/>
          <w:sz w:val="20"/>
        </w:rPr>
        <w:t>Guarantee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9.01 of the Indenture, the Trustee and the Collateral Agent is authorized to execute and deliver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Guaranteeing Entity, the Trustee and the Collateral Agent mutually covenant and agree for the equal and ratable benefit of the Holders of the Notes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CAPITALIZED TERMS. Capitalized terms used herein without definition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Agreement To Guarantee. The Guaranteeing Entity hereby agrees to provide an unconditional Guarantee on the terms and subject to the conditions set forth in the Guarantee and in the Indenture including but not limited to Article 11 thereof.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No Recourse Against Others</w:t>
      </w:r>
      <w:r>
        <w:rPr>
          <w:rFonts w:ascii="Times New Roman" w:hAnsi="Times New Roman"/>
          <w:sz w:val="20"/>
        </w:rPr>
        <w:t xml:space="preserve">. No past, present or future director, officer, employee, incorporator, member, partner or stockholder of the Company or any Guarantor or any of their direct or indirect parent companies (other than the Company and the Guarantors), as such, will have any liability for any obligations of the Company or the Guarantors under the Notes, this Indenture, the Guarantees or the Security Documents or for any claim based on, in respect of, or by reason of, such obligations or their creation. Each Holder of Notes by accepting a Note waives and releases all such liability.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NEW YORK LAW TO GOVERN</w:t>
      </w:r>
      <w:r>
        <w:rPr>
          <w:rFonts w:ascii="Times New Roman" w:hAnsi="Times New Roman"/>
          <w:sz w:val="20"/>
        </w:rPr>
        <w:t xml:space="preserve">. THIS SUPPLEMENTAL INDENTURE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COUNTERPARTS</w:t>
      </w:r>
      <w:r>
        <w:rPr>
          <w:rFonts w:ascii="Times New Roman" w:hAnsi="Times New Roman"/>
          <w:sz w:val="20"/>
        </w:rPr>
        <w:t xml:space="preserve">. This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The Trustee and the Collateral Agent</w:t>
      </w:r>
      <w:r>
        <w:rPr>
          <w:rFonts w:ascii="Times New Roman" w:hAnsi="Times New Roman"/>
          <w:sz w:val="20"/>
        </w:rPr>
        <w:t xml:space="preserve">. Neither the Trustee nor the Collateral Agent shall be responsible in any manner whatsoever for or in respect of the validity or sufficiency of this Supplemental Indenture or for or in respect of the recitals contained herein, all of which recitals are made solely by the Guaranteeing Entity and the Company.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and attested, all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615" w:type="dxa"/>
        <w:jc w:val="right"/>
        <w:tblInd w:w="0" w:type="dxa"/>
        <w:tblLayout w:type="fixed"/>
        <w:tblCellMar>
          <w:top w:w="0" w:type="dxa"/>
          <w:left w:w="0" w:type="dxa"/>
          <w:bottom w:w="0" w:type="dxa"/>
          <w:right w:w="0" w:type="dxa"/>
        </w:tblCellMar>
      </w:tblPr>
      <w:tblGrid>
        <w:gridCol w:w="4664"/>
        <w:gridCol w:w="472"/>
        <w:gridCol w:w="479"/>
      </w:tblGrid>
      <w:tr>
        <w:trPr/>
        <w:tc>
          <w:tcPr>
            <w:tcW w:w="4664"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cPr>
          <w:p>
            <w:pPr>
              <w:pStyle w:val="TableContents"/>
              <w:bidi w:val="0"/>
              <w:spacing w:before="0" w:after="283"/>
              <w:jc w:val="left"/>
              <w:rPr/>
            </w:pPr>
            <w:r>
              <w:rPr/>
              <w:t>[GUARANTEEING ENTITY]</w:t>
            </w:r>
          </w:p>
        </w:tc>
      </w:tr>
      <w:tr>
        <w:trPr>
          <w:trHeight w:val="240" w:hRule="atLeast"/>
        </w:trPr>
        <w:tc>
          <w:tcPr>
            <w:tcW w:w="4664" w:type="dxa"/>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4664" w:type="dxa"/>
            <w:tcBorders/>
          </w:tcPr>
          <w:p>
            <w:pPr>
              <w:pStyle w:val="TableContents"/>
              <w:bidi w:val="0"/>
              <w:spacing w:before="0" w:after="283"/>
              <w:jc w:val="left"/>
              <w:rPr/>
            </w:pPr>
            <w:r>
              <w:rPr/>
              <w:t>By:</w:t>
            </w:r>
          </w:p>
        </w:tc>
        <w:tc>
          <w:tcPr>
            <w:tcW w:w="47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 w:type="dxa"/>
            <w:tcBorders>
              <w:bottom w:val="single" w:sz="2" w:space="0" w:color="000000"/>
            </w:tcBorders>
            <w:tcMar>
              <w:bottom w:w="28" w:type="dxa"/>
            </w:tcMar>
          </w:tcPr>
          <w:p>
            <w:pPr>
              <w:pStyle w:val="TableContents"/>
              <w:bidi w:val="0"/>
              <w:spacing w:before="0" w:after="283"/>
              <w:jc w:val="left"/>
              <w:rPr/>
            </w:pPr>
            <w:r>
              <w:rPr/>
              <w:t> </w:t>
            </w:r>
          </w:p>
        </w:tc>
      </w:tr>
      <w:tr>
        <w:trPr/>
        <w:tc>
          <w:tcPr>
            <w:tcW w:w="4664" w:type="dxa"/>
            <w:tcBorders/>
          </w:tcPr>
          <w:p>
            <w:pPr>
              <w:pStyle w:val="TableContents"/>
              <w:bidi w:val="0"/>
              <w:spacing w:before="0" w:after="283"/>
              <w:jc w:val="left"/>
              <w:rPr/>
            </w:pPr>
            <w:r>
              <w:rPr/>
              <w:t>Name:</w:t>
            </w:r>
          </w:p>
        </w:tc>
        <w:tc>
          <w:tcPr>
            <w:tcW w:w="472"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r>
      <w:tr>
        <w:trPr/>
        <w:tc>
          <w:tcPr>
            <w:tcW w:w="4664" w:type="dxa"/>
            <w:tcBorders/>
          </w:tcPr>
          <w:p>
            <w:pPr>
              <w:pStyle w:val="TableContents"/>
              <w:bidi w:val="0"/>
              <w:spacing w:before="0" w:after="283"/>
              <w:jc w:val="left"/>
              <w:rPr/>
            </w:pPr>
            <w:r>
              <w:rPr/>
              <w:t>Title:</w:t>
            </w:r>
          </w:p>
        </w:tc>
        <w:tc>
          <w:tcPr>
            <w:tcW w:w="472"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r>
      <w:tr>
        <w:trPr>
          <w:trHeight w:val="240" w:hRule="atLeast"/>
        </w:trPr>
        <w:tc>
          <w:tcPr>
            <w:tcW w:w="5615" w:type="dxa"/>
            <w:gridSpan w:val="3"/>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cPr>
          <w:p>
            <w:pPr>
              <w:pStyle w:val="TableContents"/>
              <w:bidi w:val="0"/>
              <w:spacing w:before="0" w:after="283"/>
              <w:jc w:val="left"/>
              <w:rPr/>
            </w:pPr>
            <w:r>
              <w:rPr/>
              <w:t>SABRE FINANCIAL BORROWER, LLC</w:t>
            </w:r>
          </w:p>
        </w:tc>
      </w:tr>
      <w:tr>
        <w:trPr>
          <w:trHeight w:val="240" w:hRule="atLeast"/>
        </w:trPr>
        <w:tc>
          <w:tcPr>
            <w:tcW w:w="4664" w:type="dxa"/>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4664" w:type="dxa"/>
            <w:tcBorders/>
          </w:tcPr>
          <w:p>
            <w:pPr>
              <w:pStyle w:val="TableContents"/>
              <w:bidi w:val="0"/>
              <w:spacing w:before="0" w:after="283"/>
              <w:jc w:val="left"/>
              <w:rPr/>
            </w:pPr>
            <w:r>
              <w:rPr/>
              <w:t>By:</w:t>
            </w:r>
          </w:p>
        </w:tc>
        <w:tc>
          <w:tcPr>
            <w:tcW w:w="47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 w:type="dxa"/>
            <w:tcBorders>
              <w:bottom w:val="single" w:sz="2" w:space="0" w:color="000000"/>
            </w:tcBorders>
            <w:tcMar>
              <w:bottom w:w="28" w:type="dxa"/>
            </w:tcMar>
          </w:tcPr>
          <w:p>
            <w:pPr>
              <w:pStyle w:val="TableContents"/>
              <w:bidi w:val="0"/>
              <w:spacing w:before="0" w:after="283"/>
              <w:jc w:val="left"/>
              <w:rPr/>
            </w:pPr>
            <w:r>
              <w:rPr/>
              <w:t> </w:t>
            </w:r>
          </w:p>
        </w:tc>
      </w:tr>
      <w:tr>
        <w:trPr/>
        <w:tc>
          <w:tcPr>
            <w:tcW w:w="4664" w:type="dxa"/>
            <w:tcBorders/>
          </w:tcPr>
          <w:p>
            <w:pPr>
              <w:pStyle w:val="TableContents"/>
              <w:bidi w:val="0"/>
              <w:spacing w:before="0" w:after="283"/>
              <w:jc w:val="left"/>
              <w:rPr/>
            </w:pPr>
            <w:r>
              <w:rPr/>
              <w:t>Name:</w:t>
            </w:r>
          </w:p>
        </w:tc>
        <w:tc>
          <w:tcPr>
            <w:tcW w:w="472"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r>
      <w:tr>
        <w:trPr/>
        <w:tc>
          <w:tcPr>
            <w:tcW w:w="4664" w:type="dxa"/>
            <w:tcBorders/>
          </w:tcPr>
          <w:p>
            <w:pPr>
              <w:pStyle w:val="TableContents"/>
              <w:bidi w:val="0"/>
              <w:spacing w:before="0" w:after="283"/>
              <w:jc w:val="left"/>
              <w:rPr/>
            </w:pPr>
            <w:r>
              <w:rPr/>
              <w:t>Title:</w:t>
            </w:r>
          </w:p>
        </w:tc>
        <w:tc>
          <w:tcPr>
            <w:tcW w:w="472"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r>
      <w:tr>
        <w:trPr>
          <w:trHeight w:val="240" w:hRule="atLeast"/>
        </w:trPr>
        <w:tc>
          <w:tcPr>
            <w:tcW w:w="5615" w:type="dxa"/>
            <w:gridSpan w:val="3"/>
            <w:tcBorders/>
            <w:vAlign w:val="center"/>
          </w:tcPr>
          <w:p>
            <w:pPr>
              <w:pStyle w:val="TableContents"/>
              <w:bidi w:val="0"/>
              <w:spacing w:before="0" w:after="283"/>
              <w:jc w:val="left"/>
              <w:rPr>
                <w:sz w:val="4"/>
                <w:szCs w:val="4"/>
              </w:rPr>
            </w:pPr>
            <w:r>
              <w:rPr>
                <w:sz w:val="4"/>
                <w:szCs w:val="4"/>
              </w:rPr>
            </w:r>
          </w:p>
        </w:tc>
      </w:tr>
      <w:tr>
        <w:trPr/>
        <w:tc>
          <w:tcPr>
            <w:tcW w:w="5615" w:type="dxa"/>
            <w:gridSpan w:val="3"/>
            <w:tcBorders/>
          </w:tcPr>
          <w:p>
            <w:pPr>
              <w:pStyle w:val="TableContents"/>
              <w:bidi w:val="0"/>
              <w:spacing w:before="0" w:after="283"/>
              <w:jc w:val="left"/>
              <w:rPr/>
            </w:pPr>
            <w:r>
              <w:rPr/>
              <w:t>WILMINGTON TRUST, NATIONAL ASSOCIATION,</w:t>
              <w:br/>
              <w:t>as Trustee and Collateral Agent</w:t>
            </w:r>
          </w:p>
        </w:tc>
      </w:tr>
      <w:tr>
        <w:trPr>
          <w:trHeight w:val="240" w:hRule="atLeast"/>
        </w:trPr>
        <w:tc>
          <w:tcPr>
            <w:tcW w:w="4664" w:type="dxa"/>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4664" w:type="dxa"/>
            <w:tcBorders/>
          </w:tcPr>
          <w:p>
            <w:pPr>
              <w:pStyle w:val="TableContents"/>
              <w:bidi w:val="0"/>
              <w:spacing w:before="0" w:after="283"/>
              <w:jc w:val="left"/>
              <w:rPr/>
            </w:pPr>
            <w:r>
              <w:rPr/>
              <w:t>By:</w:t>
            </w:r>
          </w:p>
        </w:tc>
        <w:tc>
          <w:tcPr>
            <w:tcW w:w="47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 w:type="dxa"/>
            <w:tcBorders>
              <w:bottom w:val="single" w:sz="2" w:space="0" w:color="000000"/>
            </w:tcBorders>
            <w:tcMar>
              <w:bottom w:w="28" w:type="dxa"/>
            </w:tcMar>
          </w:tcPr>
          <w:p>
            <w:pPr>
              <w:pStyle w:val="TableContents"/>
              <w:bidi w:val="0"/>
              <w:spacing w:before="0" w:after="283"/>
              <w:jc w:val="left"/>
              <w:rPr/>
            </w:pPr>
            <w:r>
              <w:rPr/>
              <w:t> </w:t>
            </w:r>
          </w:p>
        </w:tc>
      </w:tr>
      <w:tr>
        <w:trPr/>
        <w:tc>
          <w:tcPr>
            <w:tcW w:w="4664" w:type="dxa"/>
            <w:tcBorders/>
          </w:tcPr>
          <w:p>
            <w:pPr>
              <w:pStyle w:val="TableContents"/>
              <w:bidi w:val="0"/>
              <w:spacing w:before="0" w:after="283"/>
              <w:jc w:val="left"/>
              <w:rPr/>
            </w:pPr>
            <w:r>
              <w:rPr/>
              <w:t>Name:</w:t>
            </w:r>
          </w:p>
        </w:tc>
        <w:tc>
          <w:tcPr>
            <w:tcW w:w="472"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r>
      <w:tr>
        <w:trPr/>
        <w:tc>
          <w:tcPr>
            <w:tcW w:w="4664" w:type="dxa"/>
            <w:tcBorders/>
          </w:tcPr>
          <w:p>
            <w:pPr>
              <w:pStyle w:val="TableContents"/>
              <w:bidi w:val="0"/>
              <w:spacing w:before="0" w:after="283"/>
              <w:jc w:val="left"/>
              <w:rPr/>
            </w:pPr>
            <w:r>
              <w:rPr/>
              <w:t>Title:</w:t>
            </w:r>
          </w:p>
        </w:tc>
        <w:tc>
          <w:tcPr>
            <w:tcW w:w="472"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AGREED GUARANTEE AND SECURITY PRINCIPLES </w:t>
      </w:r>
    </w:p>
    <w:p>
      <w:pPr>
        <w:pStyle w:val="TextBody"/>
        <w:bidi w:val="0"/>
        <w:spacing w:before="0" w:after="0"/>
        <w:jc w:val="right"/>
        <w:rPr>
          <w:rFonts w:ascii="Times New Roman" w:hAnsi="Times New Roman"/>
          <w:b/>
          <w:sz w:val="20"/>
        </w:rPr>
      </w:pPr>
      <w:bookmarkStart w:id="4" w:name="d435567dex101.htm"/>
      <w:bookmarkStart w:id="5" w:name="ksd435567dex101"/>
      <w:bookmarkEnd w:id="4"/>
      <w:bookmarkEnd w:id="5"/>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PLEDGE AND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September 28,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SABRE FINANCIAL BORROWER, LLC,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sz w:val="20"/>
        </w:rPr>
      </w:pPr>
      <w:r>
        <w:rPr>
          <w:rFonts w:ascii="Times New Roman" w:hAnsi="Times New Roman"/>
          <w:sz w:val="20"/>
        </w:rPr>
        <w:t xml:space="preserve">SABRE FINANCING HOLDINGS, LLC, </w:t>
      </w:r>
    </w:p>
    <w:p>
      <w:pPr>
        <w:pStyle w:val="TextBody"/>
        <w:bidi w:val="0"/>
        <w:spacing w:before="0" w:after="0"/>
        <w:jc w:val="center"/>
        <w:rPr>
          <w:rFonts w:ascii="Times New Roman" w:hAnsi="Times New Roman"/>
          <w:sz w:val="20"/>
        </w:rPr>
      </w:pPr>
      <w:r>
        <w:rPr>
          <w:rFonts w:ascii="Times New Roman" w:hAnsi="Times New Roman"/>
          <w:sz w:val="20"/>
        </w:rPr>
        <w:t xml:space="preserve">as Holdings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Collateral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9"/>
        <w:gridCol w:w="161"/>
        <w:gridCol w:w="7323"/>
        <w:gridCol w:w="161"/>
        <w:gridCol w:w="551"/>
      </w:tblGrid>
      <w:tr>
        <w:trPr/>
        <w:tc>
          <w:tcPr>
            <w:tcW w:w="200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32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00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32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51" w:type="dxa"/>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ARTICLE I</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DEFINITIONS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rHeight w:val="120" w:hRule="atLeast"/>
        </w:trPr>
        <w:tc>
          <w:tcPr>
            <w:tcW w:w="2009"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2009" w:type="dxa"/>
            <w:tcBorders/>
          </w:tcPr>
          <w:p>
            <w:pPr>
              <w:pStyle w:val="TableContents"/>
              <w:bidi w:val="0"/>
              <w:spacing w:before="0" w:after="283"/>
              <w:jc w:val="left"/>
              <w:rPr/>
            </w:pPr>
            <w:r>
              <w:rPr/>
              <w:t>SECTION 1.01.</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Indenture</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w:t>
            </w:r>
          </w:p>
        </w:tc>
      </w:tr>
      <w:tr>
        <w:trPr/>
        <w:tc>
          <w:tcPr>
            <w:tcW w:w="2009" w:type="dxa"/>
            <w:tcBorders/>
          </w:tcPr>
          <w:p>
            <w:pPr>
              <w:pStyle w:val="TableContents"/>
              <w:bidi w:val="0"/>
              <w:spacing w:before="0" w:after="283"/>
              <w:jc w:val="left"/>
              <w:rPr/>
            </w:pPr>
            <w:r>
              <w:rPr/>
              <w:t>SECTION 1.02.</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Other Defined Terms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ARTICLE II</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PLEDGE OF SECURITIES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rHeight w:val="120" w:hRule="atLeast"/>
        </w:trPr>
        <w:tc>
          <w:tcPr>
            <w:tcW w:w="2009"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2009" w:type="dxa"/>
            <w:tcBorders/>
          </w:tcPr>
          <w:p>
            <w:pPr>
              <w:pStyle w:val="TableContents"/>
              <w:bidi w:val="0"/>
              <w:spacing w:before="0" w:after="283"/>
              <w:jc w:val="left"/>
              <w:rPr/>
            </w:pPr>
            <w:r>
              <w:rPr/>
              <w:t>SECTION 2.01.</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Pledge</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7</w:t>
            </w:r>
          </w:p>
        </w:tc>
      </w:tr>
      <w:tr>
        <w:trPr/>
        <w:tc>
          <w:tcPr>
            <w:tcW w:w="2009" w:type="dxa"/>
            <w:tcBorders/>
          </w:tcPr>
          <w:p>
            <w:pPr>
              <w:pStyle w:val="TableContents"/>
              <w:bidi w:val="0"/>
              <w:spacing w:before="0" w:after="283"/>
              <w:jc w:val="left"/>
              <w:rPr/>
            </w:pPr>
            <w:r>
              <w:rPr/>
              <w:t>SECTION 2.02.</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Delivery of the Pledged Collateral</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7</w:t>
            </w:r>
          </w:p>
        </w:tc>
      </w:tr>
      <w:tr>
        <w:trPr/>
        <w:tc>
          <w:tcPr>
            <w:tcW w:w="2009" w:type="dxa"/>
            <w:tcBorders/>
          </w:tcPr>
          <w:p>
            <w:pPr>
              <w:pStyle w:val="TableContents"/>
              <w:bidi w:val="0"/>
              <w:spacing w:before="0" w:after="283"/>
              <w:jc w:val="left"/>
              <w:rPr/>
            </w:pPr>
            <w:r>
              <w:rPr/>
              <w:t>SECTION 2.03.</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Representations, Warranties and Covenants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8</w:t>
            </w:r>
          </w:p>
        </w:tc>
      </w:tr>
      <w:tr>
        <w:trPr/>
        <w:tc>
          <w:tcPr>
            <w:tcW w:w="2009" w:type="dxa"/>
            <w:tcBorders/>
          </w:tcPr>
          <w:p>
            <w:pPr>
              <w:pStyle w:val="TableContents"/>
              <w:bidi w:val="0"/>
              <w:spacing w:before="0" w:after="283"/>
              <w:jc w:val="left"/>
              <w:rPr/>
            </w:pPr>
            <w:r>
              <w:rPr/>
              <w:t>SECTION 2.04.</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Certification of Limited Liability Company and Limited Partnership Interests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9</w:t>
            </w:r>
          </w:p>
        </w:tc>
      </w:tr>
      <w:tr>
        <w:trPr/>
        <w:tc>
          <w:tcPr>
            <w:tcW w:w="2009" w:type="dxa"/>
            <w:tcBorders/>
          </w:tcPr>
          <w:p>
            <w:pPr>
              <w:pStyle w:val="TableContents"/>
              <w:bidi w:val="0"/>
              <w:spacing w:before="0" w:after="283"/>
              <w:jc w:val="left"/>
              <w:rPr/>
            </w:pPr>
            <w:r>
              <w:rPr/>
              <w:t>SECTION 2.05.</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Registration in Nominee Name; Denominations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10</w:t>
            </w:r>
          </w:p>
        </w:tc>
      </w:tr>
      <w:tr>
        <w:trPr/>
        <w:tc>
          <w:tcPr>
            <w:tcW w:w="2009" w:type="dxa"/>
            <w:tcBorders/>
          </w:tcPr>
          <w:p>
            <w:pPr>
              <w:pStyle w:val="TableContents"/>
              <w:bidi w:val="0"/>
              <w:spacing w:before="0" w:after="283"/>
              <w:jc w:val="left"/>
              <w:rPr/>
            </w:pPr>
            <w:r>
              <w:rPr/>
              <w:t>SECTION 2.06.</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Voting Rights; Dividends and Interest</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10</w:t>
            </w:r>
          </w:p>
        </w:tc>
      </w:tr>
      <w:tr>
        <w:trPr/>
        <w:tc>
          <w:tcPr>
            <w:tcW w:w="2009" w:type="dxa"/>
            <w:tcBorders/>
          </w:tcPr>
          <w:p>
            <w:pPr>
              <w:pStyle w:val="TableContents"/>
              <w:bidi w:val="0"/>
              <w:spacing w:before="0" w:after="283"/>
              <w:jc w:val="left"/>
              <w:rPr/>
            </w:pPr>
            <w:r>
              <w:rPr/>
              <w:t>SECTION 2.07.</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Collateral Agent Not a Partner or Limited Liability Company Member</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12</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ARTICLE III</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SECURITY INTERESTS IN PERSONAL PROPERTY</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rHeight w:val="120" w:hRule="atLeast"/>
        </w:trPr>
        <w:tc>
          <w:tcPr>
            <w:tcW w:w="2009"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2009" w:type="dxa"/>
            <w:tcBorders/>
          </w:tcPr>
          <w:p>
            <w:pPr>
              <w:pStyle w:val="TableContents"/>
              <w:bidi w:val="0"/>
              <w:spacing w:before="0" w:after="283"/>
              <w:jc w:val="left"/>
              <w:rPr/>
            </w:pPr>
            <w:r>
              <w:rPr/>
              <w:t>SECTION 3.01.</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Security Interest</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12</w:t>
            </w:r>
          </w:p>
        </w:tc>
      </w:tr>
      <w:tr>
        <w:trPr/>
        <w:tc>
          <w:tcPr>
            <w:tcW w:w="2009" w:type="dxa"/>
            <w:tcBorders/>
          </w:tcPr>
          <w:p>
            <w:pPr>
              <w:pStyle w:val="TableContents"/>
              <w:bidi w:val="0"/>
              <w:spacing w:before="0" w:after="283"/>
              <w:jc w:val="left"/>
              <w:rPr/>
            </w:pPr>
            <w:r>
              <w:rPr/>
              <w:t>SECTION 3.02.</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Representations and Warranties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14</w:t>
            </w:r>
          </w:p>
        </w:tc>
      </w:tr>
      <w:tr>
        <w:trPr/>
        <w:tc>
          <w:tcPr>
            <w:tcW w:w="2009" w:type="dxa"/>
            <w:tcBorders/>
          </w:tcPr>
          <w:p>
            <w:pPr>
              <w:pStyle w:val="TableContents"/>
              <w:bidi w:val="0"/>
              <w:spacing w:before="0" w:after="283"/>
              <w:jc w:val="left"/>
              <w:rPr/>
            </w:pPr>
            <w:r>
              <w:rPr/>
              <w:t>SECTION 3.03.</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Covenants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16</w:t>
            </w:r>
          </w:p>
        </w:tc>
      </w:tr>
      <w:tr>
        <w:trPr/>
        <w:tc>
          <w:tcPr>
            <w:tcW w:w="2009" w:type="dxa"/>
            <w:tcBorders/>
          </w:tcPr>
          <w:p>
            <w:pPr>
              <w:pStyle w:val="TableContents"/>
              <w:bidi w:val="0"/>
              <w:spacing w:before="0" w:after="283"/>
              <w:jc w:val="left"/>
              <w:rPr/>
            </w:pPr>
            <w:r>
              <w:rPr/>
              <w:t>SECTION 3.04.</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Other Actions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20</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ARTICLE IV</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REMEDIES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rHeight w:val="120" w:hRule="atLeast"/>
        </w:trPr>
        <w:tc>
          <w:tcPr>
            <w:tcW w:w="2009"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2009" w:type="dxa"/>
            <w:tcBorders/>
          </w:tcPr>
          <w:p>
            <w:pPr>
              <w:pStyle w:val="TableContents"/>
              <w:bidi w:val="0"/>
              <w:spacing w:before="0" w:after="283"/>
              <w:jc w:val="left"/>
              <w:rPr/>
            </w:pPr>
            <w:r>
              <w:rPr/>
              <w:t>SECTION 4.01.</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Remedies upon Default</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21</w:t>
            </w:r>
          </w:p>
        </w:tc>
      </w:tr>
      <w:tr>
        <w:trPr/>
        <w:tc>
          <w:tcPr>
            <w:tcW w:w="2009" w:type="dxa"/>
            <w:tcBorders/>
          </w:tcPr>
          <w:p>
            <w:pPr>
              <w:pStyle w:val="TableContents"/>
              <w:bidi w:val="0"/>
              <w:spacing w:before="0" w:after="283"/>
              <w:jc w:val="left"/>
              <w:rPr/>
            </w:pPr>
            <w:r>
              <w:rPr/>
              <w:t>SECTION 4.02.</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Application of Proceeds</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23</w:t>
            </w:r>
          </w:p>
        </w:tc>
      </w:tr>
      <w:tr>
        <w:trPr/>
        <w:tc>
          <w:tcPr>
            <w:tcW w:w="2009" w:type="dxa"/>
            <w:tcBorders/>
          </w:tcPr>
          <w:p>
            <w:pPr>
              <w:pStyle w:val="TableContents"/>
              <w:bidi w:val="0"/>
              <w:spacing w:before="0" w:after="283"/>
              <w:jc w:val="left"/>
              <w:rPr/>
            </w:pPr>
            <w:r>
              <w:rPr/>
              <w:t>SECTION 4.03.</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Grant of License to Use Intellectual Property; Power of Attorney</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24</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ARTICLE V</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283"/>
              <w:jc w:val="center"/>
              <w:rPr>
                <w:b/>
              </w:rPr>
            </w:pPr>
            <w:r>
              <w:rPr>
                <w:b/>
              </w:rPr>
              <w:t>INDEMNITY, SUBROGATION AND SUBORDINATION</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rHeight w:val="120" w:hRule="atLeast"/>
        </w:trPr>
        <w:tc>
          <w:tcPr>
            <w:tcW w:w="2009"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c>
          <w:tcPr>
            <w:tcW w:w="712" w:type="dxa"/>
            <w:gridSpan w:val="2"/>
            <w:tcBorders/>
            <w:vAlign w:val="center"/>
          </w:tcPr>
          <w:p>
            <w:pPr>
              <w:pStyle w:val="TableContents"/>
              <w:bidi w:val="0"/>
              <w:spacing w:before="0" w:after="283"/>
              <w:jc w:val="left"/>
              <w:rPr>
                <w:sz w:val="4"/>
                <w:szCs w:val="4"/>
              </w:rPr>
            </w:pPr>
            <w:r>
              <w:rPr>
                <w:sz w:val="4"/>
                <w:szCs w:val="4"/>
              </w:rPr>
            </w:r>
          </w:p>
        </w:tc>
      </w:tr>
      <w:tr>
        <w:trPr/>
        <w:tc>
          <w:tcPr>
            <w:tcW w:w="2009" w:type="dxa"/>
            <w:tcBorders/>
          </w:tcPr>
          <w:p>
            <w:pPr>
              <w:pStyle w:val="TableContents"/>
              <w:bidi w:val="0"/>
              <w:spacing w:before="0" w:after="283"/>
              <w:jc w:val="left"/>
              <w:rPr/>
            </w:pPr>
            <w:r>
              <w:rPr/>
              <w:t>SECTION 5.01.</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Indemnity</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24</w:t>
            </w:r>
          </w:p>
        </w:tc>
      </w:tr>
      <w:tr>
        <w:trPr/>
        <w:tc>
          <w:tcPr>
            <w:tcW w:w="2009" w:type="dxa"/>
            <w:tcBorders/>
          </w:tcPr>
          <w:p>
            <w:pPr>
              <w:pStyle w:val="TableContents"/>
              <w:bidi w:val="0"/>
              <w:spacing w:before="0" w:after="283"/>
              <w:jc w:val="left"/>
              <w:rPr/>
            </w:pPr>
            <w:r>
              <w:rPr/>
              <w:t>SECTION 5.02.</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Contribution and Subrogation</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24</w:t>
            </w:r>
          </w:p>
        </w:tc>
      </w:tr>
      <w:tr>
        <w:trPr/>
        <w:tc>
          <w:tcPr>
            <w:tcW w:w="2009" w:type="dxa"/>
            <w:tcBorders/>
          </w:tcPr>
          <w:p>
            <w:pPr>
              <w:pStyle w:val="TableContents"/>
              <w:bidi w:val="0"/>
              <w:spacing w:before="0" w:after="283"/>
              <w:jc w:val="left"/>
              <w:rPr/>
            </w:pPr>
            <w:r>
              <w:rPr/>
              <w:t>SECTION 5.03.</w:t>
            </w:r>
          </w:p>
        </w:tc>
        <w:tc>
          <w:tcPr>
            <w:tcW w:w="161" w:type="dxa"/>
            <w:tcBorders/>
            <w:vAlign w:val="bottom"/>
          </w:tcPr>
          <w:p>
            <w:pPr>
              <w:pStyle w:val="TableContents"/>
              <w:bidi w:val="0"/>
              <w:spacing w:before="0" w:after="283"/>
              <w:jc w:val="left"/>
              <w:rPr/>
            </w:pPr>
            <w:r>
              <w:rPr/>
              <w:t>  </w:t>
            </w:r>
          </w:p>
        </w:tc>
        <w:tc>
          <w:tcPr>
            <w:tcW w:w="7323" w:type="dxa"/>
            <w:tcBorders/>
          </w:tcPr>
          <w:p>
            <w:pPr>
              <w:pStyle w:val="TableContents"/>
              <w:bidi w:val="0"/>
              <w:spacing w:before="0" w:after="283"/>
              <w:jc w:val="left"/>
              <w:rPr/>
            </w:pPr>
            <w:r>
              <w:rPr/>
              <w:t>Subordination</w:t>
            </w:r>
          </w:p>
        </w:tc>
        <w:tc>
          <w:tcPr>
            <w:tcW w:w="161"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t>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5"/>
        <w:gridCol w:w="163"/>
        <w:gridCol w:w="7668"/>
        <w:gridCol w:w="163"/>
        <w:gridCol w:w="60"/>
        <w:gridCol w:w="262"/>
        <w:gridCol w:w="64"/>
      </w:tblGrid>
      <w:tr>
        <w:trPr/>
        <w:tc>
          <w:tcPr>
            <w:tcW w:w="182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766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6" w:type="dxa"/>
            <w:gridSpan w:val="3"/>
            <w:tcBorders/>
          </w:tcPr>
          <w:p>
            <w:pPr>
              <w:pStyle w:val="TableContents"/>
              <w:bidi w:val="0"/>
              <w:spacing w:before="0" w:after="283"/>
              <w:jc w:val="center"/>
              <w:rPr>
                <w:b/>
              </w:rPr>
            </w:pPr>
            <w:r>
              <w:rPr>
                <w:b/>
              </w:rPr>
              <w:t>ARTICLE VI</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6" w:type="dxa"/>
            <w:gridSpan w:val="3"/>
            <w:tcBorders/>
          </w:tcPr>
          <w:p>
            <w:pPr>
              <w:pStyle w:val="TableContents"/>
              <w:bidi w:val="0"/>
              <w:spacing w:before="0" w:after="283"/>
              <w:jc w:val="center"/>
              <w:rPr>
                <w:b/>
              </w:rPr>
            </w:pPr>
            <w:r>
              <w:rPr>
                <w:b/>
              </w:rPr>
              <w:t>MISCELLANEOUS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Waivers; Amendment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Collateral Agent’s Fees and Expenses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Effectiveness; Successors and Assigns; Several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Consent to Service of Process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WAIVER OF RIGHT TO TRIAL BY JURY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 Absolute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or Release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Grantors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Collateral Agent Appointed Attorney-in-Fact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General Authority of the Collateral Agent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8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16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0"/>
              <w:jc w:val="left"/>
              <w:rPr>
                <w:rFonts w:ascii="Times New Roman" w:hAnsi="Times New Roman"/>
                <w:sz w:val="20"/>
              </w:rPr>
            </w:pPr>
            <w:r>
              <w:rPr>
                <w:rFonts w:ascii="Times New Roman" w:hAnsi="Times New Roman"/>
                <w:sz w:val="20"/>
              </w:rPr>
              <w:t>Recourse; Limited Obligations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82"/>
        <w:gridCol w:w="124"/>
        <w:gridCol w:w="7999"/>
      </w:tblGrid>
      <w:tr>
        <w:trPr/>
        <w:tc>
          <w:tcPr>
            <w:tcW w:w="208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999" w:type="dxa"/>
            <w:tcBorders/>
            <w:vAlign w:val="center"/>
          </w:tcPr>
          <w:p>
            <w:pPr>
              <w:pStyle w:val="TableContents"/>
              <w:bidi w:val="0"/>
              <w:spacing w:before="0" w:after="283"/>
              <w:jc w:val="left"/>
              <w:rPr>
                <w:sz w:val="4"/>
                <w:szCs w:val="4"/>
              </w:rPr>
            </w:pPr>
            <w:r>
              <w:rPr>
                <w:sz w:val="4"/>
                <w:szCs w:val="4"/>
              </w:rPr>
            </w:r>
          </w:p>
        </w:tc>
      </w:tr>
      <w:tr>
        <w:trPr/>
        <w:tc>
          <w:tcPr>
            <w:tcW w:w="2082" w:type="dxa"/>
            <w:tcBorders/>
          </w:tcPr>
          <w:p>
            <w:pPr>
              <w:pStyle w:val="TableContents"/>
              <w:bidi w:val="0"/>
              <w:spacing w:before="0" w:after="0"/>
              <w:jc w:val="left"/>
              <w:rPr>
                <w:rFonts w:ascii="Times New Roman" w:hAnsi="Times New Roman"/>
                <w:i/>
                <w:sz w:val="20"/>
              </w:rPr>
            </w:pPr>
            <w:r>
              <w:rPr>
                <w:rFonts w:ascii="Times New Roman" w:hAnsi="Times New Roman"/>
                <w:i/>
                <w:sz w:val="20"/>
              </w:rPr>
              <w:t>Schedules</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082" w:type="dxa"/>
            <w:tcBorders/>
            <w:vAlign w:val="center"/>
          </w:tcPr>
          <w:p>
            <w:pPr>
              <w:pStyle w:val="TableContents"/>
              <w:bidi w:val="0"/>
              <w:spacing w:before="0" w:after="283"/>
              <w:jc w:val="left"/>
              <w:rPr>
                <w:sz w:val="4"/>
                <w:szCs w:val="4"/>
              </w:rPr>
            </w:pPr>
            <w:r>
              <w:rPr>
                <w:sz w:val="4"/>
                <w:szCs w:val="4"/>
              </w:rPr>
            </w:r>
          </w:p>
        </w:tc>
        <w:tc>
          <w:tcPr>
            <w:tcW w:w="8123" w:type="dxa"/>
            <w:gridSpan w:val="2"/>
            <w:tcBorders/>
            <w:vAlign w:val="center"/>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Pledged Equity; Pledged Debt</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II</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Commercial Tort Claims</w:t>
            </w:r>
          </w:p>
        </w:tc>
      </w:tr>
      <w:tr>
        <w:trPr>
          <w:trHeight w:val="240" w:hRule="atLeast"/>
        </w:trPr>
        <w:tc>
          <w:tcPr>
            <w:tcW w:w="2082" w:type="dxa"/>
            <w:tcBorders/>
            <w:vAlign w:val="center"/>
          </w:tcPr>
          <w:p>
            <w:pPr>
              <w:pStyle w:val="TableContents"/>
              <w:bidi w:val="0"/>
              <w:spacing w:before="0" w:after="283"/>
              <w:jc w:val="left"/>
              <w:rPr>
                <w:sz w:val="4"/>
                <w:szCs w:val="4"/>
              </w:rPr>
            </w:pPr>
            <w:r>
              <w:rPr>
                <w:sz w:val="4"/>
                <w:szCs w:val="4"/>
              </w:rPr>
            </w:r>
          </w:p>
        </w:tc>
        <w:tc>
          <w:tcPr>
            <w:tcW w:w="8123" w:type="dxa"/>
            <w:gridSpan w:val="2"/>
            <w:tcBorders/>
            <w:vAlign w:val="center"/>
          </w:tcPr>
          <w:p>
            <w:pPr>
              <w:pStyle w:val="TableContents"/>
              <w:bidi w:val="0"/>
              <w:spacing w:before="0" w:after="283"/>
              <w:jc w:val="left"/>
              <w:rPr>
                <w:sz w:val="4"/>
                <w:szCs w:val="4"/>
              </w:rPr>
            </w:pPr>
            <w:r>
              <w:rPr>
                <w:sz w:val="4"/>
                <w:szCs w:val="4"/>
              </w:rPr>
            </w:r>
          </w:p>
        </w:tc>
      </w:tr>
      <w:tr>
        <w:trPr/>
        <w:tc>
          <w:tcPr>
            <w:tcW w:w="2082" w:type="dxa"/>
            <w:tcBorders/>
          </w:tcPr>
          <w:p>
            <w:pPr>
              <w:pStyle w:val="TableContents"/>
              <w:bidi w:val="0"/>
              <w:spacing w:before="0" w:after="0"/>
              <w:jc w:val="left"/>
              <w:rPr>
                <w:rFonts w:ascii="Times New Roman" w:hAnsi="Times New Roman"/>
                <w:i/>
                <w:sz w:val="20"/>
              </w:rPr>
            </w:pPr>
            <w:r>
              <w:rPr>
                <w:rFonts w:ascii="Times New Roman" w:hAnsi="Times New Roman"/>
                <w:i/>
                <w:sz w:val="20"/>
              </w:rPr>
              <w:t>Exhibits</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082" w:type="dxa"/>
            <w:tcBorders/>
            <w:vAlign w:val="center"/>
          </w:tcPr>
          <w:p>
            <w:pPr>
              <w:pStyle w:val="TableContents"/>
              <w:bidi w:val="0"/>
              <w:spacing w:before="0" w:after="283"/>
              <w:jc w:val="left"/>
              <w:rPr>
                <w:sz w:val="4"/>
                <w:szCs w:val="4"/>
              </w:rPr>
            </w:pPr>
            <w:r>
              <w:rPr>
                <w:sz w:val="4"/>
                <w:szCs w:val="4"/>
              </w:rPr>
            </w:r>
          </w:p>
        </w:tc>
        <w:tc>
          <w:tcPr>
            <w:tcW w:w="8123" w:type="dxa"/>
            <w:gridSpan w:val="2"/>
            <w:tcBorders/>
            <w:vAlign w:val="center"/>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Security Agreement Supplement</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II</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Perfection Certificate</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III</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Patent Security Agreement</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IV</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Trademark Security Agreement</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V</w:t>
            </w:r>
          </w:p>
        </w:tc>
        <w:tc>
          <w:tcPr>
            <w:tcW w:w="124" w:type="dxa"/>
            <w:tcBorders/>
            <w:vAlign w:val="bottom"/>
          </w:tcPr>
          <w:p>
            <w:pPr>
              <w:pStyle w:val="TableContents"/>
              <w:bidi w:val="0"/>
              <w:spacing w:before="0" w:after="283"/>
              <w:jc w:val="left"/>
              <w:rPr/>
            </w:pPr>
            <w:r>
              <w:rPr/>
              <w:t>  </w:t>
            </w:r>
          </w:p>
        </w:tc>
        <w:tc>
          <w:tcPr>
            <w:tcW w:w="7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Copyright Security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PLEDGE AND SECURITY AGREEMENT (this “</w:t>
      </w:r>
      <w:r>
        <w:rPr>
          <w:rFonts w:ascii="Times New Roman" w:hAnsi="Times New Roman"/>
          <w:b/>
          <w:sz w:val="20"/>
        </w:rPr>
        <w:t>Agreement</w:t>
      </w:r>
      <w:r>
        <w:rPr>
          <w:rFonts w:ascii="Times New Roman" w:hAnsi="Times New Roman"/>
          <w:sz w:val="20"/>
        </w:rPr>
        <w:t>”) dated as of September 28, 2026, among SABRE FINANCING HOLDINGS LLC, a Delaware limited liability company (“</w:t>
      </w:r>
      <w:r>
        <w:rPr>
          <w:rFonts w:ascii="Times New Roman" w:hAnsi="Times New Roman"/>
          <w:b/>
          <w:sz w:val="20"/>
        </w:rPr>
        <w:t>Holdings</w:t>
      </w:r>
      <w:r>
        <w:rPr>
          <w:rFonts w:ascii="Times New Roman" w:hAnsi="Times New Roman"/>
          <w:sz w:val="20"/>
        </w:rPr>
        <w:t>”), SABRE FINANCIAL BORROWER, LLC, a Delaware limited liability company (the “</w:t>
      </w:r>
      <w:r>
        <w:rPr>
          <w:rFonts w:ascii="Times New Roman" w:hAnsi="Times New Roman"/>
          <w:b/>
          <w:sz w:val="20"/>
        </w:rPr>
        <w:t>Company</w:t>
      </w:r>
      <w:r>
        <w:rPr>
          <w:rFonts w:ascii="Times New Roman" w:hAnsi="Times New Roman"/>
          <w:sz w:val="20"/>
        </w:rPr>
        <w:t>”) and WILMINGTON TRUST, NATIONAL ASSOCIATION, as collateral agent under the Indenture for the Secured Parties (each as defined below) (in such capacity and together with its successors and assigns, the “</w:t>
      </w:r>
      <w:r>
        <w:rPr>
          <w:rFonts w:ascii="Times New Roman" w:hAnsi="Times New Roman"/>
          <w:b/>
          <w:sz w:val="20"/>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made to the Indenture dated as of September 28, 2026 (as amended, supplemented or otherwise modified from time to time, the “</w:t>
      </w:r>
      <w:r>
        <w:rPr>
          <w:rFonts w:ascii="Times New Roman" w:hAnsi="Times New Roman"/>
          <w:b/>
          <w:sz w:val="20"/>
        </w:rPr>
        <w:t>Indenture</w:t>
      </w:r>
      <w:r>
        <w:rPr>
          <w:rFonts w:ascii="Times New Roman" w:hAnsi="Times New Roman"/>
          <w:sz w:val="20"/>
        </w:rPr>
        <w:t>”), among the Company, Holdings, the Subsidiary Guarantors, the Collateral Agent and Wilmington Trust, National Association, as trustee (in such capacity, and together with its successors and assigns, the “</w:t>
      </w:r>
      <w:r>
        <w:rPr>
          <w:rFonts w:ascii="Times New Roman" w:hAnsi="Times New Roman"/>
          <w:b/>
          <w:sz w:val="20"/>
        </w:rPr>
        <w:t>Trustee</w:t>
      </w:r>
      <w:r>
        <w:rPr>
          <w:rFonts w:ascii="Times New Roman" w:hAnsi="Times New Roman"/>
          <w:sz w:val="20"/>
        </w:rPr>
        <w:t>”) pursuant to which the Company’s 9.875% senior secured notes due 2032 (the “</w:t>
      </w:r>
      <w:r>
        <w:rPr>
          <w:rFonts w:ascii="Times New Roman" w:hAnsi="Times New Roman"/>
          <w:b/>
          <w:sz w:val="20"/>
        </w:rPr>
        <w:t>Notes</w:t>
      </w:r>
      <w:r>
        <w:rPr>
          <w:rFonts w:ascii="Times New Roman" w:hAnsi="Times New Roman"/>
          <w:sz w:val="20"/>
        </w:rPr>
        <w:t xml:space="preserve">”) were issued. Each of Holdings and each Subsidiary party hereto is an affiliate of the Company and will derive substantial benefits from the issuance of the Notes by the Company pursuant to the Indenture. In order to secure the payment of all principal of and interest and premium, if any, on the Notes, and the payment and performance of all other Obligations under the Indenture and all of the Grantors’ obligations and liabilities hereunder and in connection herewith, each Grantor is willing to execute and deliver this Agreement. Accordingly,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Indenture. </w:t>
      </w:r>
    </w:p>
    <w:p>
      <w:pPr>
        <w:pStyle w:val="TextBody"/>
        <w:bidi w:val="0"/>
        <w:spacing w:before="240" w:after="0"/>
        <w:jc w:val="left"/>
        <w:rPr>
          <w:rFonts w:ascii="Times New Roman" w:hAnsi="Times New Roman"/>
          <w:sz w:val="20"/>
        </w:rPr>
      </w:pPr>
      <w:r>
        <w:rPr>
          <w:rFonts w:ascii="Times New Roman" w:hAnsi="Times New Roman"/>
          <w:sz w:val="20"/>
        </w:rPr>
        <w:t>(a) Capitalized terms used in this Agreement and not otherwise defined herein have the meanings specified in the Indenture. All terms defined in the New York UCC (as defined herein) and not defined in this Agreement have the meanings specified therein; the term “</w:t>
      </w:r>
      <w:r>
        <w:rPr>
          <w:rFonts w:ascii="Times New Roman" w:hAnsi="Times New Roman"/>
          <w:b/>
          <w:sz w:val="20"/>
        </w:rPr>
        <w:t>instrument</w:t>
      </w:r>
      <w:r>
        <w:rPr>
          <w:rFonts w:ascii="Times New Roman" w:hAnsi="Times New Roman"/>
          <w:sz w:val="20"/>
        </w:rPr>
        <w:t xml:space="preserve">” shall have the meaning specified in Article 9 of the New York UCC. </w:t>
      </w:r>
    </w:p>
    <w:p>
      <w:pPr>
        <w:pStyle w:val="TextBody"/>
        <w:bidi w:val="0"/>
        <w:spacing w:before="240" w:after="0"/>
        <w:jc w:val="left"/>
        <w:rPr>
          <w:rFonts w:ascii="Times New Roman" w:hAnsi="Times New Roman"/>
          <w:sz w:val="20"/>
        </w:rPr>
      </w:pPr>
      <w:r>
        <w:rPr>
          <w:rFonts w:ascii="Times New Roman" w:hAnsi="Times New Roman"/>
          <w:sz w:val="20"/>
        </w:rPr>
        <w:t xml:space="preserve">(b) The rules of construction specified in Article I of the Indenture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Defined Terms</w:t>
      </w:r>
      <w:r>
        <w:rPr>
          <w:rFonts w:ascii="Times New Roman" w:hAnsi="Times New Roman"/>
          <w:sz w:val="20"/>
        </w:rPr>
        <w:t xml:space="preserve">. As used in this Agreement, the following terms have the meanings specified below: </w:t>
      </w:r>
    </w:p>
    <w:p>
      <w:pPr>
        <w:pStyle w:val="TextBody"/>
        <w:bidi w:val="0"/>
        <w:spacing w:before="120" w:after="0"/>
        <w:jc w:val="left"/>
        <w:rPr/>
      </w:pPr>
      <w:r>
        <w:rPr/>
        <w:t>“</w:t>
      </w:r>
      <w:r>
        <w:rPr>
          <w:rFonts w:ascii="Times New Roman" w:hAnsi="Times New Roman"/>
          <w:b/>
          <w:sz w:val="20"/>
        </w:rPr>
        <w:t>Account Debtor</w:t>
      </w:r>
      <w:r>
        <w:rPr>
          <w:rFonts w:ascii="Times New Roman" w:hAnsi="Times New Roman"/>
          <w:sz w:val="20"/>
        </w:rPr>
        <w:t xml:space="preserve">” means any Person who is or who may become obligated to any Grantor under, with respect to or on account of an Account. </w:t>
      </w:r>
    </w:p>
    <w:p>
      <w:pPr>
        <w:pStyle w:val="TextBody"/>
        <w:bidi w:val="0"/>
        <w:spacing w:before="240" w:after="0"/>
        <w:jc w:val="left"/>
        <w:rPr/>
      </w:pPr>
      <w:r>
        <w:rPr/>
        <w:t>“</w:t>
      </w:r>
      <w:r>
        <w:rPr>
          <w:rFonts w:ascii="Times New Roman" w:hAnsi="Times New Roman"/>
          <w:b/>
          <w:sz w:val="20"/>
        </w:rPr>
        <w:t>Accounts</w:t>
      </w:r>
      <w:r>
        <w:rPr>
          <w:rFonts w:ascii="Times New Roman" w:hAnsi="Times New Roman"/>
          <w:sz w:val="20"/>
        </w:rPr>
        <w:t xml:space="preserve">” has the meaning specified in Article 9 of the New York UCC.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Pledge and Security Agreement. </w:t>
      </w:r>
    </w:p>
    <w:p>
      <w:pPr>
        <w:pStyle w:val="TextBody"/>
        <w:bidi w:val="0"/>
        <w:spacing w:before="240" w:after="0"/>
        <w:jc w:val="left"/>
        <w:rPr/>
      </w:pPr>
      <w:r>
        <w:rPr/>
        <w:t>“</w:t>
      </w:r>
      <w:r>
        <w:rPr>
          <w:rFonts w:ascii="Times New Roman" w:hAnsi="Times New Roman"/>
          <w:b/>
          <w:sz w:val="20"/>
        </w:rPr>
        <w:t>Article 9 Collateral</w:t>
      </w:r>
      <w:r>
        <w:rPr>
          <w:rFonts w:ascii="Times New Roman" w:hAnsi="Times New Roman"/>
          <w:sz w:val="20"/>
        </w:rPr>
        <w:t xml:space="preserve">” has the meaning assigned to such term in Section 3.01(a).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Claiming Party”</w:t>
      </w:r>
      <w:r>
        <w:rPr>
          <w:rFonts w:ascii="Times New Roman" w:hAnsi="Times New Roman"/>
          <w:sz w:val="20"/>
        </w:rPr>
        <w:t xml:space="preserve"> has the meaning assigned to such term in Section 5.02.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means the Article 9 Collateral and the Pledged Collateral. </w:t>
      </w:r>
    </w:p>
    <w:p>
      <w:pPr>
        <w:pStyle w:val="TextBody"/>
        <w:bidi w:val="0"/>
        <w:spacing w:before="240" w:after="0"/>
        <w:jc w:val="left"/>
        <w:rPr/>
      </w:pPr>
      <w:r>
        <w:rPr/>
        <w:t>“</w:t>
      </w:r>
      <w:r>
        <w:rPr>
          <w:rFonts w:ascii="Times New Roman" w:hAnsi="Times New Roman"/>
          <w:b/>
          <w:sz w:val="20"/>
        </w:rPr>
        <w:t>Commercial Tort Claim</w:t>
      </w:r>
      <w:r>
        <w:rPr>
          <w:rFonts w:ascii="Times New Roman" w:hAnsi="Times New Roman"/>
          <w:sz w:val="20"/>
        </w:rPr>
        <w:t xml:space="preserve">” has the meaning specified in Article 9 of the New York UCC. </w:t>
      </w:r>
    </w:p>
    <w:p>
      <w:pPr>
        <w:pStyle w:val="TextBody"/>
        <w:bidi w:val="0"/>
        <w:spacing w:before="240" w:after="0"/>
        <w:jc w:val="left"/>
        <w:rPr/>
      </w:pPr>
      <w:r>
        <w:rPr/>
        <w:t>“</w:t>
      </w:r>
      <w:r>
        <w:rPr>
          <w:rFonts w:ascii="Times New Roman" w:hAnsi="Times New Roman"/>
          <w:b/>
          <w:sz w:val="20"/>
        </w:rPr>
        <w:t>Copyright License</w:t>
      </w:r>
      <w:r>
        <w:rPr>
          <w:rFonts w:ascii="Times New Roman" w:hAnsi="Times New Roman"/>
          <w:sz w:val="20"/>
        </w:rPr>
        <w:t xml:space="preserve">” means any written agreement, now or hereafter in effect, granting any right to any third party under any copyright now or hereafter owned by any Grantor or that such Grantor otherwise has the right to license, or granting any right to any Grantor under any copyright now or hereafter owned by any third party, and all rights of such Grantor under any such agreement.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means all of the following now owned or hereafter acquired by any Grantor: (a) all copyrights in any work subject to the copyright laws of the United States or any other country, whether as author, assignee, transferee or otherwise, and (b) all registrations and applications for registration of any such copyrights in the United States or any other country, including registrations, recordings, supplemental registrations and pending applications for registration in the USCO or any foreign equivalent office. </w:t>
      </w:r>
    </w:p>
    <w:p>
      <w:pPr>
        <w:pStyle w:val="TextBody"/>
        <w:bidi w:val="0"/>
        <w:spacing w:before="240" w:after="0"/>
        <w:jc w:val="left"/>
        <w:rPr/>
      </w:pPr>
      <w:r>
        <w:rPr/>
        <w:t>“</w:t>
      </w:r>
      <w:r>
        <w:rPr>
          <w:rFonts w:ascii="Times New Roman" w:hAnsi="Times New Roman"/>
          <w:b/>
          <w:sz w:val="20"/>
        </w:rPr>
        <w:t>Contributing Party</w:t>
      </w:r>
      <w:r>
        <w:rPr>
          <w:rFonts w:ascii="Times New Roman" w:hAnsi="Times New Roman"/>
          <w:sz w:val="20"/>
        </w:rPr>
        <w:t xml:space="preserve">” has the meaning assigned to such term in Section 5.02. </w:t>
      </w:r>
    </w:p>
    <w:p>
      <w:pPr>
        <w:pStyle w:val="TextBody"/>
        <w:bidi w:val="0"/>
        <w:spacing w:before="240" w:after="0"/>
        <w:jc w:val="left"/>
        <w:rPr/>
      </w:pPr>
      <w:r>
        <w:rPr/>
        <w:t>“</w:t>
      </w:r>
      <w:r>
        <w:rPr>
          <w:rFonts w:ascii="Times New Roman" w:hAnsi="Times New Roman"/>
          <w:b/>
          <w:sz w:val="20"/>
        </w:rPr>
        <w:t>Dollar Amount</w:t>
      </w:r>
      <w:r>
        <w:rPr>
          <w:rFonts w:ascii="Times New Roman" w:hAnsi="Times New Roman"/>
          <w:sz w:val="20"/>
        </w:rPr>
        <w:t xml:space="preserve">” means, with respect to any Indebtedness denominated in United States dollars, the principal amount thereof then outstanding. </w:t>
      </w:r>
    </w:p>
    <w:p>
      <w:pPr>
        <w:pStyle w:val="TextBody"/>
        <w:bidi w:val="0"/>
        <w:spacing w:before="240" w:after="0"/>
        <w:jc w:val="left"/>
        <w:rPr/>
      </w:pPr>
      <w:r>
        <w:rPr/>
        <w:t>“</w:t>
      </w:r>
      <w:r>
        <w:rPr>
          <w:rFonts w:ascii="Times New Roman" w:hAnsi="Times New Roman"/>
          <w:b/>
          <w:sz w:val="20"/>
        </w:rPr>
        <w:t>Excluded Assets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letter-of-credit rights; </w:t>
      </w:r>
    </w:p>
    <w:p>
      <w:pPr>
        <w:pStyle w:val="TextBody"/>
        <w:bidi w:val="0"/>
        <w:spacing w:before="240" w:after="0"/>
        <w:jc w:val="left"/>
        <w:rPr>
          <w:rFonts w:ascii="Times New Roman" w:hAnsi="Times New Roman"/>
          <w:sz w:val="20"/>
        </w:rPr>
      </w:pPr>
      <w:r>
        <w:rPr>
          <w:rFonts w:ascii="Times New Roman" w:hAnsi="Times New Roman"/>
          <w:sz w:val="20"/>
        </w:rPr>
        <w:t xml:space="preserve">(b) any Securitization Assets; </w:t>
      </w:r>
    </w:p>
    <w:p>
      <w:pPr>
        <w:pStyle w:val="TextBody"/>
        <w:bidi w:val="0"/>
        <w:spacing w:before="240" w:after="0"/>
        <w:jc w:val="left"/>
        <w:rPr>
          <w:rFonts w:ascii="Times New Roman" w:hAnsi="Times New Roman"/>
          <w:sz w:val="20"/>
        </w:rPr>
      </w:pPr>
      <w:r>
        <w:rPr>
          <w:rFonts w:ascii="Times New Roman" w:hAnsi="Times New Roman"/>
          <w:sz w:val="20"/>
        </w:rPr>
        <w:t xml:space="preserve">(c) any motor vehicles and other assets subject to certificates of title; </w:t>
      </w:r>
    </w:p>
    <w:p>
      <w:pPr>
        <w:pStyle w:val="TextBody"/>
        <w:bidi w:val="0"/>
        <w:spacing w:before="240" w:after="0"/>
        <w:jc w:val="left"/>
        <w:rPr>
          <w:rFonts w:ascii="Times New Roman" w:hAnsi="Times New Roman"/>
          <w:sz w:val="20"/>
        </w:rPr>
      </w:pPr>
      <w:r>
        <w:rPr>
          <w:rFonts w:ascii="Times New Roman" w:hAnsi="Times New Roman"/>
          <w:sz w:val="20"/>
        </w:rPr>
        <w:t xml:space="preserve">(d) any real property that is not a Material Real Property; </w:t>
      </w:r>
    </w:p>
    <w:p>
      <w:pPr>
        <w:pStyle w:val="TextBody"/>
        <w:bidi w:val="0"/>
        <w:spacing w:before="240" w:after="0"/>
        <w:jc w:val="left"/>
        <w:rPr>
          <w:rFonts w:ascii="Times New Roman" w:hAnsi="Times New Roman"/>
          <w:sz w:val="20"/>
        </w:rPr>
      </w:pPr>
      <w:r>
        <w:rPr>
          <w:rFonts w:ascii="Times New Roman" w:hAnsi="Times New Roman"/>
          <w:sz w:val="20"/>
        </w:rPr>
        <w:t xml:space="preserve">(e) any leasehold interests; </w:t>
      </w:r>
    </w:p>
    <w:p>
      <w:pPr>
        <w:pStyle w:val="TextBody"/>
        <w:bidi w:val="0"/>
        <w:spacing w:before="240" w:after="0"/>
        <w:jc w:val="left"/>
        <w:rPr>
          <w:rFonts w:ascii="Times New Roman" w:hAnsi="Times New Roman"/>
          <w:sz w:val="20"/>
        </w:rPr>
      </w:pPr>
      <w:r>
        <w:rPr>
          <w:rFonts w:ascii="Times New Roman" w:hAnsi="Times New Roman"/>
          <w:sz w:val="20"/>
        </w:rPr>
        <w:t xml:space="preserve">(f) any assets or properties that are acquired in a transaction not prohibited by the Indenture, so long as such assets or properties are subject to a Lien permitted by paragraphs 8 or 9 of the definition of Permitted Liens in the Indenture, which Liens secure Indebtedness that is permitted by the Indenture to be incurred or assumed in connection with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(g) any Intellectual Property whose pledge would result in the forfeiture of the Grantors’ rights in such property including, without limitation, any Trademark applications filed in the USPTO on the basis of such Grantor’s “intent-to-use” such Trademark, unless and until acceptable evidence of use of such Trademark has been filed with the USPTO pursuant to Section 1(c) or Section 1(d) of the Lanham Act (15 U.S.C. 1051, et seq.), to the extent that granting a lien in such Trademark application prior to such filing would adversely affect the enforceability or validity of such Trademark application or any registration issuing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General Intangible, Investment Property or other rights of a Grantor arising under any contract, lease, instrument, license or other document or any assets subject thereto if but only to the extent that and so long as the grant of a security interest therein would (x) constitute a violation or abandonment of, or render unenforceable, a valid and enforceable restriction in respect of such General Intangible, Investment Property or other such rights in favor of a third party or under any law, regulation, permit, order or decree of any Governmental Authority (for the avoidance of doubt, the restrictions described herein shall not include negative pledges or similar undertakings in favor of a lender or other financial counterparty), or (y) expressly give any other party in respect of any such contract, lease, instrument, license or other document, the right to terminate its obligations thereunder, provided, however, that the limitation set forth in this clause (h) shall not affect, limit, restrict or impair the grant by a Grantor of a security interest pursuant to this Agreement in any such Collateral to the extent that an otherwise applicable prohibition or restriction on such grant is rendered ineffective pursuant to Section 9-406, 9-407, 9-408 or 9-409 of the Uniform Commercial Code of any relevant jurisdiction or any other applicable law or principles of equity and provided, further, that, at such time as the condition causing the conditions in subclauses (x) and (y) of this clause (h) shall be remedied, whether by contract, change of law or otherwise, the contract, lease, instrument, license or other documents shall immediately cease to be an Excluded Asset, and any security interest that would otherwise be granted herein shall attach immediately to such contract, lease, instrument, license or other document, or to the extent severable, to any portion thereof that does not result in any of the conditions in (x) or (y) above; </w:t>
      </w:r>
    </w:p>
    <w:p>
      <w:pPr>
        <w:pStyle w:val="TextBody"/>
        <w:bidi w:val="0"/>
        <w:spacing w:before="240" w:after="0"/>
        <w:jc w:val="left"/>
        <w:rPr>
          <w:rFonts w:ascii="Times New Roman" w:hAnsi="Times New Roman"/>
          <w:sz w:val="20"/>
        </w:rPr>
      </w:pPr>
      <w:r>
        <w:rPr>
          <w:rFonts w:ascii="Times New Roman" w:hAnsi="Times New Roman"/>
          <w:sz w:val="20"/>
        </w:rPr>
        <w:t xml:space="preserve">(i) any assets the pledge of which is prohibited by law or by agreements containing anti-assignment clauses not overridden by the Uniform Commercial Code or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(j) any asset with respect to which the Company has reasonably determined in writing that the costs of providing a security interest in such asset or perfection thereof is excessive in view of the benefits to be obtained by the Collateral Agent (but only to the extent that and for so long as any such asset is not subject to a Lien securing any other First Lien Obligations); and </w:t>
      </w:r>
    </w:p>
    <w:p>
      <w:pPr>
        <w:pStyle w:val="TextBody"/>
        <w:bidi w:val="0"/>
        <w:spacing w:before="240" w:after="0"/>
        <w:jc w:val="left"/>
        <w:rPr>
          <w:rFonts w:ascii="Times New Roman" w:hAnsi="Times New Roman"/>
          <w:sz w:val="20"/>
        </w:rPr>
      </w:pPr>
      <w:r>
        <w:rPr>
          <w:rFonts w:ascii="Times New Roman" w:hAnsi="Times New Roman"/>
          <w:sz w:val="20"/>
        </w:rPr>
        <w:t xml:space="preserve">(i) any LC Assets. </w:t>
      </w:r>
    </w:p>
    <w:p>
      <w:pPr>
        <w:pStyle w:val="TextBody"/>
        <w:bidi w:val="0"/>
        <w:spacing w:before="240" w:after="0"/>
        <w:jc w:val="left"/>
        <w:rPr/>
      </w:pPr>
      <w:r>
        <w:rPr/>
        <w:t>“</w:t>
      </w:r>
      <w:r>
        <w:rPr>
          <w:rFonts w:ascii="Times New Roman" w:hAnsi="Times New Roman"/>
          <w:b/>
          <w:sz w:val="20"/>
        </w:rPr>
        <w:t>General Intangibles</w:t>
      </w:r>
      <w:r>
        <w:rPr>
          <w:rFonts w:ascii="Times New Roman" w:hAnsi="Times New Roman"/>
          <w:sz w:val="20"/>
        </w:rPr>
        <w:t xml:space="preserve">” has the meaning specified in Article 9 of the New York UCC and includes for the avoidance of doubt corporate or other business records, indemnification claims, contract rights (including rights under leases, whether entered into as lessor or lessee, Hedging Obligations and other agreements), goodwill, Intellectual Property, registrations, franchises, tax refund claims and any letter of credit, guarantee, claim, security interest or other security held by or granted to any Grantor, as the case may be, to secure payment by an Account Debtor of any of the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Governmental Authority</w:t>
      </w:r>
      <w:r>
        <w:rPr>
          <w:rFonts w:ascii="Times New Roman" w:hAnsi="Times New Roman"/>
          <w:sz w:val="20"/>
        </w:rPr>
        <w:t xml:space="preserve">”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pertaining to government. </w:t>
      </w:r>
    </w:p>
    <w:p>
      <w:pPr>
        <w:pStyle w:val="TextBody"/>
        <w:bidi w:val="0"/>
        <w:spacing w:before="240" w:after="0"/>
        <w:jc w:val="left"/>
        <w:rPr/>
      </w:pPr>
      <w:r>
        <w:rPr/>
        <w:t>“</w:t>
      </w:r>
      <w:r>
        <w:rPr>
          <w:rFonts w:ascii="Times New Roman" w:hAnsi="Times New Roman"/>
          <w:b/>
          <w:sz w:val="20"/>
        </w:rPr>
        <w:t>Grantor</w:t>
      </w:r>
      <w:r>
        <w:rPr>
          <w:rFonts w:ascii="Times New Roman" w:hAnsi="Times New Roman"/>
          <w:sz w:val="20"/>
        </w:rPr>
        <w:t xml:space="preserve">” means each of Holdings, the Company and the Subsidiary Guarantors that are required to execute and deliver a Security Agreement Supplement pursuant to the terms hereof. </w:t>
      </w:r>
    </w:p>
    <w:p>
      <w:pPr>
        <w:pStyle w:val="TextBody"/>
        <w:bidi w:val="0"/>
        <w:spacing w:before="240" w:after="0"/>
        <w:jc w:val="left"/>
        <w:rPr/>
      </w:pPr>
      <w:r>
        <w:rPr/>
        <w:t>“</w:t>
      </w:r>
      <w:r>
        <w:rPr>
          <w:rFonts w:ascii="Times New Roman" w:hAnsi="Times New Roman"/>
          <w:b/>
          <w:sz w:val="20"/>
        </w:rPr>
        <w:t>Indemnitee</w:t>
      </w:r>
      <w:r>
        <w:rPr>
          <w:rFonts w:ascii="Times New Roman" w:hAnsi="Times New Roman"/>
          <w:sz w:val="20"/>
        </w:rPr>
        <w:t xml:space="preserve">” means each Secured Party and each director, officer or employee thereof.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has the meaning assigned to such term in the preliminary statement of this Agreement.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means (i) all intellectual and similar property of every kind and nature now owned or hereafter acquired by any Grantor, including inventions, designs, Patents, Copyrights, Licenses, Trademarks, trade secrets, confidential or proprietary technical and business information, know-how, show-how or other data or information, the intellectual property rights in software and databases and related documentation, domain names and all additions, improvements and accessions to, and books and records describing any of the foregoing, (ii) all Proceeds of the foregoing, including all income, fees, royalties, damages, claims and payments now and hereafter due and/or payable thereunder and with respect thereto including damages and payments for past, present or future infringements, misappropriations, dilutions or other violations thereof, (iii) all rights to sue for past, present and future infringements, misappropriations, dilutions, or other violations thereof, and (iv) all other rights, priorities and privileges arising thereunder or pertaining thereto throughout the world. </w:t>
      </w:r>
    </w:p>
    <w:p>
      <w:pPr>
        <w:pStyle w:val="TextBody"/>
        <w:bidi w:val="0"/>
        <w:spacing w:before="240" w:after="0"/>
        <w:jc w:val="left"/>
        <w:rPr/>
      </w:pPr>
      <w:r>
        <w:rPr/>
        <w:t>“</w:t>
      </w:r>
      <w:r>
        <w:rPr>
          <w:rFonts w:ascii="Times New Roman" w:hAnsi="Times New Roman"/>
          <w:b/>
          <w:sz w:val="20"/>
        </w:rPr>
        <w:t>Intellectual Property Security Agreements</w:t>
      </w:r>
      <w:r>
        <w:rPr>
          <w:rFonts w:ascii="Times New Roman" w:hAnsi="Times New Roman"/>
          <w:sz w:val="20"/>
        </w:rPr>
        <w:t xml:space="preserve">” means the short-form Patent Security Agreement, short-form Trademark Security Agreement, and short-form Copyright Security Agreement, each substantially in the form attached hereto as Exhibits III, IV and V, respectively. </w:t>
      </w:r>
    </w:p>
    <w:p>
      <w:pPr>
        <w:pStyle w:val="TextBody"/>
        <w:bidi w:val="0"/>
        <w:spacing w:before="240" w:after="0"/>
        <w:jc w:val="left"/>
        <w:rPr/>
      </w:pPr>
      <w:r>
        <w:rPr/>
        <w:t>“</w:t>
      </w:r>
      <w:r>
        <w:rPr>
          <w:rFonts w:ascii="Times New Roman" w:hAnsi="Times New Roman"/>
          <w:b/>
          <w:sz w:val="20"/>
        </w:rPr>
        <w:t>Intercompany Note</w:t>
      </w:r>
      <w:r>
        <w:rPr>
          <w:rFonts w:ascii="Times New Roman" w:hAnsi="Times New Roman"/>
          <w:sz w:val="20"/>
        </w:rPr>
        <w:t xml:space="preserve">” means the Intercompany Note dated as of September 28, 2026, among the Company, Holdings and each entity listed as a Payor (as defined in the Intercompany Note) thereto and each entity listed as a Payee (as defined in the Intercompany Note) thereto. </w:t>
      </w:r>
    </w:p>
    <w:p>
      <w:pPr>
        <w:pStyle w:val="TextBody"/>
        <w:bidi w:val="0"/>
        <w:spacing w:before="240" w:after="0"/>
        <w:jc w:val="left"/>
        <w:rPr/>
      </w:pPr>
      <w:r>
        <w:rPr/>
        <w:t>“</w:t>
      </w:r>
      <w:r>
        <w:rPr>
          <w:rFonts w:ascii="Times New Roman" w:hAnsi="Times New Roman"/>
          <w:b/>
          <w:sz w:val="20"/>
        </w:rPr>
        <w:t>Investment Property</w:t>
      </w:r>
      <w:r>
        <w:rPr>
          <w:rFonts w:ascii="Times New Roman" w:hAnsi="Times New Roman"/>
          <w:sz w:val="20"/>
        </w:rPr>
        <w:t xml:space="preserve">” has the meaning specified in Article 9 of the New York UCC, but shall not include any Pledged Collateral. </w:t>
      </w:r>
    </w:p>
    <w:p>
      <w:pPr>
        <w:pStyle w:val="TextBody"/>
        <w:bidi w:val="0"/>
        <w:spacing w:before="240" w:after="0"/>
        <w:jc w:val="left"/>
        <w:rPr/>
      </w:pPr>
      <w:r>
        <w:rPr/>
        <w:t>“</w:t>
      </w:r>
      <w:r>
        <w:rPr>
          <w:rFonts w:ascii="Times New Roman" w:hAnsi="Times New Roman"/>
          <w:b/>
          <w:sz w:val="20"/>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LC Assets</w:t>
      </w:r>
      <w:r>
        <w:rPr>
          <w:rFonts w:ascii="Times New Roman" w:hAnsi="Times New Roman"/>
          <w:sz w:val="20"/>
        </w:rPr>
        <w:t xml:space="preserve">” has the meaning assigned to such term in the Indenture. </w:t>
      </w:r>
    </w:p>
    <w:p>
      <w:pPr>
        <w:pStyle w:val="TextBody"/>
        <w:bidi w:val="0"/>
        <w:spacing w:before="240" w:after="0"/>
        <w:jc w:val="left"/>
        <w:rPr/>
      </w:pPr>
      <w:r>
        <w:rPr/>
        <w:t>“</w:t>
      </w:r>
      <w:r>
        <w:rPr>
          <w:rFonts w:ascii="Times New Roman" w:hAnsi="Times New Roman"/>
          <w:b/>
          <w:sz w:val="20"/>
        </w:rPr>
        <w:t>License</w:t>
      </w:r>
      <w:r>
        <w:rPr>
          <w:rFonts w:ascii="Times New Roman" w:hAnsi="Times New Roman"/>
          <w:sz w:val="20"/>
        </w:rPr>
        <w:t xml:space="preserve">” means any Patent License, Trademark License, Copyright License or other Intellectual Property license or sublicense agreement to which any Grantor is a party, together with any and all (i) renewals, extensions, supplements and continuations thereof, (ii) income, fees, royalties, damages, claims and payments now and hereafter due and/or payable thereunder and with respect thereto including damages and payments for past, present or future infringements or violations thereof, and (iii) rights to sue for past, present and future violations thereof.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 circumstance or condition affecting the business, operations, assets, liabilities (actual or contingent) or financial condition of Holdings and its Subsidiaries, taken as a whole, that would materially adversely affect (a) the ability of the Company and Holdings (taken as a whole) to perform their respective obligations under the Indenture or (b) the rights and remedies of the Trustee or the Collateral Agent under the Indenture or any Security Document. </w:t>
      </w:r>
    </w:p>
    <w:p>
      <w:pPr>
        <w:pStyle w:val="TextBody"/>
        <w:bidi w:val="0"/>
        <w:spacing w:before="240" w:after="0"/>
        <w:jc w:val="left"/>
        <w:rPr/>
      </w:pPr>
      <w:r>
        <w:rPr/>
        <w:t>“</w:t>
      </w:r>
      <w:r>
        <w:rPr>
          <w:rFonts w:ascii="Times New Roman" w:hAnsi="Times New Roman"/>
          <w:b/>
          <w:sz w:val="20"/>
        </w:rPr>
        <w:t>Material Real Property</w:t>
      </w:r>
      <w:r>
        <w:rPr>
          <w:rFonts w:ascii="Times New Roman" w:hAnsi="Times New Roman"/>
          <w:sz w:val="20"/>
        </w:rPr>
        <w:t xml:space="preserve">” means any fee-owned parcel of real property (including fixtures) located in the United States owned by any Grantor (x) that is not located in a “special flood hazard zone” and (y) with a fair market value in excess of $20,000,000. </w:t>
      </w:r>
    </w:p>
    <w:p>
      <w:pPr>
        <w:pStyle w:val="TextBody"/>
        <w:bidi w:val="0"/>
        <w:spacing w:before="240" w:after="0"/>
        <w:jc w:val="left"/>
        <w:rPr/>
      </w:pPr>
      <w:r>
        <w:rPr/>
        <w:t>“</w:t>
      </w:r>
      <w:r>
        <w:rPr>
          <w:rFonts w:ascii="Times New Roman" w:hAnsi="Times New Roman"/>
          <w:b/>
          <w:sz w:val="20"/>
        </w:rPr>
        <w:t>New York UCC</w:t>
      </w:r>
      <w:r>
        <w:rPr>
          <w:rFonts w:ascii="Times New Roman" w:hAnsi="Times New Roman"/>
          <w:sz w:val="20"/>
        </w:rPr>
        <w:t xml:space="preserve">” means the Uniform Commercial Code as from time to time in effect in the State of New York.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has the meaning assigned to such term in the preliminary statement of this Agreement. For all purposes hereunder, the Notes shall include the Initial Notes (as defined in the Indenture).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“Notes Obligations” as defined in the Indenture. </w:t>
      </w:r>
    </w:p>
    <w:p>
      <w:pPr>
        <w:pStyle w:val="TextBody"/>
        <w:bidi w:val="0"/>
        <w:spacing w:before="240" w:after="0"/>
        <w:jc w:val="left"/>
        <w:rPr/>
      </w:pPr>
      <w:r>
        <w:rPr/>
        <w:t>“</w:t>
      </w:r>
      <w:r>
        <w:rPr>
          <w:rFonts w:ascii="Times New Roman" w:hAnsi="Times New Roman"/>
          <w:b/>
          <w:sz w:val="20"/>
        </w:rPr>
        <w:t>Patent License</w:t>
      </w:r>
      <w:r>
        <w:rPr>
          <w:rFonts w:ascii="Times New Roman" w:hAnsi="Times New Roman"/>
          <w:sz w:val="20"/>
        </w:rPr>
        <w:t xml:space="preserve">” means any written agreement, now or hereafter in effect, granting to any third party any right to 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any Grantor under any such agreement.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all of the following now owned or hereafter acquired by any Grantor: (a) all letters Patent of the United States or the equivalent thereof in any other country in or to which any Grantor now or hereafter has any right, title or interest therein, all registrations and recordings thereof, and all applications for letters Patent of the United States or the equivalent thereof in any other country, including registrations, recordings and pending applications in the USPTO or any similar offices in any other country, and (b) all reissues, continuations, divisions, continuations-in-part, renewals, or extensions thereof, and the inventions claimed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Perfection Certificate</w:t>
      </w:r>
      <w:r>
        <w:rPr>
          <w:rFonts w:ascii="Times New Roman" w:hAnsi="Times New Roman"/>
          <w:sz w:val="20"/>
        </w:rPr>
        <w:t xml:space="preserve">” means a certificate substantially in the form of Exhibit II, completed and supplemented with the schedules and attachments contemplated thereby, and as amended, updated, modified or supplemented from time to time, and duly executed as of the date hereof, and as of any subsequent delivery date as required pursuant to the Security Documents, by the chief financial officer or the chief legal officer of each of Holdings and the Company. </w:t>
      </w:r>
    </w:p>
    <w:p>
      <w:pPr>
        <w:pStyle w:val="TextBody"/>
        <w:bidi w:val="0"/>
        <w:spacing w:before="240" w:after="0"/>
        <w:jc w:val="left"/>
        <w:rPr/>
      </w:pPr>
      <w:r>
        <w:rPr/>
        <w:t>“</w:t>
      </w:r>
      <w:r>
        <w:rPr>
          <w:rFonts w:ascii="Times New Roman" w:hAnsi="Times New Roman"/>
          <w:b/>
          <w:sz w:val="20"/>
        </w:rPr>
        <w:t>Pledged Collateral</w:t>
      </w:r>
      <w:r>
        <w:rPr>
          <w:rFonts w:ascii="Times New Roman" w:hAnsi="Times New Roman"/>
          <w:sz w:val="20"/>
        </w:rPr>
        <w:t xml:space="preserve">” has the meaning assigned to such term in Section 2.01. </w:t>
      </w:r>
    </w:p>
    <w:p>
      <w:pPr>
        <w:pStyle w:val="TextBody"/>
        <w:bidi w:val="0"/>
        <w:spacing w:before="240" w:after="0"/>
        <w:jc w:val="left"/>
        <w:rPr/>
      </w:pPr>
      <w:r>
        <w:rPr/>
        <w:t>“</w:t>
      </w:r>
      <w:r>
        <w:rPr>
          <w:rFonts w:ascii="Times New Roman" w:hAnsi="Times New Roman"/>
          <w:b/>
          <w:sz w:val="20"/>
        </w:rPr>
        <w:t>Pledged Debt</w:t>
      </w:r>
      <w:r>
        <w:rPr>
          <w:rFonts w:ascii="Times New Roman" w:hAnsi="Times New Roman"/>
          <w:sz w:val="20"/>
        </w:rPr>
        <w:t xml:space="preserve">” has the meaning assigned to such term in Section 2.01. </w:t>
      </w:r>
    </w:p>
    <w:p>
      <w:pPr>
        <w:pStyle w:val="TextBody"/>
        <w:bidi w:val="0"/>
        <w:spacing w:before="240" w:after="0"/>
        <w:jc w:val="left"/>
        <w:rPr/>
      </w:pPr>
      <w:r>
        <w:rPr/>
        <w:t>“</w:t>
      </w:r>
      <w:r>
        <w:rPr>
          <w:rFonts w:ascii="Times New Roman" w:hAnsi="Times New Roman"/>
          <w:b/>
          <w:sz w:val="20"/>
        </w:rPr>
        <w:t>Pledged Equity</w:t>
      </w:r>
      <w:r>
        <w:rPr>
          <w:rFonts w:ascii="Times New Roman" w:hAnsi="Times New Roman"/>
          <w:sz w:val="20"/>
        </w:rPr>
        <w:t xml:space="preserve">” has the meaning assigned to such term in Section 2.01. </w:t>
      </w:r>
    </w:p>
    <w:p>
      <w:pPr>
        <w:pStyle w:val="TextBody"/>
        <w:bidi w:val="0"/>
        <w:spacing w:before="240" w:after="0"/>
        <w:jc w:val="left"/>
        <w:rPr/>
      </w:pPr>
      <w:r>
        <w:rPr/>
        <w:t>“</w:t>
      </w:r>
      <w:r>
        <w:rPr>
          <w:rFonts w:ascii="Times New Roman" w:hAnsi="Times New Roman"/>
          <w:b/>
          <w:sz w:val="20"/>
        </w:rPr>
        <w:t>Pledged Securities</w:t>
      </w:r>
      <w:r>
        <w:rPr>
          <w:rFonts w:ascii="Times New Roman" w:hAnsi="Times New Roman"/>
          <w:sz w:val="20"/>
        </w:rPr>
        <w:t xml:space="preserve">” means any promissory notes, stock certificates or other securities now or hereafter included in the Pledged Collateral, including all certificates, instruments or other documents representing or evidencing any Pledged Collateral. </w:t>
      </w:r>
    </w:p>
    <w:p>
      <w:pPr>
        <w:pStyle w:val="TextBody"/>
        <w:bidi w:val="0"/>
        <w:spacing w:before="240" w:after="0"/>
        <w:jc w:val="left"/>
        <w:rPr/>
      </w:pPr>
      <w:r>
        <w:rPr/>
        <w:t>“</w:t>
      </w:r>
      <w:r>
        <w:rPr>
          <w:rFonts w:ascii="Times New Roman" w:hAnsi="Times New Roman"/>
          <w:b/>
          <w:sz w:val="20"/>
        </w:rPr>
        <w:t>Secured Parties</w:t>
      </w:r>
      <w:r>
        <w:rPr>
          <w:rFonts w:ascii="Times New Roman" w:hAnsi="Times New Roman"/>
          <w:sz w:val="20"/>
        </w:rPr>
        <w:t xml:space="preserve">” means, collectively, the Trustee, Collateral Agent, and the Holders of the Notes. </w:t>
      </w:r>
    </w:p>
    <w:p>
      <w:pPr>
        <w:pStyle w:val="TextBody"/>
        <w:bidi w:val="0"/>
        <w:spacing w:before="240" w:after="0"/>
        <w:jc w:val="left"/>
        <w:rPr/>
      </w:pPr>
      <w:r>
        <w:rPr/>
        <w:t>“</w:t>
      </w:r>
      <w:r>
        <w:rPr>
          <w:rFonts w:ascii="Times New Roman" w:hAnsi="Times New Roman"/>
          <w:b/>
          <w:sz w:val="20"/>
        </w:rPr>
        <w:t>Security Agreement Supplement</w:t>
      </w:r>
      <w:r>
        <w:rPr>
          <w:rFonts w:ascii="Times New Roman" w:hAnsi="Times New Roman"/>
          <w:sz w:val="20"/>
        </w:rPr>
        <w:t xml:space="preserve">” means an instrument in the form of Exhibit I hereto. </w:t>
      </w:r>
    </w:p>
    <w:p>
      <w:pPr>
        <w:pStyle w:val="TextBody"/>
        <w:bidi w:val="0"/>
        <w:spacing w:before="240" w:after="0"/>
        <w:jc w:val="left"/>
        <w:rPr/>
      </w:pPr>
      <w:r>
        <w:rPr/>
        <w:t>“</w:t>
      </w:r>
      <w:r>
        <w:rPr>
          <w:rFonts w:ascii="Times New Roman" w:hAnsi="Times New Roman"/>
          <w:b/>
          <w:sz w:val="20"/>
        </w:rPr>
        <w:t>Security Interest</w:t>
      </w:r>
      <w:r>
        <w:rPr>
          <w:rFonts w:ascii="Times New Roman" w:hAnsi="Times New Roman"/>
          <w:sz w:val="20"/>
        </w:rPr>
        <w:t xml:space="preserve">” has the meaning assigned to such term in Section 3.01(a). </w:t>
      </w:r>
    </w:p>
    <w:p>
      <w:pPr>
        <w:pStyle w:val="TextBody"/>
        <w:bidi w:val="0"/>
        <w:spacing w:before="240" w:after="0"/>
        <w:jc w:val="left"/>
        <w:rPr/>
      </w:pPr>
      <w:r>
        <w:rPr/>
        <w:t>“</w:t>
      </w:r>
      <w:r>
        <w:rPr>
          <w:rFonts w:ascii="Times New Roman" w:hAnsi="Times New Roman"/>
          <w:b/>
          <w:sz w:val="20"/>
        </w:rPr>
        <w:t>Term Note</w:t>
      </w:r>
      <w:r>
        <w:rPr>
          <w:rFonts w:ascii="Times New Roman" w:hAnsi="Times New Roman"/>
          <w:sz w:val="20"/>
        </w:rPr>
        <w:t xml:space="preserve">” means that certain promissory note issued from SABRE GLBL INC. payable to SABRE FINANCIAL BORROWER, LLC, in the amount of $1,350,000,000, dated as of September 28, 2026. </w:t>
      </w:r>
    </w:p>
    <w:p>
      <w:pPr>
        <w:pStyle w:val="TextBody"/>
        <w:bidi w:val="0"/>
        <w:spacing w:before="240" w:after="0"/>
        <w:jc w:val="left"/>
        <w:rPr/>
      </w:pPr>
      <w:r>
        <w:rPr/>
        <w:t>“</w:t>
      </w:r>
      <w:r>
        <w:rPr>
          <w:rFonts w:ascii="Times New Roman" w:hAnsi="Times New Roman"/>
          <w:b/>
          <w:sz w:val="20"/>
        </w:rPr>
        <w:t>Trademark License</w:t>
      </w:r>
      <w:r>
        <w:rPr>
          <w:rFonts w:ascii="Times New Roman" w:hAnsi="Times New Roman"/>
          <w:sz w:val="20"/>
        </w:rPr>
        <w:t xml:space="preserve">” means any written agreement, now or hereafter in effect, granting to any third party any right to use any trademark now or hereafter owned by any Grantor or that any Grantor otherwise has the right to license, or granting to any Grantor any right to use any trademark now or hereafter owned by any third party, and all rights of any Grantor under any such agreement.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all of the following now owned or hereafter acquired by any Grantor: (a) all trademarks, service marks, trade names, corporate names, trade dress, logos, fictitious business names, or other source or business identifiers, now existing or hereafter adopted or acquired, all registrations and recordings thereof, and all registration and recording applications filed in connection therewith, including registrations and registration applications in the USPTO or any similar offices in any State of the United States or any other country or any political subdivision thereof, and all extensions or renewals thereof, as well as any unregistered trademarks and service marks used by a Grantor and (b) all goodwill connected with the use of and symbolized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USCO</w:t>
      </w:r>
      <w:r>
        <w:rPr>
          <w:rFonts w:ascii="Times New Roman" w:hAnsi="Times New Roman"/>
          <w:sz w:val="20"/>
        </w:rPr>
        <w:t xml:space="preserve">” means the United States Copyright Office. </w:t>
      </w:r>
    </w:p>
    <w:p>
      <w:pPr>
        <w:pStyle w:val="TextBody"/>
        <w:bidi w:val="0"/>
        <w:spacing w:before="240" w:after="0"/>
        <w:jc w:val="left"/>
        <w:rPr/>
      </w:pPr>
      <w:r>
        <w:rPr/>
        <w:t>“</w:t>
      </w:r>
      <w:r>
        <w:rPr>
          <w:rFonts w:ascii="Times New Roman" w:hAnsi="Times New Roman"/>
          <w:b/>
          <w:sz w:val="20"/>
        </w:rPr>
        <w:t>USPTO</w:t>
      </w:r>
      <w:r>
        <w:rPr>
          <w:rFonts w:ascii="Times New Roman" w:hAnsi="Times New Roman"/>
          <w:sz w:val="20"/>
        </w:rPr>
        <w:t xml:space="preserve">” means the United States Patent and Trademark Office.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Pledge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Pledge</w:t>
      </w:r>
      <w:r>
        <w:rPr>
          <w:rFonts w:ascii="Times New Roman" w:hAnsi="Times New Roman"/>
          <w:sz w:val="20"/>
        </w:rPr>
        <w:t>. As security for the payment or performance, as the case may be, in full of the Obligations, including the Guarantee, each Grantor hereby pledges to the Collateral Agent, its successors and assigns, for the benefit of the Secured Parties, and hereby grants to the Collateral Agent, its successors and assigns, for the benefit of the Secured Parties, a security interest in all of such Grantor’s right, title and interest in, to and under (i) all Equity Interests held by it, including without limitation those Equity Interests listed on Schedule I and any other Equity Interests obtained in the future by such Grantor and, to the extent certificated, the certificates representing all such Equity Interests (the “</w:t>
      </w:r>
      <w:r>
        <w:rPr>
          <w:rFonts w:ascii="Times New Roman" w:hAnsi="Times New Roman"/>
          <w:b/>
          <w:sz w:val="20"/>
        </w:rPr>
        <w:t>Pledged Equity</w:t>
      </w:r>
      <w:r>
        <w:rPr>
          <w:rFonts w:ascii="Times New Roman" w:hAnsi="Times New Roman"/>
          <w:sz w:val="20"/>
        </w:rPr>
        <w:t>”); (ii) the promissory notes, including the Term Note, the Intercompany Note, and debt securities now owned by any Grantor, including without limitation those promissory notes and debt securities listed opposite the name of such Grantor on Schedule I, any promissory notes and debt securities obtained in the future by such Grantor and any other instruments evidencing any debt (the “</w:t>
      </w:r>
      <w:r>
        <w:rPr>
          <w:rFonts w:ascii="Times New Roman" w:hAnsi="Times New Roman"/>
          <w:b/>
          <w:sz w:val="20"/>
        </w:rPr>
        <w:t>Pledged Debt</w:t>
      </w:r>
      <w:r>
        <w:rPr>
          <w:rFonts w:ascii="Times New Roman" w:hAnsi="Times New Roman"/>
          <w:sz w:val="20"/>
        </w:rPr>
        <w:t>”); (iii) subject to Section 2.06, all payments of principal or interest, dividends, cash, instruments and other property from time to time received, receivable or otherwise distributed in respect of, in exchange for or upon the conversion of, and all other Proceeds received in respect of, the Pledged Equity and Pledged Debt; (iv) subject to Section 2.06, all rights and privileges of such Grantor with respect to the securities and other property referred to in clauses (i), (ii), and (iii) above; and (v) all Proceeds of any of the foregoing (the items referred to in clauses (i) through (v) above being collectively referred to as the “</w:t>
      </w:r>
      <w:r>
        <w:rPr>
          <w:rFonts w:ascii="Times New Roman" w:hAnsi="Times New Roman"/>
          <w:b/>
          <w:sz w:val="20"/>
        </w:rPr>
        <w:t>Pledged Collateral</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in no event shall Pledged Collateral include any property with respect to which a Grantor is treated as having a “security entitlement” within the meaning of Article 8 of any applicable Uniform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TO HAVE AND TO HOLD the Pledged Collateral, together with all right, title, interest, powers, privileges and preferences pertaining or incidental thereto, unto the Collateral Agent, its successors and assigns, for the benefit of the Secured Parties, forever, subject, however, to the terms, covenants and conditions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Delivery of the Pledged Collateral</w:t>
      </w:r>
      <w:r>
        <w:rPr>
          <w:rFonts w:ascii="Times New Roman" w:hAnsi="Times New Roman"/>
          <w:sz w:val="20"/>
        </w:rPr>
        <w:t xml:space="preserve">. (a) Each Grantor agrees to deliver or cause to be delivered as promptly as practicable to the Collateral Agent, for the benefit of the Secured Parties, any and all Pledged Securities (other than any uncertificated securities, but only for so long as such securities remain uncertificated) to the extent such Pledged Securities, in the case of promissory notes or other instruments evidencing Indebtedness, are required to be delivered pursuant to paragraph (b) of this Section 2.02.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Grantor will deliver the original executed Term Note and Intercompany Note, together with an allonge or instruments of transfer in a form satisfactory to the Collateral Agent and will in any event, additionally cause (i) any Indebtedness for borrowed money owed to such Grantor by any Person (other than intercompany Indebtedness between Grantors and intercompany Indebtedness referred to in the following clause (ii)) having an aggregate principal amount in excess of the Dollar Amount of $5,000,000, to be evidenced by a duly executed promissory note, and (ii) any intercompany Indebtedness made by such Grantor to a Subsidiary of the Company that is not a Grantor to be evidenced by (x) a duly executed global promissory note to which such Subsidiary of the Company that is not a Grantor is a signatory, or (y) at the option of the Grantor, to the extent such Indebtedness is in an aggregate principal amount in excess of the Dollar Amount of $15,000,000, a duly executed promissory note; in each case (i) and (ii) that is delivered to the Collateral Agent, for the benefit of the Secured Parties,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Upon delivery to the Collateral Agent, (i) any Pledged Securities shall be accompanied by stock or security powers duly executed in blank or other instruments of transfer as are necessary to grant to the Collateral Agent control over the Pledged Securities and by such other instruments and documents as may be necessary to maintain perfection of the Pledged Collateral or as the Collateral Agent may reasonably request and (ii) all other property comprising part of the Pledged Collateral shall be accompanied by proper instruments of assignment or transfer duly executed by the applicable Grantor and such other instruments or documents as may be necessary to grant the Collateral Agent control over the Pledged Securities or as the Collateral Agent may reasonably request. Each delivery of Pledged Securities shall be accompanied by a schedule describing the securities, which schedule shall be attached hereto as Schedule I and made a part hereof; </w:t>
      </w:r>
      <w:r>
        <w:rPr>
          <w:rFonts w:ascii="Times New Roman" w:hAnsi="Times New Roman"/>
          <w:i/>
          <w:sz w:val="20"/>
        </w:rPr>
        <w:t>provided</w:t>
      </w:r>
      <w:r>
        <w:rPr>
          <w:rFonts w:ascii="Times New Roman" w:hAnsi="Times New Roman"/>
          <w:sz w:val="20"/>
        </w:rPr>
        <w:t xml:space="preserve"> that failure to attach any such schedule hereto shall not affect the validity of such pledge of such Pledged Securities. Each schedule so delivered shall supplement any prior schedules so delivered.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Representations, Warranties and Covenants</w:t>
      </w:r>
      <w:r>
        <w:rPr>
          <w:rFonts w:ascii="Times New Roman" w:hAnsi="Times New Roman"/>
          <w:sz w:val="20"/>
        </w:rPr>
        <w:t xml:space="preserve">. Holdings and the Company jointly and severally represent, warrant and covenant, as to themselves and the other Grantors, to and with the Collateral Agent, for the benefit of the Secured Parties, that: </w:t>
      </w:r>
    </w:p>
    <w:p>
      <w:pPr>
        <w:pStyle w:val="TextBody"/>
        <w:bidi w:val="0"/>
        <w:spacing w:before="120" w:after="0"/>
        <w:jc w:val="left"/>
        <w:rPr>
          <w:rFonts w:ascii="Times New Roman" w:hAnsi="Times New Roman"/>
          <w:sz w:val="20"/>
        </w:rPr>
      </w:pPr>
      <w:r>
        <w:rPr>
          <w:rFonts w:ascii="Times New Roman" w:hAnsi="Times New Roman"/>
          <w:sz w:val="20"/>
        </w:rPr>
        <w:t xml:space="preserve">(a) Schedule I correctly sets forth the percentage of the issued and outstanding units of each class of the Equity Interests of the issuer thereof represented by the Pledged Equity and includes all Equity Interests, debt securities and promissory notes required to be pledged hereunder in accordance with the terms of the Indenture which, for the avoidance of doubt, includes the Term Note and the Intercompany Note; </w:t>
      </w:r>
    </w:p>
    <w:p>
      <w:pPr>
        <w:pStyle w:val="TextBody"/>
        <w:bidi w:val="0"/>
        <w:spacing w:before="240" w:after="0"/>
        <w:jc w:val="left"/>
        <w:rPr>
          <w:rFonts w:ascii="Times New Roman" w:hAnsi="Times New Roman"/>
          <w:sz w:val="20"/>
        </w:rPr>
      </w:pPr>
      <w:r>
        <w:rPr>
          <w:rFonts w:ascii="Times New Roman" w:hAnsi="Times New Roman"/>
          <w:sz w:val="20"/>
        </w:rPr>
        <w:t xml:space="preserve">(b) the Pledged Equity and Pledged Debt (solely with respect to Pledged Debt issued by a Person other than the Company or a subsidiary of the Company, to the best of Holdings’ and the Company’s knowledge) have been duly and validly authorized and issued by the issuers thereof and (i) in the case of Pledged Equity, are fully paid and nonassessable and (ii) in the case of Pledged Debt (solely with respect to Pledged Debt issued by a Person other than the Company or a subsidiary of the Company, to the best of Holdings’ and the Company’s knowledge), are legal, valid and binding obligations of the issuers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for the security interests granted hereunder, each of the Grantors (i) is and, subject to any transfers made in compliance with the Indenture, will continue to be the direct owner, beneficially and of record, of the Pledged Securities indicated on Schedule I as owned by such Grantors, (ii) holds the same free and clear of all Liens, other than (A) Liens created by the Security Documents and (B) Liens permitted pursuant to Section 4.12 of the Indenture, (iii) will make no assignment, pledge, hypothecation or transfer of, or create or permit to exist any security interest in or other Lien on, the Pledged Collateral, other than (A) Liens created by the Security Documents and (B) Liens permitted pursuant to Section 4.12 of the Indenture, and (iv) will defend its title or interest thereto or therein against any and all Liens (other than the Liens permitted pursuant to this Section 2.03(c)), however arising, of all Persons whomsoever; </w:t>
      </w:r>
    </w:p>
    <w:p>
      <w:pPr>
        <w:pStyle w:val="TextBody"/>
        <w:bidi w:val="0"/>
        <w:spacing w:before="240" w:after="0"/>
        <w:jc w:val="left"/>
        <w:rPr>
          <w:rFonts w:ascii="Times New Roman" w:hAnsi="Times New Roman"/>
          <w:sz w:val="20"/>
        </w:rPr>
      </w:pPr>
      <w:r>
        <w:rPr>
          <w:rFonts w:ascii="Times New Roman" w:hAnsi="Times New Roman"/>
          <w:sz w:val="20"/>
        </w:rPr>
        <w:t xml:space="preserve">(d) except for restrictions and limitations imposed by the Indenture or the Security Documents or securities laws generally and except as described in the Perfection Certificate, the Pledged Collateral is and will continue to be freely transferable and assignable, and none of the Pledged Collateral is or will be subject to any option, right of first refusal, shareholders agreement, charter or by-law provisions or contractual restriction of any nature that might prohibit, impair, delay or otherwise affect in any manner material and adverse to the Secured Parties the pledge of such Pledged Collateral hereunder, the sale or disposition thereof pursuant hereto or the exercise by the Collateral Agent of rights and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(e) each of the Grantors has the power and authority to pledge the Pledged Collateral pledged by it hereunder in the manner hereby done or contemplated; </w:t>
      </w:r>
    </w:p>
    <w:p>
      <w:pPr>
        <w:pStyle w:val="TextBody"/>
        <w:bidi w:val="0"/>
        <w:spacing w:before="240" w:after="0"/>
        <w:jc w:val="left"/>
        <w:rPr>
          <w:rFonts w:ascii="Times New Roman" w:hAnsi="Times New Roman"/>
          <w:sz w:val="20"/>
        </w:rPr>
      </w:pPr>
      <w:r>
        <w:rPr>
          <w:rFonts w:ascii="Times New Roman" w:hAnsi="Times New Roman"/>
          <w:sz w:val="20"/>
        </w:rPr>
        <w:t xml:space="preserve">(f) no consent or approval of any Governmental Authority, any securities exchange or any other Person was or is necessary to the validity of the pledge effected hereby (other than such as have been obtained and are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(g) by virtue of the execution and delivery by the Grantors of this Agreement, when any Pledged Securities are delivered to the Collateral Agent in accordance with this Agreement, the Collateral Agent will obtain a legal, valid and perfected first priority lien upon and security interest in such Pledged Securities as security for the payment and performance of the Obligations, to the extent such perfection is governed by the Uniform Commercial Code subject to Liens permitted pursuant to Section 4.12 of the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(h) the pledge effected hereby is effective to vest in the Collateral Agent, for the benefit of the Secured Parties, the rights of the Collateral Agent in the Pledged Collateral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Certification of Limited Liability Company and Limited Partnership Interests</w:t>
      </w:r>
      <w:r>
        <w:rPr>
          <w:rFonts w:ascii="Times New Roman" w:hAnsi="Times New Roman"/>
          <w:sz w:val="20"/>
        </w:rPr>
        <w:t xml:space="preserve">. Any limited liability company and any limited partnership controlled by any Grantor shall either (a) not have in its operative documents any provision that any Equity Interests in such limited liability company or such limited partnership be a “security” as defined under Article 8 of the Uniform Commercial Code, or (b) certificate any Equity Interests in any such limited liability company or such limited partnership.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interest in any limited liability company or limited partnership controlled by any Grantor and pledged under Section 2.01 is certificated or becomes certificated, each such certificate shall be delivered to the Collateral Agent, pursuant to Section 2.02(a) and such Grantor shall fulfill all other requirements under Section 2.02 applicable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in Nominee Name; Denominations</w:t>
      </w:r>
      <w:r>
        <w:rPr>
          <w:rFonts w:ascii="Times New Roman" w:hAnsi="Times New Roman"/>
          <w:sz w:val="20"/>
        </w:rPr>
        <w:t xml:space="preserve">. If an Event of Default shall occur and be continuing, (a) the Collateral Agent, on behalf of the Secured Parties, shall have the right (but not the obligation) to hold the Pledged Securities in its own name as pledgee, the name of its nominee (as pledgee or as sub-agent) or the name of the applicable Grantor, endorsed or assigned in blank or in favor of the Collateral Agent, and each Grantor will promptly give to the Collateral Agent copies of any notices or other communications received by it with respect to Pledged Securities registered in the name of such Grantor and (b) the Collateral Agent shall have the right (but not the obligation) to exchange the certificates representing Pledged Securities for certificates of smaller or larger denominations for any purpose consistent with this Agreement; provided, that the Collateral Agent shall give the Company prior notice of its intent to exercise such rights unless an Event of Default under paragraphs 8 or 9 of Section 6.01 of the Indenture shall have occurred and be continuing in which case no notice shall be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Voting Rights; Dividends and Interest</w:t>
      </w:r>
      <w:r>
        <w:rPr>
          <w:rFonts w:ascii="Times New Roman" w:hAnsi="Times New Roman"/>
          <w:sz w:val="20"/>
        </w:rPr>
        <w:t xml:space="preserve">. (a) Unless and until an Event of Default shall have occurred and be continuing and the Collateral Agent shall have notified the Company that the rights of the Grantors under this Section 2.06 are being suspended: </w:t>
      </w:r>
    </w:p>
    <w:p>
      <w:pPr>
        <w:pStyle w:val="TextBody"/>
        <w:bidi w:val="0"/>
        <w:spacing w:before="120" w:after="0"/>
        <w:jc w:val="left"/>
        <w:rPr>
          <w:rFonts w:ascii="Times New Roman" w:hAnsi="Times New Roman"/>
          <w:sz w:val="20"/>
        </w:rPr>
      </w:pPr>
      <w:r>
        <w:rPr>
          <w:rFonts w:ascii="Times New Roman" w:hAnsi="Times New Roman"/>
          <w:sz w:val="20"/>
        </w:rPr>
        <w:t xml:space="preserve">(i) Each Grantor shall be entitled to exercise any and all voting and/or other consensual rights and powers inuring to an owner of Pledged Securities or any part thereof for any purpose consistent with the terms of the Indenture, this Agreement and the other Security Documents; </w:t>
      </w:r>
      <w:r>
        <w:rPr>
          <w:rFonts w:ascii="Times New Roman" w:hAnsi="Times New Roman"/>
          <w:i/>
          <w:sz w:val="20"/>
        </w:rPr>
        <w:t>provided</w:t>
      </w:r>
      <w:r>
        <w:rPr>
          <w:rFonts w:ascii="Times New Roman" w:hAnsi="Times New Roman"/>
          <w:sz w:val="20"/>
        </w:rPr>
        <w:t xml:space="preserve"> that such rights and powers shall not be exercised in any manner, except as may be expressly permitted under the Indenture, this Agreement or the other Security Documents, that would materially and adversely affect the rights inuring to a holder of any Pledged Securities or the rights and remedies of any of the Collateral Agent or the other Secured Parties under the Indenture, this Agreement or any other Security Document or the ability of the Secured Parties to exercise the same. </w:t>
      </w:r>
    </w:p>
    <w:p>
      <w:pPr>
        <w:pStyle w:val="TextBody"/>
        <w:bidi w:val="0"/>
        <w:spacing w:before="120" w:after="0"/>
        <w:jc w:val="left"/>
        <w:rPr>
          <w:rFonts w:ascii="Times New Roman" w:hAnsi="Times New Roman"/>
          <w:sz w:val="20"/>
        </w:rPr>
      </w:pPr>
      <w:r>
        <w:rPr>
          <w:rFonts w:ascii="Times New Roman" w:hAnsi="Times New Roman"/>
          <w:sz w:val="20"/>
        </w:rPr>
        <w:t xml:space="preserve">(ii) The Collateral Agent shall execute and deliver to each Grantor, or cause to be executed and delivered to each Grantor, at the cost and expense of such Grantor, all such proxies, powers of attorney and other instruments as each Grantor may reasonably request in writing for the purpose of enabling such Grantor to exercise the voting and/or consensual rights and powers it is entitled to exercise pursuant to subparagraph (i) above. </w:t>
      </w:r>
    </w:p>
    <w:p>
      <w:pPr>
        <w:pStyle w:val="TextBody"/>
        <w:bidi w:val="0"/>
        <w:spacing w:before="120" w:after="0"/>
        <w:jc w:val="left"/>
        <w:rPr>
          <w:rFonts w:ascii="Times New Roman" w:hAnsi="Times New Roman"/>
          <w:sz w:val="20"/>
        </w:rPr>
      </w:pPr>
      <w:r>
        <w:rPr>
          <w:rFonts w:ascii="Times New Roman" w:hAnsi="Times New Roman"/>
          <w:sz w:val="20"/>
        </w:rPr>
        <w:t xml:space="preserve">(iii) Each Grantor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Security Documents and applicable Laws; </w:t>
      </w:r>
      <w:r>
        <w:rPr>
          <w:rFonts w:ascii="Times New Roman" w:hAnsi="Times New Roman"/>
          <w:i/>
          <w:sz w:val="20"/>
        </w:rPr>
        <w:t>provided</w:t>
      </w:r>
      <w:r>
        <w:rPr>
          <w:rFonts w:ascii="Times New Roman" w:hAnsi="Times New Roman"/>
          <w:sz w:val="20"/>
        </w:rPr>
        <w:t xml:space="preserve"> that any non-cash (and non-cash equivalent) dividends, interest, principal or other distributions that would constitute Pledged Equity or Pledged Debt, whether resulting from a subdivision, combination or reclassification of the outstanding Equity Interests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not be commingled by such Grantor with any of its other funds or property but shall be held separate and apart therefrom, shall be held in trust for the benefit of the Collateral Agent and the Secured Parties and shall be forthwith delivered to the Collateral Agent in the same form as so received (with any necessary endorsement reasonably requested by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(b) Upon the occurrence and during the continuance of an Event of Default, after the Collateral Agent shall have notified the Company of the suspension of the rights of the Grantors under paragraph (a)(iii) of this Section 2.06, then all rights of any Grantor to dividends, interest, principal or other distributions that such Grantor is authorized to receive pursuant to paragraph (a)(iii) of this Section 2.06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Section 2.06 shall be held in trust for the benefit of the Collateral Agent, shall be segregated from other property or funds of such Grantor and shall be forthwith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 (b) shall be retained by the Collateral Agent in an non-interest bearing account to be established by the Collateral Agent upon receipt of such money or other property and shall be applied in accordance with the provisions of Section 4.02 hereof. After all Events of Default have been cured or waived, the Collateral Agent shall promptly repay to each Grantor (without interest) all dividends, interest, principal or other distributions that such Grantor would otherwise be permitted to retain pursuant to the terms of paragraph (a)(iii) of this Section 2.06 and that remain in such account. </w:t>
      </w:r>
    </w:p>
    <w:p>
      <w:pPr>
        <w:pStyle w:val="TextBody"/>
        <w:bidi w:val="0"/>
        <w:spacing w:before="240" w:after="0"/>
        <w:jc w:val="left"/>
        <w:rPr>
          <w:rFonts w:ascii="Times New Roman" w:hAnsi="Times New Roman"/>
          <w:sz w:val="20"/>
        </w:rPr>
      </w:pPr>
      <w:r>
        <w:rPr>
          <w:rFonts w:ascii="Times New Roman" w:hAnsi="Times New Roman"/>
          <w:sz w:val="20"/>
        </w:rPr>
        <w:t xml:space="preserve">(c) Upon the occurrence and during the continuance of an Event of Default, after the Collateral Agent shall have notified the Company of the suspension of the rights of the Grantors under paragraph (a)(i) of this Section 2.06, then all rights of any Grantor to exercise the voting and consensual rights and powers it is entitled to exercise pursuant to paragraph (a)(i) of this Section 2.06, and the obligations of the Collateral Agent under paragraph (a)(ii) of this Section 2.06, shall cease, and all such rights shall thereupon become vested in the Collateral Agent, which shall have the sole and exclusive right and authority (but not the obligation) to exercise such voting and consensual rights and powers; </w:t>
      </w:r>
      <w:r>
        <w:rPr>
          <w:rFonts w:ascii="Times New Roman" w:hAnsi="Times New Roman"/>
          <w:i/>
          <w:sz w:val="20"/>
        </w:rPr>
        <w:t>provided</w:t>
      </w:r>
      <w:r>
        <w:rPr>
          <w:rFonts w:ascii="Times New Roman" w:hAnsi="Times New Roman"/>
          <w:sz w:val="20"/>
        </w:rPr>
        <w:t xml:space="preserve"> that, unless otherwise directed by Holders of a majority in aggregate principal amount of the then outstanding Notes, the Collateral Agent shall have the right from time to time following and during the continuance of an Event of Default to permit the Grantors to exercise such rights. After all Events of Default have been cured or waived, each Grantor shall have the exclusive right to exercise the voting and/or consensual rights and powers that such Grantor would otherwise be entitled to exercise pursuant to the terms of paragraph (a)(i) of this Section 2.06.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notice given by the Collateral Agent to the Company suspending the rights of the Grantors under paragraph (a) of this Section 2.06 (i) shall be given in writing, (ii) may be given with respect to one or more of the Grantors at the same or different times and (iii) may suspend the rights of the Grantors under paragraph (a)(i) or paragraph (a)(iii) of this Section 2.06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Collateral Agent Not a Partner or Limited Liability Company Member</w:t>
      </w:r>
      <w:r>
        <w:rPr>
          <w:rFonts w:ascii="Times New Roman" w:hAnsi="Times New Roman"/>
          <w:sz w:val="20"/>
        </w:rPr>
        <w:t xml:space="preserve">. Nothing contained in this Agreement shall be construed to make the Collateral Agent or any other Secured Party liable as a member of any limited liability company or as a partner of any partnership and neither the Collateral Agent nor any other Secured Party by virtue of this Agreement or otherwise (except as referred to in the following sentence) shall have any of the duties, obligations or liabilities of a member of any limited liability company or as a partner in any partnership. The parties hereto expressly agree that, this Agreement shall not be construed as creating a partnership or joint venture among the Collateral Agent, any other Secured Party, any Grantor and/or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Security Interests in Personal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Security Interest</w:t>
      </w:r>
      <w:r>
        <w:rPr>
          <w:rFonts w:ascii="Times New Roman" w:hAnsi="Times New Roman"/>
          <w:sz w:val="20"/>
        </w:rPr>
        <w:t>. (a) As security for the payment or performance, as the case may be, in full of the Obligations, including the Guarantees, each Grantor hereby grants to the Collateral Agent, its successors and assigns, for the benefit of the Secured Parties, a security interest (the “</w:t>
      </w:r>
      <w:r>
        <w:rPr>
          <w:rFonts w:ascii="Times New Roman" w:hAnsi="Times New Roman"/>
          <w:b/>
          <w:sz w:val="20"/>
        </w:rPr>
        <w:t>Security Interest</w:t>
      </w:r>
      <w:r>
        <w:rPr>
          <w:rFonts w:ascii="Times New Roman" w:hAnsi="Times New Roman"/>
          <w:sz w:val="20"/>
        </w:rPr>
        <w:t>”) in all right, title or interest in or to any and all of the following assets and properties now owned or at any time hereafter acquired by such Grantor or in which such Grantor now has or at any time in the future may acquire any right, title or interest (collectively, the “</w:t>
      </w:r>
      <w:r>
        <w:rPr>
          <w:rFonts w:ascii="Times New Roman" w:hAnsi="Times New Roman"/>
          <w:b/>
          <w:sz w:val="20"/>
        </w:rPr>
        <w:t>Article 9</w:t>
      </w:r>
      <w:r>
        <w:rPr>
          <w:rFonts w:ascii="Times New Roman" w:hAnsi="Times New Roman"/>
          <w:sz w:val="20"/>
        </w:rPr>
        <w:t> </w:t>
      </w:r>
      <w:r>
        <w:rPr>
          <w:rFonts w:ascii="Times New Roman" w:hAnsi="Times New Roman"/>
          <w:b/>
          <w:sz w:val="20"/>
        </w:rPr>
        <w:t>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Accounts; </w:t>
      </w:r>
    </w:p>
    <w:p>
      <w:pPr>
        <w:pStyle w:val="TextBody"/>
        <w:bidi w:val="0"/>
        <w:spacing w:before="120" w:after="0"/>
        <w:jc w:val="left"/>
        <w:rPr>
          <w:rFonts w:ascii="Times New Roman" w:hAnsi="Times New Roman"/>
          <w:sz w:val="20"/>
        </w:rPr>
      </w:pPr>
      <w:r>
        <w:rPr>
          <w:rFonts w:ascii="Times New Roman" w:hAnsi="Times New Roman"/>
          <w:sz w:val="20"/>
        </w:rPr>
        <w:t xml:space="preserve">(ii) all Chattel Paper; </w:t>
      </w:r>
    </w:p>
    <w:p>
      <w:pPr>
        <w:pStyle w:val="TextBody"/>
        <w:bidi w:val="0"/>
        <w:spacing w:before="120" w:after="0"/>
        <w:jc w:val="left"/>
        <w:rPr>
          <w:rFonts w:ascii="Times New Roman" w:hAnsi="Times New Roman"/>
          <w:sz w:val="20"/>
        </w:rPr>
      </w:pPr>
      <w:r>
        <w:rPr>
          <w:rFonts w:ascii="Times New Roman" w:hAnsi="Times New Roman"/>
          <w:sz w:val="20"/>
        </w:rPr>
        <w:t xml:space="preserve">(iii) all Commercial Tort Claims listed on Schedule II hereto; </w:t>
      </w:r>
    </w:p>
    <w:p>
      <w:pPr>
        <w:pStyle w:val="TextBody"/>
        <w:bidi w:val="0"/>
        <w:spacing w:before="120" w:after="0"/>
        <w:jc w:val="left"/>
        <w:rPr>
          <w:rFonts w:ascii="Times New Roman" w:hAnsi="Times New Roman"/>
          <w:sz w:val="20"/>
        </w:rPr>
      </w:pPr>
      <w:r>
        <w:rPr>
          <w:rFonts w:ascii="Times New Roman" w:hAnsi="Times New Roman"/>
          <w:sz w:val="20"/>
        </w:rPr>
        <w:t xml:space="preserve">(iv) all Deposit Accounts; </w:t>
      </w:r>
    </w:p>
    <w:p>
      <w:pPr>
        <w:pStyle w:val="TextBody"/>
        <w:bidi w:val="0"/>
        <w:spacing w:before="120" w:after="0"/>
        <w:jc w:val="left"/>
        <w:rPr>
          <w:rFonts w:ascii="Times New Roman" w:hAnsi="Times New Roman"/>
          <w:sz w:val="20"/>
        </w:rPr>
      </w:pPr>
      <w:r>
        <w:rPr>
          <w:rFonts w:ascii="Times New Roman" w:hAnsi="Times New Roman"/>
          <w:sz w:val="20"/>
        </w:rPr>
        <w:t xml:space="preserve">(v) all Documents; </w:t>
      </w:r>
    </w:p>
    <w:p>
      <w:pPr>
        <w:pStyle w:val="TextBody"/>
        <w:bidi w:val="0"/>
        <w:spacing w:before="120" w:after="0"/>
        <w:jc w:val="left"/>
        <w:rPr>
          <w:rFonts w:ascii="Times New Roman" w:hAnsi="Times New Roman"/>
          <w:sz w:val="20"/>
        </w:rPr>
      </w:pPr>
      <w:r>
        <w:rPr>
          <w:rFonts w:ascii="Times New Roman" w:hAnsi="Times New Roman"/>
          <w:sz w:val="20"/>
        </w:rPr>
        <w:t xml:space="preserve">(vi) all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all General Intangibles; </w:t>
      </w:r>
    </w:p>
    <w:p>
      <w:pPr>
        <w:pStyle w:val="TextBody"/>
        <w:bidi w:val="0"/>
        <w:spacing w:before="120" w:after="0"/>
        <w:jc w:val="left"/>
        <w:rPr>
          <w:rFonts w:ascii="Times New Roman" w:hAnsi="Times New Roman"/>
          <w:sz w:val="20"/>
        </w:rPr>
      </w:pPr>
      <w:r>
        <w:rPr>
          <w:rFonts w:ascii="Times New Roman" w:hAnsi="Times New Roman"/>
          <w:sz w:val="20"/>
        </w:rPr>
        <w:t xml:space="preserve">(viii) all Goods; </w:t>
      </w:r>
    </w:p>
    <w:p>
      <w:pPr>
        <w:pStyle w:val="TextBody"/>
        <w:bidi w:val="0"/>
        <w:spacing w:before="120" w:after="0"/>
        <w:jc w:val="left"/>
        <w:rPr>
          <w:rFonts w:ascii="Times New Roman" w:hAnsi="Times New Roman"/>
          <w:sz w:val="20"/>
        </w:rPr>
      </w:pPr>
      <w:r>
        <w:rPr>
          <w:rFonts w:ascii="Times New Roman" w:hAnsi="Times New Roman"/>
          <w:sz w:val="20"/>
        </w:rPr>
        <w:t xml:space="preserve">(ix) all Instruments, including without limitation the Term Note and the Intercompany Note; </w:t>
      </w:r>
    </w:p>
    <w:p>
      <w:pPr>
        <w:pStyle w:val="TextBody"/>
        <w:bidi w:val="0"/>
        <w:spacing w:before="120" w:after="0"/>
        <w:jc w:val="left"/>
        <w:rPr>
          <w:rFonts w:ascii="Times New Roman" w:hAnsi="Times New Roman"/>
          <w:sz w:val="20"/>
        </w:rPr>
      </w:pPr>
      <w:r>
        <w:rPr>
          <w:rFonts w:ascii="Times New Roman" w:hAnsi="Times New Roman"/>
          <w:sz w:val="20"/>
        </w:rPr>
        <w:t xml:space="preserve">(x) all Inventory; </w:t>
      </w:r>
    </w:p>
    <w:p>
      <w:pPr>
        <w:pStyle w:val="TextBody"/>
        <w:bidi w:val="0"/>
        <w:spacing w:before="120" w:after="0"/>
        <w:jc w:val="left"/>
        <w:rPr>
          <w:rFonts w:ascii="Times New Roman" w:hAnsi="Times New Roman"/>
          <w:sz w:val="20"/>
        </w:rPr>
      </w:pPr>
      <w:r>
        <w:rPr>
          <w:rFonts w:ascii="Times New Roman" w:hAnsi="Times New Roman"/>
          <w:sz w:val="20"/>
        </w:rPr>
        <w:t xml:space="preserve">(xi) all Investment Property; </w:t>
      </w:r>
    </w:p>
    <w:p>
      <w:pPr>
        <w:pStyle w:val="TextBody"/>
        <w:bidi w:val="0"/>
        <w:spacing w:before="120" w:after="0"/>
        <w:jc w:val="left"/>
        <w:rPr>
          <w:rFonts w:ascii="Times New Roman" w:hAnsi="Times New Roman"/>
          <w:sz w:val="20"/>
        </w:rPr>
      </w:pPr>
      <w:r>
        <w:rPr>
          <w:rFonts w:ascii="Times New Roman" w:hAnsi="Times New Roman"/>
          <w:sz w:val="20"/>
        </w:rPr>
        <w:t xml:space="preserve">(xii) all books and records pertaining to the Article 9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(xiii) to the extent not otherwise included, all Proceeds and products of any and all of the foregoing and all supporting obligations, collateral security and guarantees given by any Person with respect to any of the foregoing;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Agreement, this Agreement shall not constitute a grant of a security interest in any Excluded Asset (which Excluded Assets, for the avoidance of doubt, shall not constitute “Article 9 Collateral”). </w:t>
      </w:r>
    </w:p>
    <w:p>
      <w:pPr>
        <w:pStyle w:val="TextBody"/>
        <w:bidi w:val="0"/>
        <w:spacing w:before="240" w:after="0"/>
        <w:jc w:val="left"/>
        <w:rPr>
          <w:rFonts w:ascii="Times New Roman" w:hAnsi="Times New Roman"/>
          <w:sz w:val="20"/>
        </w:rPr>
      </w:pPr>
      <w:r>
        <w:rPr>
          <w:rFonts w:ascii="Times New Roman" w:hAnsi="Times New Roman"/>
          <w:sz w:val="20"/>
        </w:rPr>
        <w:t xml:space="preserve">(b) Each Grantor hereby irrevocably authorizes the Collateral Agent for the benefit of the Secured Parties at any time and from time to time to file in any relevant jurisdiction any initial financing statements (including fixture filings) with respect to the Article 9 Collateral or any part thereof, continuations thereof and amendments thereto that (i) indicate the Collateral as all assets of such Grantor or words of similar effect as being of an equal or lesser scope or with greater detail, and (ii) contain the information required by Article 9 of the Uniform Commercial Code or the analogous legislation of each applicable jurisdiction for the filing of any financing statement or amendment, including (A) whether such Grantor is an organization, the type of organization and, if required, any organizational identification number issued to such Grantor and (B) in the case of a financing statement filed as a fixture filing, a sufficient description of the real property to which such Article 9 Collateral relates;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grant of authority to the Collateral Agent to file financing statements hereunder shall not impose any duty on the Collateral Agent to do so. Each Grantor agrees to provide such information to the Collateral Agent promptly upon any reasonable request. Each Grantor shall file on behalf of the Collateral Agent, for the benefit of the Secured Parties, any financing statements, amendments and continuation statements in the relevant jurisdiction necessary to perfect and maintain the perfection of the security interests in the Article 9 Collateral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Security Interest is granted as security only and shall not subject the Collateral Agent or any other Secured Party to, or in any way alter or modify, any obligation or liability of any Grantor with respect to or arising out of the Article 9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Collateral Agent is authorized to file with the USPTO or the USCO (or any successor office in the United States or any applicable office in any other country) such documents as may be necessary or advisable for the purpose of perfecting, confirming, continuing, enforcing or protecting the Security Interest in United States issued, registered or applied-for Intellectual Property included in the Article 9 Collateral granted by each Grantor, without the signature of any Grantor, and naming any Grantor or the Grantor as debtors and the Collateral Agent as secured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grant of authority to the Collateral Agent to file such documents hereunder shall not impose any duty on the Collateral Agent to do so.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the Indenture, none of the Grantors shall be required to enter into any deposit account control agreement or securities account control agreement with respect to any deposit account or securities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Representations and Warranties</w:t>
      </w:r>
      <w:r>
        <w:rPr>
          <w:rFonts w:ascii="Times New Roman" w:hAnsi="Times New Roman"/>
          <w:sz w:val="20"/>
        </w:rPr>
        <w:t xml:space="preserve">. Holdings and the Company jointly and severally represent and warrant, as to themselves and the other Grantors, to the Collateral Agent and the Secured Parties that: </w:t>
      </w:r>
    </w:p>
    <w:p>
      <w:pPr>
        <w:pStyle w:val="TextBody"/>
        <w:bidi w:val="0"/>
        <w:spacing w:before="120" w:after="0"/>
        <w:jc w:val="left"/>
        <w:rPr>
          <w:rFonts w:ascii="Times New Roman" w:hAnsi="Times New Roman"/>
          <w:sz w:val="20"/>
        </w:rPr>
      </w:pPr>
      <w:r>
        <w:rPr>
          <w:rFonts w:ascii="Times New Roman" w:hAnsi="Times New Roman"/>
          <w:sz w:val="20"/>
        </w:rPr>
        <w:t xml:space="preserve">(a) Each Grantor has good and valid rights in and title to the material Article 9 Collateral with respect to which it has purported to grant a Security Interest hereunder and has full power and authority to grant to the Collateral Agent the Security Interest in such Article 9 Collateral pursuant hereto and to execute, deliver and perform its obligations in accordance with the terms of this Agreement, without the consent or approval of any other Person other than any consent or approval that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The information set forth in the Perfection Certificate, including the exact legal name of each Grantor, is correct and complete in all material respects as of the date hereof. The Uniform Commercial Code financing statements (including fixture filings, as applicable) or other appropriate filings, recordings or registrations prepared based upon the information provided to the Collateral Agent in the Perfection Certificate for filing in each governmental, municipal or other office specified in Schedule 6 to the Perfection Certificate (or specified by notice from the Company to the Collateral Agent after the date hereof in the case of filings, recordings or registrations required by Section 10.03 of the Indenture), are all the filings, recordings and registrations that are necessary to establish a legal, valid and perfected security interest in favor of the Collateral Agent (for the benefit of the Secured Parties) in respect of all Article 9 Collateral in which the Security Interest may be perfected by filing, recording or registration in the United States (or any political subdivision thereof) and its territories and possessions, and no further or subsequent filing, refiling, recording, rerecording, registration or reregistration is necessary in any such jurisdiction, in each case, except (i) as provided under applicable law with respect to the filing of continuation statements, and (ii) filings required to be made by the USPTO and the USCO in order to perfect the Security Interest in Article 9 Collateral consisting of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Grantor represents and warrants that short-form Intellectual Property Security Agreements containing a description of all Article 9 Collateral as of the date hereof consisting of United States Patents, United States registered Trademarks (and Trademarks for which United States registration applications are pending, unless it constitutes an Excluded Asset) and United States registered Copyrights, respectively, have been delivered to the Collateral Agent for recording by the USPTO and the USCO pursuant to 35 U.S.C. § 261, 15 U.S.C. § 1060 or 17 U.S.C. § 205 and the regulations thereunder, as applicable, as may be necessary to establish a valid and perfected security interest in favor of the Collateral Agent (for the benefit of the Secured Parties) in respect of all Article 9 Collateral consisting of Patents, Trademarks and Copyrights in which a security interest may be perfected by filing, recording or registration in the USPTO and the USCO, as applicable, in the United States (or any political subdivision thereof) and its territories and possessions under the Federal intellectual property laws, and no further or subsequent filing, refiling, recording, rerecording, registration or reregistration is necessary (other than (i) such filings and actions as are necessary to perfect the Security Interest with respect to any Article 9 Collateral consisting of Patents, Trademarks and Copyrights (or registration or application for registration thereof) acquired or developed by any Grantor after the date hereof, (ii) as may be required under the laws of jurisdictions outside the United States with respect to Article 9 Collateral created under such laws, and (iii) the UCC financing and continuation statements contemplated in Section 3.02(b)). </w:t>
      </w:r>
    </w:p>
    <w:p>
      <w:pPr>
        <w:pStyle w:val="TextBody"/>
        <w:bidi w:val="0"/>
        <w:spacing w:before="240" w:after="0"/>
        <w:jc w:val="left"/>
        <w:rPr>
          <w:rFonts w:ascii="Times New Roman" w:hAnsi="Times New Roman"/>
          <w:sz w:val="20"/>
        </w:rPr>
      </w:pPr>
      <w:r>
        <w:rPr>
          <w:rFonts w:ascii="Times New Roman" w:hAnsi="Times New Roman"/>
          <w:sz w:val="20"/>
        </w:rPr>
        <w:t xml:space="preserve">(d) The Security Interest constitutes (i) a legal and valid security interest in all the Article 9 Collateral securing the payment and performance of the Obligations; (ii) subject to the filings described in Section 3.02(b),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Uniform Commercial Code in the relevant jurisdiction and (iii) subject to the filings described in Section 3.02(c), a perfected security interest in all Patents, Trademarks and Copyrights in which a security interest may be perfected upon the receipt and recording of fully executed short-form Intellectual Property Security Agreements with the USPTO and the USCO, as applicable. The Security Interest is and shall be prior to any other Lien on any of the Article 9 Collateral, other than (i) any nonconsensual Lien that is expressly permitted pursuant to Section 4.12 of the Indenture and has priority as a matter of law and (ii) Liens expressly permitted pursuant to Section 4.12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The material Article 9 Collateral is owned by the Grantors free and clear of any Lien, except for Liens permitted pursuant to Section 4.12 of the Indenture. None of the Grantors has filed or consented to the filing of (i) any financing statement or analogous document under the New York UCC or any other applicable United States laws covering any Article 9 Collateral, (ii) any assignment in which any Grantor assigns any Article 9 Collateral or any security agreement or similar instrument covering any Article 9 Collateral with the USPTO or the USCO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Liens permitted pursuant to Section 4.12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Covenants</w:t>
      </w:r>
      <w:r>
        <w:rPr>
          <w:rFonts w:ascii="Times New Roman" w:hAnsi="Times New Roman"/>
          <w:sz w:val="20"/>
        </w:rPr>
        <w:t xml:space="preserve">. The Company agrees promptly (and in any event within 60 days of such change) to notify the Collateral Agent in writing of any change in the legal name, the identity or type of organization or corporate structure, the jurisdiction of organization, the chief executive office or the organizational identification number, of any Grantor. In addition, if any Grantor does not have an organizational identification number on the date hereof (or the date such Grantor becomes a party to this Agreement) and later obtains one, the Company shall promptly (and in any event within 60 days of such change) thereafter notify the Collateral Agent of such organizational identification number and shall take all actions necessary, or reasonably requested by the Collateral Agent, to maintain the security interests (and the priority thereof) of the Collateral Agent in the Article 9 Collateral intended to be granted hereby fully perfected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Upon becoming aware of any defect in the security interests (and the priority thereof, except as expressly permitted pursuant to Section 4.12 of the Indenture) of the Collateral Agent in the Article 9 Collateral intended to be granted hereby, the Company agrees promptly (and in any event within 60 days of such knowledge) to notify the Collateral Agent in writing of such defect. </w:t>
      </w:r>
    </w:p>
    <w:p>
      <w:pPr>
        <w:pStyle w:val="TextBody"/>
        <w:bidi w:val="0"/>
        <w:spacing w:before="240" w:after="0"/>
        <w:jc w:val="left"/>
        <w:rPr>
          <w:rFonts w:ascii="Times New Roman" w:hAnsi="Times New Roman"/>
          <w:sz w:val="20"/>
        </w:rPr>
      </w:pPr>
      <w:r>
        <w:rPr>
          <w:rFonts w:ascii="Times New Roman" w:hAnsi="Times New Roman"/>
          <w:sz w:val="20"/>
        </w:rPr>
        <w:t xml:space="preserve">(b) Each year, at the time of delivery of annual financial statements with respect to the preceding fiscal year pursuant to Section 4.03 of the Indenture, the Company shall deliver to the Collateral Agent an updated Perfection Certificate executed by the chief financial officer or the chief legal officer of each of Holdings and the Company, setting forth any information required therein that has changed or confirming that there has been no change in such information since the date of such certificate or the date of the most recent certificate delivered pursuant to this Section 3.03(c) and certifying that all UCC financing statements, Intellectual Property Security Agreements and other appropriate filings, recordings or registrations have been filed of record in each governmental, municipal or other appropriate office in each jurisdiction necessary to protect and perfect the Security Interests and Liens in the United States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on its own behalf and on behalf of each other Grantor, at its own expense, to execute, acknowledge, deliver and cause to be duly filed all such further instruments and documents and take all such actions required from time to time to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 </w:t>
      </w:r>
    </w:p>
    <w:p>
      <w:pPr>
        <w:pStyle w:val="TextBody"/>
        <w:bidi w:val="0"/>
        <w:spacing w:before="240" w:after="0"/>
        <w:jc w:val="left"/>
        <w:rPr>
          <w:rFonts w:ascii="Times New Roman" w:hAnsi="Times New Roman"/>
          <w:sz w:val="20"/>
        </w:rPr>
      </w:pPr>
      <w:r>
        <w:rPr>
          <w:rFonts w:ascii="Times New Roman" w:hAnsi="Times New Roman"/>
          <w:sz w:val="20"/>
        </w:rPr>
        <w:t xml:space="preserve">(d) At its option, the Collateral Agent may discharge past due taxes, assessments, charges, fees, Liens, security interests or other encumbrances at any time levied or placed on the Article 9 Collateral and not permitted pursuant to Section 4.12 of the Indenture, and may pay for the maintenance and preservation of the Article 9 Collateral to the extent any Grantor fails to do so as required by the Indenture or this Agreement, and each Grantor jointly and severally agrees to reimburse the Collateral Agent within 10 Business Days after demand for any payment made or any reasonable expense incurred by the Collateral Agent pursuant to the foregoing authorization;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Grantors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not be obligated to reimburse the Collateral Agent with respect to any Article 9 Collateral consisting of Intellectual Property which any Grantor has failed to maintain or pursue, or otherwise allowed to lapse, terminate or be put into the public domain, in accordance with Section 3.03(i)(ix). Nothing in this paragraph shall be interpreted as excusing any Grantor from the performance of, or imposing any obligation on the Collateral Agent or any Secured Party to cure or perform, any covenants or other promises of any Grantor with respect to taxes, assessments, charges, fees, Liens, security interests or other encumbrances and maintenance as set forth herein, in the Indenture or in any other Security Document. </w:t>
      </w:r>
    </w:p>
    <w:p>
      <w:pPr>
        <w:pStyle w:val="TextBody"/>
        <w:bidi w:val="0"/>
        <w:spacing w:before="240" w:after="0"/>
        <w:jc w:val="left"/>
        <w:rPr>
          <w:rFonts w:ascii="Times New Roman" w:hAnsi="Times New Roman"/>
          <w:sz w:val="20"/>
        </w:rPr>
      </w:pPr>
      <w:r>
        <w:rPr>
          <w:rFonts w:ascii="Times New Roman" w:hAnsi="Times New Roman"/>
          <w:sz w:val="20"/>
        </w:rPr>
        <w:t xml:space="preserve">(e) If at any time any Grantor shall take a security interest in any property of an Account Debtor or any other Person, the value of which is in excess of $10,000,000, to secure payment and performance of an Account, such Grantor shall promptly assign such security interest to the Collateral Agent for the benefit of the Secured Parties. Such assignment need not be filed of public record unless necessary to continue the perfected status of the security interest against creditors of and transferees from the Account Debtor or other Person granting the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(f) Each Grantor (rather than the Collateral Agent or any Secured Party) shall remain liable (as between itself and any relevant counterparty) to observe and perform all the conditions and obligations to be observed and performed by it under each contract, agreement or instrument relating to the Article 9 Collateral, all in accordance with the terms and conditions thereof, and each Grantor jointly and severally agrees to indemnify and hold harmless the Collateral Agent and the Secured Parties from and against any and all liability for such performance. </w:t>
      </w:r>
    </w:p>
    <w:p>
      <w:pPr>
        <w:pStyle w:val="TextBody"/>
        <w:bidi w:val="0"/>
        <w:spacing w:before="240" w:after="0"/>
        <w:jc w:val="left"/>
        <w:rPr>
          <w:rFonts w:ascii="Times New Roman" w:hAnsi="Times New Roman"/>
          <w:sz w:val="20"/>
        </w:rPr>
      </w:pPr>
      <w:r>
        <w:rPr>
          <w:rFonts w:ascii="Times New Roman" w:hAnsi="Times New Roman"/>
          <w:sz w:val="20"/>
        </w:rPr>
        <w:t xml:space="preserve">(g) If any Grantor shall at any time hold or acquire a Commercial Tort Claim with a value in excess of $10,000,000 and for which such Grantor (or predecessor in interest) has filed a complaint in a court of competent jurisdiction, such Grantor shall promptly notify the Collateral Agent in writing signed by such Grantor of the brief details thereof and grant to the Collateral Agent a security interest therein and in the Proceeds thereof, all upon the terms of this Agreement pursuant to a document necessary to grant control to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(h) Intellectual Property Covenants,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 Other than to the extent permitted herein or in the Indenture or with respect to registration and applications no longer used, and except to the extent failure to act would not, as deemed by the applicable Grantor in its reasonable business judgment, be reasonably expected to have a Material Adverse Effect, with respect to each Patent, Trademark or Copyright registration, issuance or pending application now or hereafter included in the Article 9 Collateral for which such Grantor has standing to do so, each Grantor agrees to (A) take, at its expense, all reasonable steps, including, without limitation, in the USPTO, the USCO and any other governmental authority located in the United States, to diligently pursue the registration and maintenance of each such Patent, Trademark, or Copyright registration or application and (B) not abandon any such application prior to exhaustion of all administrative and judicial remedies where reasonable to do so. Each Grantor shall take all reasonable steps to maintain its trade secrets under applicable law and to preserve the secrecy of its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Other than to the extent permitted herein or in the Indenture, or with respect to registration and applications no longer used, or except as would not, as deemed by the applicable Grantor in its reasonable business judgment, be reasonably expected to have a Material Adverse Effect, no Grantor shall do or permit any act or knowingly omit to do any act whereby any of its Article 9 Collateral consisting of Intellectual Property may lapse, be terminated, or become invalid or unenforceable or placed in the public domain (or in the case of a trade secret, becomes publicly known). </w:t>
      </w:r>
    </w:p>
    <w:p>
      <w:pPr>
        <w:pStyle w:val="TextBody"/>
        <w:bidi w:val="0"/>
        <w:spacing w:before="120" w:after="0"/>
        <w:jc w:val="left"/>
        <w:rPr>
          <w:rFonts w:ascii="Times New Roman" w:hAnsi="Times New Roman"/>
          <w:sz w:val="20"/>
        </w:rPr>
      </w:pPr>
      <w:r>
        <w:rPr>
          <w:rFonts w:ascii="Times New Roman" w:hAnsi="Times New Roman"/>
          <w:sz w:val="20"/>
        </w:rPr>
        <w:t xml:space="preserve">(iii) Other than as excluded or as permitted herein or in the Indenture, or with respect to Patents, Copyrights or Trademarks which are no longer used or useful in the Grantor’s business operations, or except where failure to do so would not, as deemed by the applicable Grantor in its reasonable business judgment, be reasonably expected to have a Material Adverse Effect, each Grantor shall take all reasonable steps to preserve and protect each item of its Article 9 Collateral consisting of Intellectual Property, including, without limitation, maintaining the quality of any and all products or services used or provided in connection with any of the Trademarks included in the Article 9 Collateral, consistent with the quality of the products and services as of the date hereof, taking all reasonable steps necessary to ensure that all licensed users of any of the Trademarks included in the Article 9 Collateral abide by the applicable license’s terms with respect to the standards of quality, using the Trademarks included in the Article 9 Collateral which are material to such Grantor’s business in interstate commerce during the time in which this Agreement is in effect and taking all reasonable steps to preserve such Trademarks under the laws of the relevant jurisdiction. Other than as excluded or as permitted herein or in the Indenture, each Grantor agrees to renew those of its domain name registrations that are material to such Grantor’s business. </w:t>
      </w:r>
    </w:p>
    <w:p>
      <w:pPr>
        <w:pStyle w:val="TextBody"/>
        <w:bidi w:val="0"/>
        <w:spacing w:before="120" w:after="0"/>
        <w:jc w:val="left"/>
        <w:rPr>
          <w:rFonts w:ascii="Times New Roman" w:hAnsi="Times New Roman"/>
          <w:sz w:val="20"/>
        </w:rPr>
      </w:pPr>
      <w:r>
        <w:rPr>
          <w:rFonts w:ascii="Times New Roman" w:hAnsi="Times New Roman"/>
          <w:sz w:val="20"/>
        </w:rPr>
        <w:t xml:space="preserve">(iv) Each Grantor represents and warrants that it is the lawful owner of all material Article 9 Collateral consisting of Intellectual Property (other than, for the avoidance of doubt, Intellectual Property covered by Licenses granted to a Grantor by any third party), including (A) the Patents listed in the Perfection Certificate for such Grantor and that said Patents include all the material United States issued patents and pending United States patent applications that such Grantor owns as of the date hereof, and (B) the Copyrights listed in the Perfection Certificate for such Grantor and that said Copyrights include all the United States copyrights registered with the USCO for material United States copyrights that such Grantor owns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Each Grantor further represents and warrants that the Trademarks and domain names listed in the Perfection Certificate include all material United States registered marks and applications for United States registered marks in the USPTO and all material domain names that such Grantor owns in connection with its business as of the date hereof. Each Grantor represents and warrants that it is the lawful owner of all U.S. trademark registrations and applications and domain name registrations listed in the Perfection Certificate and that said registrations are subsisting and have not been canceled, and that such Grantor has not received any written third-party claim that any of said registrations is invalid or unenforceable, other than as would not, either individually or in the aggregate, in the Grantor’s reasonable opinion,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 Each Grantor agrees, promptly upon learning thereof, to notify the Collateral Agent in writing of the name and address of, and to furnish such pertinent information that may be available with respect to, any party who such Grantor learns is likely to be infringing, contributorily infringing, actively inducing infringement, misappropriating or otherwise violating any of such Grantor’s rights in and to any Intellectual Property included in the Article 9 Collateral in any manner that would, in the Grantor’s reasonable opinion, reasonably be expected to have a Material Adverse Effect, or with respect to any party claiming that such Grantor’s use of any Intellectual Property included in the Article 9 Collateral and material to such Grantor’s business violates in any material respect any property right of such party. Each Grantor further agrees to take appropriate actions diligently against, including, but not limited to, the prosecution of, in accordance with reasonable business practices, any Person infringing any Intellectual Property right included in the Article 9 Collateral in any manner that would, in the Grantor’s reasonable opinion, reasonably be expected to, either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If after the date hereof (A) any Grantor acquires, makes an application for, or is issued a registration for Intellectual Property before the USPTO, the USCO, or an equivalent thereof in any state of the United States, other than any Intellectual Property constituting an Excluded Asset for so long as such Intellectual Property constitutes an Excluded Asset, or (B) any Grantor files acceptable evidence of use with respect to an intent-to-use Trademark application of such Grantor, which as a result, is no longer an Excluded Asset, such Grantor shall, at its own expense, concurrently with the delivery of the updated Perfection Certificate pursuant to Section 3.03(c), deliver to the Collateral Agent an Intellectual Property Security Agreement confirming the grant of a security interest in such Intellectual Property to the Collateral Agent hereunder, which must be substantially in the form of Exhibit III hereto in the case of Patents, Exhibit IV hereto in the case of Trademarks, or Exhibit V hereto in the case of Copyrights. </w:t>
      </w:r>
    </w:p>
    <w:p>
      <w:pPr>
        <w:pStyle w:val="TextBody"/>
        <w:bidi w:val="0"/>
        <w:spacing w:before="120" w:after="0"/>
        <w:jc w:val="left"/>
        <w:rPr>
          <w:rFonts w:ascii="Times New Roman" w:hAnsi="Times New Roman"/>
          <w:sz w:val="20"/>
        </w:rPr>
      </w:pPr>
      <w:r>
        <w:rPr>
          <w:rFonts w:ascii="Times New Roman" w:hAnsi="Times New Roman"/>
          <w:sz w:val="20"/>
        </w:rPr>
        <w:t xml:space="preserve">(viii) If a United States Patent or an application for a United States Patent or a registered Copyright, is issued to or acquired by a Grantor, the relevant Grantor shall, including upon reasonable request by the Collateral Agent (but in any event, not more than three times per fiscal year), deliver to the Collateral Agent a copy of said Copyright or Patent, or certificate or registration of, or application therefor,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Nothing in this Agreement, in the Indenture or any other Security Document prevents any Grantor from disposing of, discontinuing the use or maintenance of, failing to pursue, or otherwise allowing to lapse, terminate or be put into the public domain, any of its Article 9 Collateral consisting of Intellectual Property to the extent permitted by the Indenture if such Grantor determines in its reasonable business judgment that such action is desirable in the conduct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Other Actions</w:t>
      </w:r>
      <w:r>
        <w:rPr>
          <w:rFonts w:ascii="Times New Roman" w:hAnsi="Times New Roman"/>
          <w:sz w:val="20"/>
        </w:rPr>
        <w:t xml:space="preserve">. In order to further ensure the attachment, perfection and priority of, and the ability of the Collateral Agent to enforce, the Security Interest, each Grantor agrees, in each case at such Grantor’s own expense, to take the following actions with respect to the following Article 9 Collateral: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Instruments</w:t>
      </w:r>
      <w:r>
        <w:rPr>
          <w:rFonts w:ascii="Times New Roman" w:hAnsi="Times New Roman"/>
          <w:sz w:val="20"/>
        </w:rPr>
        <w:t xml:space="preserve">. If any Grantor shall at any time hold or acquire any Instruments constituting Article 9 Collateral and evidencing an amount in excess of $10,000,000, such Grantor shall forthwith endorse, assign and deliver the same to the Collateral Agent for the benefit of the Secured Parties, accompanied by such instruments of transfer or assignment duly executed in blank as are required under this Agreement or necessary to perfect a Security Interest or that as the Collateral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Investment Property</w:t>
      </w:r>
      <w:r>
        <w:rPr>
          <w:rFonts w:ascii="Times New Roman" w:hAnsi="Times New Roman"/>
          <w:sz w:val="20"/>
        </w:rPr>
        <w:t xml:space="preserve">. Except to the extent otherwise provided in Article II, if any Grantor shall at any time hold or acquire any certificated securities, such Grantor shall forthwith endorse, assign and deliver the same to the Collateral Agent for the benefit of the Secured Parties, accompanied by such instruments of transfer or assignment duly executed in blank as are necessary to grant the Collateral Agent control over such securities or as the Collateral Agent may from time to time reasonably request. If any securities now or hereafter acquired by any Grantor are uncertificated and are issued to such Grantor or its nominee directly by the issuer thereof, following the occurrence of an Event of Default such Grantor shall promptly notify the Collateral Agent thereof and, pursuant to an agreement in form and substance as is necessary to grant control to the Collateral Agent, either (i) cause the issuer to agree to comply with instructions from the Collateral Agent as to such securities, without further consent of any Grantor or such nominee, or (ii) arrange for the Collateral Agent to become the registered owner of such securities. If any securities, whether certificated or uncertificated, or other investment property are held by any Grantor or its nominee through a securities intermediary or commodity intermediary, following the occurrence of an Event of Default, such Grantor shall immediately notify the Collateral Agent thereof, pursuant to an agreement in form and substance as is necessary to grant control to the Collateral Agent shall either (i) cause such securities intermediary or (as the case may be) commodity intermediary to agree to comply with entitlement orders or other instructions from the Collateral Agent to such securities intermediary as to such security entitlements, or (as the case may be) to apply any value distributed on account of any commodity contract to such commodity intermediary, in each case without further consent of any Grantor or such nominee, or (ii) in the case of financial assets or other Investment Property held through a securities intermediary, arrange for the Collateral Agent to become the entitlement holder with respect to such Investment Property, with the Grantor being permitted, only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of the Collateral Agent (as directed by Holders of a majority in aggregate principal amount of the then outstanding Notes), to exercise rights to withdraw or otherwise deal with such Investment Property. The Collateral Agent agrees with each of the Grantors that the Collateral Agent shall not give any such entitlement orders or instructions or directions to any such issuer, securities intermediary or commodity intermediary, and shall not withhold its consent to the exercise of any withdrawal or dealing rights by any Grantor, unless an Event of Default has occurred and is continuing. The provisions of this paragraph shall not apply to any financial assets credited to a securities account for which the Collateral Agent is the securities intermediary.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Remedies upon Default</w:t>
      </w:r>
      <w:r>
        <w:rPr>
          <w:rFonts w:ascii="Times New Roman" w:hAnsi="Times New Roman"/>
          <w:sz w:val="20"/>
        </w:rPr>
        <w:t xml:space="preserve">. Upon the occurrence and during the continuance of an Event of Default, it is agreed that the Collateral Agent shall have the right (but not the obligation) to exercise any and all rights afforded to a secured party with respect to the Obligations under the Uniform Commercial Code or other applicable law and also may (but shall not be obligated to) (i) require each Grantor to, and each Grantor agrees that it will at its expense and upon request of the Collateral Agent forthwith, assemble all or part of the Collateral as directed by the Collateral Agent and make it available to the Collateral Agent at a place and time to be designated by the Collateral Agent that is reasonably convenient to both parties; (ii) occupy any premises owned or, to the extent lawful and permitted, leased by any of the Grantors where the Collateral or any part thereof is assembled or located for a reasonable period in order to effectuate its rights and remedies hereunder or under law, without obligation to such Grantor in respect of such occupation; </w:t>
      </w:r>
      <w:r>
        <w:rPr>
          <w:rFonts w:ascii="Times New Roman" w:hAnsi="Times New Roman"/>
          <w:i/>
          <w:sz w:val="20"/>
        </w:rPr>
        <w:t>provided</w:t>
      </w:r>
      <w:r>
        <w:rPr>
          <w:rFonts w:ascii="Times New Roman" w:hAnsi="Times New Roman"/>
          <w:sz w:val="20"/>
        </w:rPr>
        <w:t xml:space="preserve"> that the Collateral Agent shall provide the applicable Grantor with notice thereof prior to or promptly after such occupancy; (iii) declare the entire right, title, and interest of such Grantor in each of the Patents, Trademarks, domain names and Copyrights included in the Article 9 Collateral vested in the Collateral Agent for the benefit of the Secured Parties (in which event such right, title, and interest shall immediately vest in the Collateral Agent for the benefit of the Secured Parties, and the Collateral Agent shall be entitled to exercise the power of attorney referred to below in Section 4.03 hereof to execute, cause to be acknowledged and notarized and to record said absolute assignment with the applicable agency); (iv) exercise any and all rights and remedies of any of the Grantors under or in connection with the Collateral, or otherwise in respect of the Collateral; </w:t>
      </w:r>
      <w:r>
        <w:rPr>
          <w:rFonts w:ascii="Times New Roman" w:hAnsi="Times New Roman"/>
          <w:i/>
          <w:sz w:val="20"/>
        </w:rPr>
        <w:t>provided</w:t>
      </w:r>
      <w:r>
        <w:rPr>
          <w:rFonts w:ascii="Times New Roman" w:hAnsi="Times New Roman"/>
          <w:sz w:val="20"/>
        </w:rPr>
        <w:t xml:space="preserve"> that the Collateral Agent shall provide the applicable Grantor with notice thereof prior to or promptly after such exercise; and (v) subject to the mandatory requirements of applicable law and the notice requirements described below, sell or otherwise dispose of all or any part of the Collateral securing the Obligations at a public or private sale or at any broker’s board or on any securities exchange, for cash, upon credit or for future delivery as the Collateral Agent shall deem appropriate.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the Collateral so sold. Each such purchaser at any sale of Collateral shall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 Upon the occurrence and during the continuance of an Event of Default, the Grantors agree to execute such further documents as the Collateral Agent may reasonably request to transfer ownership of the Patents, Trademarks, domain names and Copyrights included in the Article 9 Collateral to the Collateral Agent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Agent shall give the applicable Grantors 10 days’ written notice (which each Grantor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(but shall not be obligated to)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Obligations paid in full. As an alternative to exercising the power of sale herein conferred upon it,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may proceed by a suit or suits at law or in equity to foreclose this Agreement and to sell the Collateral or any portion thereof pursuant to a judgment or decree of a court or courts having competent jurisdiction or pursuant to a proceeding by a court appointed receiver. Any sale pursuant to the provisions of this Section 4.01 shall be deemed to conform to the commercially reasonable standards as provided in Section 9-610(b) of the New York UCC or its equivalent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Each Grantor irrevocably makes, constitutes and appoints the Collateral Agent (and all officers, employees or agents designated by the Collateral Agent) as such Grantor’s true and lawful agent (and attorney-in-fact) during the continuance of an Event of Default and after notice to the Company of its intent to exercise such rights, for the purpose of (i) making, settling and adjusting claims in respect of Article 9 Collateral under policies of insurance, endorsing the name of such Grantor on any check, draft, instrument or other item of payment for the proceeds of such policies of insurance, and (ii) making all determinations and decisions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Application of Proceeds</w:t>
      </w:r>
      <w:r>
        <w:rPr>
          <w:rFonts w:ascii="Times New Roman" w:hAnsi="Times New Roman"/>
          <w:sz w:val="20"/>
        </w:rPr>
        <w:t xml:space="preserve">. The Collateral Agent shall transfer the proceeds of any collection or sale of Collateral, including any Collateral consisting of cash, to the Trustee for further application in accordance with Section 6.10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 The Collateral Agent shall have absolute discretion as to the time of application of any such proceeds, moneys or balances in accordance with this Agreement and the Indenture.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w:t>
      </w:r>
    </w:p>
    <w:p>
      <w:pPr>
        <w:pStyle w:val="TextBody"/>
        <w:bidi w:val="0"/>
        <w:spacing w:before="240" w:after="0"/>
        <w:jc w:val="left"/>
        <w:rPr>
          <w:rFonts w:ascii="Times New Roman" w:hAnsi="Times New Roman"/>
          <w:sz w:val="20"/>
        </w:rPr>
      </w:pPr>
      <w:r>
        <w:rPr>
          <w:rFonts w:ascii="Times New Roman" w:hAnsi="Times New Roman"/>
          <w:sz w:val="20"/>
        </w:rPr>
        <w:t xml:space="preserve">(b) In making the determinations and allocations required by this Section 4.02, the Collateral Agent may conclusively rely upon information supplied by the Trustee as to the amounts of unpaid principal and interest and other amounts outstanding with respect to the Obligations, and the Collateral Agent shall have no liability to any of the Secured Parties for actions taken in reliance on such information, </w:t>
      </w:r>
      <w:r>
        <w:rPr>
          <w:rFonts w:ascii="Times New Roman" w:hAnsi="Times New Roman"/>
          <w:i/>
          <w:sz w:val="20"/>
        </w:rPr>
        <w:t>provided</w:t>
      </w:r>
      <w:r>
        <w:rPr>
          <w:rFonts w:ascii="Times New Roman" w:hAnsi="Times New Roman"/>
          <w:sz w:val="20"/>
        </w:rPr>
        <w:t xml:space="preserve"> that nothing in this sentence shall prevent any Grantor from contesting any amounts claimed by any Secured Party in any information so supplied. All distributions made by the Collateral Agent pursuant to this Section 4.02 shall be (subject to any decree of any court of competent jurisdiction) final (absent manifest error), and the Collateral Agent shall have no duty to inquire as to the application of any amounts distributed to it. It is understood and agreed that the Grantors shall remain jointly and severally liable to the extent of any deficiency between the amount of the proceeds of the Collateral and the aggregate amount of the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Grant of License to Use Intellectual Property; Power of Attorney</w:t>
      </w:r>
      <w:r>
        <w:rPr>
          <w:rFonts w:ascii="Times New Roman" w:hAnsi="Times New Roman"/>
          <w:sz w:val="20"/>
        </w:rPr>
        <w:t xml:space="preserve">. For the exclusive purpose of enabling the Collateral Agent to exercise rights and remedies under this Agreement at such time as the Collateral Agent shall be lawfully entitled to exercise such rights and remedies, each Grantor hereby grants to the Collateral Agent, effective upon the occurrence of, and at all times during the continuance of, an Event of Default, a non-exclusive, irrevocable, royalty-free, limited license (until the termination or cure of the Event of Default) to use, license or sublicense any of the Intellectual Property now or hereafter owned or licensed by such Grantor, and wherever the same may be located, and including in such license reasonable access to all media in which any of the licensed items may be recorded or stored and to all computer software and programs used for the compilation or printout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Section 4.03 shall require the Grantors to grant any license that is prohibited by any rule of law, statute or regulation, or is prohibited by, or constitutes a breach or default under or results in the termination of any contract, license, agreement, instrument or other document evidencing, giving rise to or theretofore granted, to the extent permitted by the Indenture, with respect to such property or otherwise unreasonably prejudices the value thereof to the relevant Grantor;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 such licenses to be granted hereunder with respect to Trademarks shall be subject to the maintenance of quality standards with respect to the goods and services on which such Trademarks are used sufficient to preserve the validity of such Trademarks, and (b) such licenses to be granted hereunder with respect to trade secrets shall be subject to the Secured Parties taking reasonable steps to maintain such trade secrets under applicable law and to preserve the secrecy thereof. For the avoidance of doubt, the use of such license by the Collateral Agent may be exercised, at the option of the Collateral Agent, only during the continuation of an Event of Default. Furthermore, each Grantor hereby grants to the Collateral Agent an absolute power of attorney to sign, upon the occurrence and during the continuance of any Event of Default, any document which may be required by the USPTO or the USCO in order to effect an absolute assignment of all right, title and interest in each Patent, Trademark or Copyright included in the Article 9 Collateral, and to record the same. Notwithstanding the grant of rights and licenses to the Collateral Agent under this Section 4.03, the Collateral Agent has no duty to exercise such rights or utilize such licenses.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Indemnity, Subrogation and Subordination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Indemnity</w:t>
      </w:r>
      <w:r>
        <w:rPr>
          <w:rFonts w:ascii="Times New Roman" w:hAnsi="Times New Roman"/>
          <w:sz w:val="20"/>
        </w:rPr>
        <w:t xml:space="preserve">. In addition to all such rights of indemnity and subrogation as the Grantors may have under applicable law (but subject to Section 5.03), the Company agrees that, in the event any assets of any Grantor shall be sold pursuant to this Agreement or any other Security Document to satisfy in whole or in part an Obligation owed to any Secured Party, the Company shall indemnify such Grantor in an amount equal to the greater of the book value or the fair market value of the assets so sold.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Contribution and Subrogation</w:t>
      </w:r>
      <w:r>
        <w:rPr>
          <w:rFonts w:ascii="Times New Roman" w:hAnsi="Times New Roman"/>
          <w:sz w:val="20"/>
        </w:rPr>
        <w:t>. Each Grantor (a “</w:t>
      </w:r>
      <w:r>
        <w:rPr>
          <w:rFonts w:ascii="Times New Roman" w:hAnsi="Times New Roman"/>
          <w:b/>
          <w:sz w:val="20"/>
        </w:rPr>
        <w:t>Contributing Party</w:t>
      </w:r>
      <w:r>
        <w:rPr>
          <w:rFonts w:ascii="Times New Roman" w:hAnsi="Times New Roman"/>
          <w:sz w:val="20"/>
        </w:rPr>
        <w:t>”) agrees (subject to Section 5.03) that, in the event assets of any other Grantor shall be sold pursuant to any Security Document to satisfy any Obligation owed to any Secured Party, and such other Grantor (the “</w:t>
      </w:r>
      <w:r>
        <w:rPr>
          <w:rFonts w:ascii="Times New Roman" w:hAnsi="Times New Roman"/>
          <w:b/>
          <w:sz w:val="20"/>
        </w:rPr>
        <w:t>Claiming Party</w:t>
      </w:r>
      <w:r>
        <w:rPr>
          <w:rFonts w:ascii="Times New Roman" w:hAnsi="Times New Roman"/>
          <w:sz w:val="20"/>
        </w:rPr>
        <w:t xml:space="preserve">”) shall not have been fully indemnified by the Company as provided in Section 5.01, the Contributing Party shall indemnify the Claiming Party in an amount equal to the greater of the book value or the fair market value of such assets, in each case multiplied by a fraction of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numerator shall be the net worth of the Contributing Party on the date hereof and the denominator shall be the aggregate net worth of all the Contributing Parties together with the net worth of the Claiming Party on the date hereof (or, in the case of any Grantor becoming a party hereto pursuant to Section 6.15, the date of the Security Agreement Supplement hereto executed and delivered by such Grantor). Any Contributing Party making any payment to a Claiming Party pursuant to this Section 5.02 shall be subrogated to the rights of such Claiming Party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Subordination</w:t>
      </w:r>
      <w:r>
        <w:rPr>
          <w:rFonts w:ascii="Times New Roman" w:hAnsi="Times New Roman"/>
          <w:sz w:val="20"/>
        </w:rPr>
        <w:t xml:space="preserve">. Notwithstanding any provision of this Agreement to the contrary, all rights of the Grantors under Sections 5.01 and 5.02 and all other rights of indemnity, contribution or subrogation under applicable law or otherwise shall be fully subordinated to the indefeasible payment in full in cash of the Obligations, </w:t>
      </w:r>
      <w:r>
        <w:rPr>
          <w:rFonts w:ascii="Times New Roman" w:hAnsi="Times New Roman"/>
          <w:i/>
          <w:sz w:val="20"/>
        </w:rPr>
        <w:t>provided</w:t>
      </w:r>
      <w:r>
        <w:rPr>
          <w:rFonts w:ascii="Times New Roman" w:hAnsi="Times New Roman"/>
          <w:sz w:val="20"/>
        </w:rPr>
        <w:t xml:space="preserve"> that if any amount shall be paid to such Grantor on account of such subrogation rights at any time prior to the irrevocable payment in full in cash of all the Obligations, such amount shall be held in trust for the benefit of the Secured Parties and shall forthwith be paid to the Collateral Agent to be credited and applied against the Obligations, whether matured or unmatured, in accordance with Section 6.10 of the Indenture. No failure on the part of the Company or any Grantor to make the payments required by Sections 5.01 and 5.02 (or any other payments required under applicable law or otherwise) shall in any respect limit the obligations and liabilities of any Grantor with respect to its obligations hereunder, and each Grantor shall remain liable for the full amount of the obligations of such Grantor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Notices</w:t>
      </w:r>
      <w:r>
        <w:rPr>
          <w:rFonts w:ascii="Times New Roman" w:hAnsi="Times New Roman"/>
          <w:sz w:val="20"/>
        </w:rPr>
        <w:t xml:space="preserve">. All communications and notices hereunder shall (except as otherwise expressly permitted herein) be in writing and given as provided in Section 13.01 of the Indenture. All communications and notices hereunder to any Grantor shall be given to it in care of the Company as provided in Section 13.01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Waivers; Amendment</w:t>
      </w:r>
      <w:r>
        <w:rPr>
          <w:rFonts w:ascii="Times New Roman" w:hAnsi="Times New Roman"/>
          <w:sz w:val="20"/>
        </w:rPr>
        <w:t xml:space="preserve">. (a) No failure or delay by the Collateral Agent or any Secured Party in exercising any right or power hereunder or under the Indenture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and any other Secured Party hereunder and under the Indenture are cumulative and are not exclusive of any rights or remedies that they would otherwise have. No waiver of any provision of this Agreement or consent to any departure by any Grantor therefrom shall in any event be effective unless the same shall be permitted by paragraph (b) of this Section 6.02, and then such waiver or consent shall be effective only in the specific instance and for the purpose for which given. No notice or demand on any Grantor in any case shall entitle any Grantor to any other or further notice or demand in similar or other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this Agreement nor any provision hereof may be waived, amended or modified except pursuant to an agreement or agreements in writing entered into by the Collateral Agent and the Grantor or Grantors with respect to which such waiver, amendment or modification is to apply, subject to any consent required in accordance with Article 9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Collateral Agent’s Fees and Expenses</w:t>
      </w:r>
      <w:r>
        <w:rPr>
          <w:rFonts w:ascii="Times New Roman" w:hAnsi="Times New Roman"/>
          <w:sz w:val="20"/>
        </w:rPr>
        <w:t xml:space="preserve">. (a) The parties hereto agree that the Collateral Agent shall be entitled to payment of its fees and reimbursement of its expenses incurred hereunder as provided in Section 7.06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limitation of its indemnification obligations under the Indenture, the Company and the Grantors, jointly and severally, agree to indemnify the Collateral Agent and the other Indemnitees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the execution, delivery or performance of this Agreement or any claim, litigation, investigation or proceeding relating to the Indenture or this Agreement or any of the foregoing agreements or instruments contemplated hereby, whether or not any Indemnitee is a party thereto; </w:t>
      </w:r>
      <w:r>
        <w:rPr>
          <w:rFonts w:ascii="Times New Roman" w:hAnsi="Times New Roman"/>
          <w:i/>
          <w:sz w:val="20"/>
        </w:rPr>
        <w:t>provided</w:t>
      </w:r>
      <w:r>
        <w:rPr>
          <w:rFonts w:ascii="Times New Roman" w:hAnsi="Times New Roman"/>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of any director, officer or employee thereof. </w:t>
      </w:r>
    </w:p>
    <w:p>
      <w:pPr>
        <w:pStyle w:val="TextBody"/>
        <w:bidi w:val="0"/>
        <w:spacing w:before="240" w:after="0"/>
        <w:jc w:val="left"/>
        <w:rPr>
          <w:rFonts w:ascii="Times New Roman" w:hAnsi="Times New Roman"/>
          <w:sz w:val="20"/>
        </w:rPr>
      </w:pPr>
      <w:r>
        <w:rPr>
          <w:rFonts w:ascii="Times New Roman" w:hAnsi="Times New Roman"/>
          <w:sz w:val="20"/>
        </w:rPr>
        <w:t xml:space="preserve">(c) Any such amounts payable as provided hereunder shall be additional Obligations secured hereby and by the other Security Documents. The provisions of this Section 6.03 shall remain operative and in full force and effect regardless of the termination of this Agreement, the discharge of the Indenture or termination of any other Security Document, the consummation of the transactions contemplated hereby, the repayment of any of the Obligations, the resignation or removal of the Collateral Agent, the invalidity or unenforceability of any term or provision of this Agreement, the Indenture or any other Security Document, or any investigation made by or on behalf of the Collateral Agent or any other Secured Party. All amounts due under this Section 6.03 shall be payable within 10 days of written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Successors and Assigns</w:t>
      </w:r>
      <w:r>
        <w:rPr>
          <w:rFonts w:ascii="Times New Roman" w:hAnsi="Times New Roman"/>
          <w:sz w:val="20"/>
        </w:rPr>
        <w:t xml:space="preserve">. Whenever in this Agreement any of the parties hereto is referred to, such reference shall be deemed to include the permitted successors and assigns of such party; and all covenants, promises and agreements by or on behalf of any Grantor or the Collateral Agent that are contained in this Agreement shall bind and inure to the benefit of their respective successors and assigns, to the extent permitted under Article 5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Survival of Agreement</w:t>
      </w:r>
      <w:r>
        <w:rPr>
          <w:rFonts w:ascii="Times New Roman" w:hAnsi="Times New Roman"/>
          <w:sz w:val="20"/>
        </w:rPr>
        <w:t xml:space="preserve">. All representations and warranties made hereunder and in the Indenture or other document delivered pursuant hereto or thereto or in connection herewith or therewith shall survive the execution and delivery hereof and thereof. Such representations and warranties have been or will be relied upon by the Collateral Agent and each other Secured Party, regardless of any investigation made by the Collateral Agent or any other Secured Party or on their behalf and notwithstanding that the Collateral Agent or any Secured Party may have had notice or knowledge of any Default and shall continue in full force and effect as long as any Obligation under the Indenture or any Security Document shall remain unpaid or unsatisfied.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Counterparts; Effectiveness; Successors and Assigns; Several Agreement</w:t>
      </w:r>
      <w:r>
        <w:rPr>
          <w:rFonts w:ascii="Times New Roman" w:hAnsi="Times New Roman"/>
          <w:sz w:val="20"/>
        </w:rPr>
        <w:t xml:space="preserve">. This Agreement may be executed in one or more counterparts, each of which shall be deemed an original, but all of which together shall constitute one and the same instrument.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UCC; notwithstanding anything herein to the contrary, the Collateral Agent is not under any obligation to agree to accept electronic signatures in any form or in any format unless expressly agreed to by the Collateral Agent pursuant to reasonable procedures approved by the Collateral Agent. This Agreement shall become effective as to any Grantor when a counterpart hereof executed on behalf of such Grantor shall have been delivered to the Collateral Agent and a counterpart hereof shall have been executed on behalf of the Collateral Agent, and thereafter shall be binding upon such Grantor and the Collateral Agent and their respective successors and assigns permitted thereby, and shall inure to the benefit of such Grantor, the Collateral Agent and the other Secured Parties and their respective successors and assigns permitted thereby, except that no Grantor shall have the right to assign or transfer its rights or obligations hereunder or any interest herein or in the Collateral (and any such assignment or transfer shall be void) except as expressly contemplated by this Agreement or the Indenture.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 </w:t>
      </w:r>
    </w:p>
    <w:p>
      <w:pPr>
        <w:pStyle w:val="TextBody"/>
        <w:bidi w:val="0"/>
        <w:spacing w:before="240" w:after="0"/>
        <w:jc w:val="left"/>
        <w:rPr>
          <w:rFonts w:ascii="Times New Roman" w:hAnsi="Times New Roman"/>
          <w:sz w:val="20"/>
        </w:rPr>
      </w:pPr>
      <w:r>
        <w:rPr>
          <w:rFonts w:ascii="Times New Roman" w:hAnsi="Times New Roman"/>
          <w:sz w:val="20"/>
          <w:u w:val="single"/>
        </w:rPr>
        <w:t>SECTION 6.07.</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provision of this Agreement, any other Security Document or the Indenture is held to be illegal, invalid or unenforceable, the legality, validity and enforceability of the remaining provisions of this Agreement and the other Security Documents shall not be affected or impaired thereby. The invalidity of a provision in a particular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6.08. [Reserved].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Governing Law; Jurisdiction; Consent to Service of Process</w:t>
      </w:r>
      <w:r>
        <w:rPr>
          <w:rFonts w:ascii="Times New Roman" w:hAnsi="Times New Roman"/>
          <w:sz w:val="20"/>
        </w:rPr>
        <w:t xml:space="preserve">. (a) THIS AGREEMENT SHALL BE GOVERNED BY, AND CONSTRUED IN ACCORDANCE WITH, THE LAW OF THE STATE OF NEW YORK (EXCEPT AS OTHERWISE EXPRESSLY PROVIDED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LEGAL ACTION OR PROCEEDING ARISING UNDER THIS AGREEMENT OR IN ANY WAY CONNECTED WITH OR RELATED OR INCIDENTAL TO THE DEALINGS OF THE PARTIES HERETO OR ANY OF THEM WITH RESPECT TO THIS AGREEMENT, THE INDENTURE, THE NOTES OR THE TRANSACTIONS RELATED THERETO, IN EACH CASE WHETHER NOW EXISTING OR HEREAFTER ARISING, MAY BE BROUGHT IN THE COURTS OF THE STATE OF NEW YORK SITTING IN NEW YORK CITY OR OF THE UNITED STATES FOR THE SOUTHERN DISTRICT OF SUCH STATE, AND BY EXECUTION AND DELIVERY OF THIS AGREEMENT, EACH OF THE COMPANY, HOLDINGS, EACH GRANTOR, AND THE COLLATERAL AGENT CONSENTS, FOR ITSELF AND IN RESPECT OF ITS PROPERTY, TO THE EXCLUSIVE JURISDICTION OF THOSE COURTS. EACH OF THE COMPANY, HOLDINGS, EACH GRANTOR, AND THE COLLATERAL AGENT IRREVOCABLY WAIVES ANY OBJECTION, INCLUDING ANY OBJECTION TO THE LAYING OF VENUE OR BASED ON THE GROUNDS OF FORUM NON CONVENIENS, WHICH IT MAY NOW OR HEREAFTER HAVE TO THE BRINGING OF ANY ACTION OR PROCEEDING IN SUCH JURISDICTION IN RESPECT OF THIS AGREEMENT, THE INDENTURE OR ANY OTHER DOCUMENT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to this Agreement irrevocably consents to service of process in the manner provided for notices in Section 6.01. Nothing in this Agreement or in the Indenture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WAIVER OF RIGHT TO TRIAL BY JURY</w:t>
      </w:r>
      <w:r>
        <w:rPr>
          <w:rFonts w:ascii="Times New Roman" w:hAnsi="Times New Roman"/>
          <w:sz w:val="20"/>
        </w:rPr>
        <w:t xml:space="preserve">. EACH PARTY TO THIS AGREEMENT HEREBY EXPRESSLY WAIVES ANY RIGHT TO TRIAL BY JURY OF ANY CLAIM, DEMAND, ACTION OR CAUSE OF ACTION ARISING UNDER THIS AGREEMENT, THE INDENTURE OR IN ANY WAY CONNECTED WITH OR RELATED OR INCIDENTAL TO THE DEALINGS OF THE PARTIES HERETO OR ANY OF THEM WITH RESPECT TO THIS AGREEMENT, THE INDENTURE,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6.10 WITH ANY COURT AS WRITTEN EVIDENCE OF THE CONSENT OF THE SIGNATORIES HERETO TO THE WAIVER OF THEIR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are not to affect the construction of, or to be taken into consideration in interpreting,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Security Interest Absolute</w:t>
      </w:r>
      <w:r>
        <w:rPr>
          <w:rFonts w:ascii="Times New Roman" w:hAnsi="Times New Roman"/>
          <w:sz w:val="20"/>
        </w:rPr>
        <w:t xml:space="preserve">. All rights of the Collateral Agent hereunder, the Security Interest, the grant of a security interest in the Collateral and all obligations of each Grantor hereunder shall be absolute and unconditional irrespective of (a) any lack of validity or enforceability of the Indenture,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Indenture or any other agreement or instrument, (c) any exchange, release or non-perfection of any Lien on other collateral, or any release or amendment or waiver of or consent under or departure from any guarantee, securing or guaranteeing all or any of the Obligations or (d) any other circumstance that might otherwise constitute a defense available to, or a discharge of, any Grantor in respect of the Obligations or this Agreement. </w:t>
      </w:r>
    </w:p>
    <w:p>
      <w:pPr>
        <w:pStyle w:val="TextBody"/>
        <w:bidi w:val="0"/>
        <w:spacing w:before="240" w:after="0"/>
        <w:jc w:val="left"/>
        <w:rPr>
          <w:rFonts w:ascii="Times New Roman" w:hAnsi="Times New Roman"/>
          <w:sz w:val="20"/>
        </w:rPr>
      </w:pPr>
      <w:r>
        <w:rPr>
          <w:rFonts w:ascii="Times New Roman" w:hAnsi="Times New Roman"/>
          <w:sz w:val="20"/>
        </w:rPr>
        <w:t>SECTION 6.13. [Reserved]</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Termination or Release</w:t>
      </w:r>
      <w:r>
        <w:rPr>
          <w:rFonts w:ascii="Times New Roman" w:hAnsi="Times New Roman"/>
          <w:sz w:val="20"/>
        </w:rPr>
        <w:t xml:space="preserve">. (a) This Agreement, the Security Interest and all other security interests granted hereby shall terminate with respect to all Obligations and any Liens arising therefrom shall be automatically released when all the outstanding Obligations have been indefeasibly satisfied and discharged in accordance with Section 12.01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Upon any disposition by any Grantor of any Collateral that is not prohibited by the Indenture or upon the effectiveness of any written consent to the release of the security interest granted hereby in any Collateral pursuant to Section 10.04 of the Indenture, the security interest of such Grantor in such Collateral shall be automatically released.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any termination or release pursuant to paragraph (a), (b), (c) or (d) of this Section 6.14, upon receipt of the documents required by paragraph (f) of this Section 6.14 and the Indenture, the Collateral Agent shall execute and deliver to any Grantor, at such Grantor’s expense, all documents that such Grantor shall reasonably request to evidence such termination or release. Any execution and delivery of documents pursuant to this Section 6.14 shall be without recourse to or representation or warranty by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(f) At any time that the respective Grantor desires that the Collateral Agent take any action described in the immediately preceding paragraph (e), it shall, upon request of the Collateral Agent, deliver to the Collateral Agent an Officer’s Certificate certifying that the release of the respective Collateral is permitted pursuant to paragraph (a), (b), (c) or (d). The Collateral Agent shall have no liability whatsoever to any Secured Party or any other Person as a result of any release of Collateral in reliance on such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Additional Grantors</w:t>
      </w:r>
      <w:r>
        <w:rPr>
          <w:rFonts w:ascii="Times New Roman" w:hAnsi="Times New Roman"/>
          <w:sz w:val="20"/>
        </w:rPr>
        <w:t xml:space="preserve">. If at any time a Subsidiary of the Company executes and delivers a supplemental indenture to the Indenture to become a Guarantor in accordance with Section 4.17 of the Indenture, contemporaneously with the execution and delivery of any such supplemental indenture, such Subsidiary shall execute and deliver a Security Agreement Supplement in the form of Exhibit I hereto by the Collateral Agent and such Subsidiary; </w:t>
      </w:r>
      <w:r>
        <w:rPr>
          <w:rFonts w:ascii="Times New Roman" w:hAnsi="Times New Roman"/>
          <w:i/>
          <w:sz w:val="20"/>
        </w:rPr>
        <w:t>provided that,</w:t>
      </w:r>
      <w:r>
        <w:rPr>
          <w:rFonts w:ascii="Times New Roman" w:hAnsi="Times New Roman"/>
          <w:sz w:val="20"/>
        </w:rPr>
        <w:t xml:space="preserve"> any Foreign Guarantor shall only be required to deliver a Security Agreement Supplement if it (i) holds or acquires (including by formation) Equity Interests in any U.S. Subsidiary of a Restricted Party or (ii) acquires or maintains any material assets located in the United States in accordance with Section 4.17 of the Indenture. Upon such execution and delivery, such Subsidiary shall become a Grantor hereunder with the same force and effect as if originally named as a Grantor herein. The execution and delivery of any such instrument shall not require the consent of any other Grantor hereunder. The rights and obligations of each Grantor hereunder shall remain in full force and effect notwithstanding the addition of any new Grantor as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Collateral Agent Appointed Attorney-in-Fact</w:t>
      </w:r>
      <w:r>
        <w:rPr>
          <w:rFonts w:ascii="Times New Roman" w:hAnsi="Times New Roman"/>
          <w:sz w:val="20"/>
        </w:rPr>
        <w:t xml:space="preserve">. Each Grantor hereby appoints the Collateral Agent the attorney-in-fact of such Grantor for the purpose of carrying out the provisions of this Agreement and taking any action and executing any instrument that the Collateral Agent may deem necessary or advisable to accomplish the purposes hereof at any time after and during the continuance of an Event of Default, which appointment is irrevocable (until termination of the Indenture) and coupled with an interest. Without limiting the generality of the foregoing, the Collateral Agent shall have the right, but not the obligation, upon the occurrence and during the continuance of an Event of Default and notice by the Collateral Agent to the Company of its intent to exercise such rights, with full power of substitution either in the Collateral Agent’s name or in the name of such Grantor (a) to receive, endorse,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to send verifications of Accounts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Collateral Agent; (h) subject to the terms of the Intercreditor Agreement, to make, settle and adjust claims in respect of Article 9 Collateral under policies of insurance, including endorsing the name of any Grantor on any check, draft, instrument or other item of payment for the proceeds of such policies of insurance, making all determinations and decisions with respect thereto and obtaining or maintaining the policies of insurance or paying any premium in whole or in part relating thereto; and (i)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Times New Roman" w:hAnsi="Times New Roman"/>
          <w:i/>
          <w:sz w:val="20"/>
        </w:rPr>
        <w:t>provided</w:t>
      </w:r>
      <w:r>
        <w:rPr>
          <w:rFonts w:ascii="Times New Roman" w:hAnsi="Times New Roman"/>
          <w:sz w:val="20"/>
        </w:rPr>
        <w:t xml:space="preserve"> that nothing herein contained shall be construed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willful misconduct or that of any of their Affiliates, directors, officers, employees, counsel, agents or attorneys-in-fact, in each case as determined by a court of competent jurisdiction in a final and non-appealable judgment. All sums disbursed by the Collateral Agent in connection with this paragraph, including reasonable attorneys’ fees, court costs, expenses and other charges relating thereto, shall be payable, within 10 days of demand, by the Grantors to the Collateral Agent and shall be additional Obligations secured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General Authority of the Collateral Agent</w:t>
      </w:r>
      <w:r>
        <w:rPr>
          <w:rFonts w:ascii="Times New Roman" w:hAnsi="Times New Roman"/>
          <w:sz w:val="20"/>
        </w:rPr>
        <w:t xml:space="preserve">. By acceptance of the benefits of this Agreement and any other Security Documents, each Secured Party (whether or not a signatory hereto) shall be deemed irrevocably (a) to consent to the appointment of the Collateral Agent as its agent hereunder and under such other Security Documents, (b) to confirm that the Collateral Agent shall have the authority to act as the exclusive agent of such Secured Party for the enforcement of any provisions of this Agreement and such other Security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Security Document against any Grantor, to exercise any remedy hereunder or thereunder or to give any consents or approvals hereunder or thereunder except as expressly provided in this Agreement or any other Security Document and (d) to agree to be bound by the terms of this Agreement and any other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Recourse; Limited Obligations</w:t>
      </w:r>
      <w:r>
        <w:rPr>
          <w:rFonts w:ascii="Times New Roman" w:hAnsi="Times New Roman"/>
          <w:sz w:val="20"/>
        </w:rPr>
        <w:t xml:space="preserve">. This Agreement is made with full recourse to each Grantor and pursuant to and upon all the warranties, representations, covenants and agreements on the part of such Grantor contained herein, in the Indenture and otherwise in writing in connection herewith or therewith. It is the desire and intent of each Grantor and the Secured Parties that this Agreement shall be enforced against each Grantor to the fullest extent permissible under the laws applied in each jurisdiction in which enforcement is sought. Notwithstanding anything to the contrary contained herein, and in furtherance of the foregoing, it is noted that the obligations of each Grantor that is a Guarantor have been limited as expressly provided in the Guarantee and are limited hereunder as and to the same extent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Collateral Agent</w:t>
      </w:r>
      <w:r>
        <w:rPr>
          <w:rFonts w:ascii="Times New Roman" w:hAnsi="Times New Roman"/>
          <w:sz w:val="20"/>
        </w:rPr>
        <w:t xml:space="preserve">. Wilmington Trust, National Association is entering into this Agreement solely in its capacity as Collateral Agent under the Indenture. In acting hereunder, the Collateral Agent shall have the rights, privileges, immunities and indemnities granted to the Collateral Agent under the Indenture as if such rights, privileges, immunities and indemnities were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SABRE FINANCING HOLDINGS LLC </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Roushan Zenooz</w:t>
            </w:r>
          </w:p>
        </w:tc>
      </w:tr>
      <w:tr>
        <w:trPr/>
        <w:tc>
          <w:tcPr>
            <w:tcW w:w="40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Roushan Zenooz</w:t>
            </w:r>
          </w:p>
        </w:tc>
      </w:tr>
      <w:tr>
        <w:trPr/>
        <w:tc>
          <w:tcPr>
            <w:tcW w:w="40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SABRE FINANCIAL BORROWER,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Roushan Zenooz</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Roushan Zenooz</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WILMINGTON TRUST, NATIONAL ASSOCIATION</w:t>
            </w:r>
            <w:r>
              <w:rPr/>
              <w:t xml:space="preserve">, </w:t>
              <w:br/>
              <w:t>as Collateral Agent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Karen Ferry</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Karen Ferry</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Pledged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5"/>
        <w:gridCol w:w="60"/>
        <w:gridCol w:w="1626"/>
        <w:gridCol w:w="66"/>
        <w:gridCol w:w="1585"/>
        <w:gridCol w:w="120"/>
        <w:gridCol w:w="955"/>
        <w:gridCol w:w="133"/>
        <w:gridCol w:w="901"/>
        <w:gridCol w:w="133"/>
        <w:gridCol w:w="955"/>
        <w:gridCol w:w="133"/>
        <w:gridCol w:w="928"/>
        <w:gridCol w:w="132"/>
        <w:gridCol w:w="923"/>
      </w:tblGrid>
      <w:tr>
        <w:trPr/>
        <w:tc>
          <w:tcPr>
            <w:tcW w:w="15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5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Issuer</w:t>
            </w:r>
          </w:p>
        </w:tc>
        <w:tc>
          <w:tcPr>
            <w:tcW w:w="60"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Interest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Issued (if not</w:t>
              <w:br/>
              <w:t>stock)</w:t>
            </w:r>
          </w:p>
        </w:tc>
        <w:tc>
          <w:tcPr>
            <w:tcW w:w="66"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Record and</w:t>
              <w:br/>
              <w:t>Beneficial</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Owner</w:t>
            </w:r>
          </w:p>
        </w:tc>
        <w:tc>
          <w:tcPr>
            <w:tcW w:w="120" w:type="dxa"/>
            <w:tcBorders/>
            <w:vAlign w:val="bottom"/>
          </w:tcPr>
          <w:p>
            <w:pPr>
              <w:pStyle w:val="TableContents"/>
              <w:bidi w:val="0"/>
              <w:spacing w:before="0" w:after="283"/>
              <w:jc w:val="left"/>
              <w:rPr/>
            </w:pPr>
            <w:r>
              <w:rPr/>
              <w:t>  </w:t>
            </w:r>
          </w:p>
        </w:tc>
        <w:tc>
          <w:tcPr>
            <w:tcW w:w="9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Total Shares</w:t>
              <w:br/>
              <w:t>Outstanding</w:t>
            </w:r>
          </w:p>
        </w:tc>
        <w:tc>
          <w:tcPr>
            <w:tcW w:w="133" w:type="dxa"/>
            <w:tcBorders/>
            <w:vAlign w:val="bottom"/>
          </w:tcPr>
          <w:p>
            <w:pPr>
              <w:pStyle w:val="TableContents"/>
              <w:bidi w:val="0"/>
              <w:spacing w:before="0" w:after="283"/>
              <w:jc w:val="left"/>
              <w:rPr/>
            </w:pPr>
            <w:r>
              <w:rPr/>
              <w:t>  </w:t>
            </w:r>
          </w:p>
        </w:tc>
        <w:tc>
          <w:tcPr>
            <w:tcW w:w="90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Voting or</w:t>
              <w:br/>
              <w:t>Non-Voting</w:t>
              <w:br/>
              <w:t>Interests?</w:t>
            </w:r>
          </w:p>
        </w:tc>
        <w:tc>
          <w:tcPr>
            <w:tcW w:w="133" w:type="dxa"/>
            <w:tcBorders/>
            <w:vAlign w:val="bottom"/>
          </w:tcPr>
          <w:p>
            <w:pPr>
              <w:pStyle w:val="TableContents"/>
              <w:bidi w:val="0"/>
              <w:spacing w:before="0" w:after="283"/>
              <w:jc w:val="left"/>
              <w:rPr/>
            </w:pPr>
            <w:r>
              <w:rPr/>
              <w:t>  </w:t>
            </w:r>
          </w:p>
        </w:tc>
        <w:tc>
          <w:tcPr>
            <w:tcW w:w="9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Total Shares</w:t>
              <w:br/>
              <w:t>Pledged</w:t>
            </w:r>
          </w:p>
        </w:tc>
        <w:tc>
          <w:tcPr>
            <w:tcW w:w="133" w:type="dxa"/>
            <w:tcBorders/>
            <w:vAlign w:val="bottom"/>
          </w:tcPr>
          <w:p>
            <w:pPr>
              <w:pStyle w:val="TableContents"/>
              <w:bidi w:val="0"/>
              <w:spacing w:before="0" w:after="283"/>
              <w:jc w:val="left"/>
              <w:rPr/>
            </w:pPr>
            <w:r>
              <w:rPr/>
              <w:t>  </w:t>
            </w:r>
          </w:p>
        </w:tc>
        <w:tc>
          <w:tcPr>
            <w:tcW w:w="92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br/>
              <w:t>Owner- ship</w:t>
            </w:r>
          </w:p>
        </w:tc>
        <w:tc>
          <w:tcPr>
            <w:tcW w:w="132" w:type="dxa"/>
            <w:tcBorders/>
            <w:vAlign w:val="bottom"/>
          </w:tcPr>
          <w:p>
            <w:pPr>
              <w:pStyle w:val="TableContents"/>
              <w:bidi w:val="0"/>
              <w:spacing w:before="0" w:after="283"/>
              <w:jc w:val="left"/>
              <w:rPr/>
            </w:pPr>
            <w:r>
              <w:rPr/>
              <w:t>  </w:t>
            </w:r>
          </w:p>
        </w:tc>
        <w:tc>
          <w:tcPr>
            <w:tcW w:w="92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Certificated</w:t>
            </w:r>
          </w:p>
        </w:tc>
      </w:tr>
      <w:tr>
        <w:trPr/>
        <w:tc>
          <w:tcPr>
            <w:tcW w:w="1555" w:type="dxa"/>
            <w:tcBorders/>
          </w:tcPr>
          <w:p>
            <w:pPr>
              <w:pStyle w:val="TableContents"/>
              <w:bidi w:val="0"/>
              <w:spacing w:before="0" w:after="283"/>
              <w:jc w:val="center"/>
              <w:rPr/>
            </w:pPr>
            <w:r>
              <w:rPr/>
              <w:t>Sabre Financial Borrower, LLC</w:t>
            </w:r>
          </w:p>
        </w:tc>
        <w:tc>
          <w:tcPr>
            <w:tcW w:w="60" w:type="dxa"/>
            <w:tcBorders/>
            <w:vAlign w:val="bottom"/>
          </w:tcPr>
          <w:p>
            <w:pPr>
              <w:pStyle w:val="TableContents"/>
              <w:bidi w:val="0"/>
              <w:spacing w:before="0" w:after="283"/>
              <w:jc w:val="left"/>
              <w:rPr/>
            </w:pPr>
            <w:r>
              <w:rPr/>
              <w:t> </w:t>
            </w:r>
          </w:p>
        </w:tc>
        <w:tc>
          <w:tcPr>
            <w:tcW w:w="1626" w:type="dxa"/>
            <w:tcBorders/>
          </w:tcPr>
          <w:p>
            <w:pPr>
              <w:pStyle w:val="TableContents"/>
              <w:bidi w:val="0"/>
              <w:spacing w:before="0" w:after="283"/>
              <w:jc w:val="center"/>
              <w:rPr/>
            </w:pPr>
            <w:r>
              <w:rPr/>
              <w:t>Limited liability company interest</w:t>
            </w:r>
          </w:p>
        </w:tc>
        <w:tc>
          <w:tcPr>
            <w:tcW w:w="66" w:type="dxa"/>
            <w:tcBorders/>
            <w:vAlign w:val="bottom"/>
          </w:tcPr>
          <w:p>
            <w:pPr>
              <w:pStyle w:val="TableContents"/>
              <w:bidi w:val="0"/>
              <w:spacing w:before="0" w:after="283"/>
              <w:jc w:val="left"/>
              <w:rPr/>
            </w:pPr>
            <w:r>
              <w:rPr/>
              <w:t> </w:t>
            </w:r>
          </w:p>
        </w:tc>
        <w:tc>
          <w:tcPr>
            <w:tcW w:w="1585" w:type="dxa"/>
            <w:tcBorders/>
          </w:tcPr>
          <w:p>
            <w:pPr>
              <w:pStyle w:val="TableContents"/>
              <w:bidi w:val="0"/>
              <w:spacing w:before="0" w:after="283"/>
              <w:jc w:val="center"/>
              <w:rPr/>
            </w:pPr>
            <w:r>
              <w:rPr/>
              <w:t>Sabre Financing Holdings, LLC</w:t>
            </w:r>
          </w:p>
        </w:tc>
        <w:tc>
          <w:tcPr>
            <w:tcW w:w="120"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center"/>
              <w:rPr/>
            </w:pPr>
            <w:r>
              <w:rPr/>
              <w:t>N/A</w:t>
            </w:r>
          </w:p>
        </w:tc>
        <w:tc>
          <w:tcPr>
            <w:tcW w:w="133" w:type="dxa"/>
            <w:tcBorders/>
            <w:vAlign w:val="bottom"/>
          </w:tcPr>
          <w:p>
            <w:pPr>
              <w:pStyle w:val="TableContents"/>
              <w:bidi w:val="0"/>
              <w:spacing w:before="0" w:after="283"/>
              <w:jc w:val="left"/>
              <w:rPr/>
            </w:pPr>
            <w:r>
              <w:rPr/>
              <w:t>  </w:t>
            </w:r>
          </w:p>
        </w:tc>
        <w:tc>
          <w:tcPr>
            <w:tcW w:w="901" w:type="dxa"/>
            <w:tcBorders/>
          </w:tcPr>
          <w:p>
            <w:pPr>
              <w:pStyle w:val="TableContents"/>
              <w:bidi w:val="0"/>
              <w:spacing w:before="0" w:after="283"/>
              <w:jc w:val="center"/>
              <w:rPr/>
            </w:pPr>
            <w:r>
              <w:rPr/>
              <w:t>V</w:t>
            </w:r>
          </w:p>
        </w:tc>
        <w:tc>
          <w:tcPr>
            <w:tcW w:w="133"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center"/>
              <w:rPr/>
            </w:pPr>
            <w:r>
              <w:rPr/>
              <w:t>100%</w:t>
            </w:r>
          </w:p>
        </w:tc>
        <w:tc>
          <w:tcPr>
            <w:tcW w:w="133" w:type="dxa"/>
            <w:tcBorders/>
            <w:vAlign w:val="bottom"/>
          </w:tcPr>
          <w:p>
            <w:pPr>
              <w:pStyle w:val="TableContents"/>
              <w:bidi w:val="0"/>
              <w:spacing w:before="0" w:after="283"/>
              <w:jc w:val="left"/>
              <w:rPr/>
            </w:pPr>
            <w:r>
              <w:rPr/>
              <w:t>  </w:t>
            </w:r>
          </w:p>
        </w:tc>
        <w:tc>
          <w:tcPr>
            <w:tcW w:w="928" w:type="dxa"/>
            <w:tcBorders/>
          </w:tcPr>
          <w:p>
            <w:pPr>
              <w:pStyle w:val="TableContents"/>
              <w:bidi w:val="0"/>
              <w:spacing w:before="0" w:after="283"/>
              <w:jc w:val="center"/>
              <w:rPr/>
            </w:pPr>
            <w:r>
              <w:rPr/>
              <w:t>100%</w:t>
            </w:r>
          </w:p>
        </w:tc>
        <w:tc>
          <w:tcPr>
            <w:tcW w:w="132" w:type="dxa"/>
            <w:tcBorders/>
            <w:vAlign w:val="bottom"/>
          </w:tcPr>
          <w:p>
            <w:pPr>
              <w:pStyle w:val="TableContents"/>
              <w:bidi w:val="0"/>
              <w:spacing w:before="0" w:after="283"/>
              <w:jc w:val="left"/>
              <w:rPr/>
            </w:pPr>
            <w:r>
              <w:rPr/>
              <w:t>  </w:t>
            </w:r>
          </w:p>
        </w:tc>
        <w:tc>
          <w:tcPr>
            <w:tcW w:w="923" w:type="dxa"/>
            <w:tcBorders/>
          </w:tcPr>
          <w:p>
            <w:pPr>
              <w:pStyle w:val="TableContents"/>
              <w:bidi w:val="0"/>
              <w:spacing w:before="0" w:after="283"/>
              <w:jc w:val="center"/>
              <w:rPr/>
            </w:pPr>
            <w:r>
              <w:rPr/>
              <w:t>No</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Pledged Debt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Intercompany Note dated as of September 28, 2026, among the Borrower, Holdings and each entity listed as a Payor (as defined in the Intercompany Note) thereto and each entity listed as a Payee (as defined in the Intercompany Note)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 Note dated as of September 28, 2026, by Sabre GLBL Inc. in favor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Commercial Tort Claims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list includes all commercial tort claims of each Grantor, with a value in excess of $10,000,000 and for which such Grantor has filed a complaint in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120" w:after="0"/>
        <w:jc w:val="left"/>
        <w:rPr>
          <w:rFonts w:ascii="Times New Roman" w:hAnsi="Times New Roman"/>
          <w:sz w:val="20"/>
        </w:rPr>
      </w:pPr>
      <w:r>
        <w:rPr>
          <w:rFonts w:ascii="Times New Roman" w:hAnsi="Times New Roman"/>
          <w:sz w:val="20"/>
        </w:rPr>
        <w:t>SUPPLEMENT NO.</w:t>
      </w:r>
      <w:r>
        <w:rPr>
          <w:rFonts w:ascii="Times New Roman" w:hAnsi="Times New Roman"/>
          <w:sz w:val="20"/>
          <w:u w:val="single"/>
        </w:rPr>
        <w:t>   </w:t>
      </w:r>
      <w:r>
        <w:rPr>
          <w:rFonts w:ascii="Times New Roman" w:hAnsi="Times New Roman"/>
          <w:sz w:val="20"/>
        </w:rPr>
        <w:t xml:space="preserve"> dated as of [__], to the Pledge and Security Agreement dated as of September 28, 2026 among SABRE FINANCING HOLDINGS LLC (“</w:t>
      </w:r>
      <w:r>
        <w:rPr>
          <w:rFonts w:ascii="Times New Roman" w:hAnsi="Times New Roman"/>
          <w:b/>
          <w:sz w:val="20"/>
        </w:rPr>
        <w:t>Holdings</w:t>
      </w:r>
      <w:r>
        <w:rPr>
          <w:rFonts w:ascii="Times New Roman" w:hAnsi="Times New Roman"/>
          <w:sz w:val="20"/>
        </w:rPr>
        <w:t>”), SABRE FINANCIAL BORROWER, LLC (the “</w:t>
      </w:r>
      <w:r>
        <w:rPr>
          <w:rFonts w:ascii="Times New Roman" w:hAnsi="Times New Roman"/>
          <w:b/>
          <w:sz w:val="20"/>
        </w:rPr>
        <w:t>Company</w:t>
      </w:r>
      <w:r>
        <w:rPr>
          <w:rFonts w:ascii="Times New Roman" w:hAnsi="Times New Roman"/>
          <w:sz w:val="20"/>
        </w:rPr>
        <w:t>”), the Subsidiary Guarantors and WILMINGTON TRUST, NATIONAL ASSOCIATION, as collateral agent under the Indenture (as defined below) for the Secured Parties (in such capacity, the “</w:t>
      </w:r>
      <w:r>
        <w:rPr>
          <w:rFonts w:ascii="Times New Roman" w:hAnsi="Times New Roman"/>
          <w:b/>
          <w:sz w:val="20"/>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Reference is made to the Indenture dated as of September 28, 2026 (as amended, supplemented or otherwise modified from time to time, the “</w:t>
      </w:r>
      <w:r>
        <w:rPr>
          <w:rFonts w:ascii="Times New Roman" w:hAnsi="Times New Roman"/>
          <w:b/>
          <w:sz w:val="20"/>
        </w:rPr>
        <w:t>Indenture</w:t>
      </w:r>
      <w:r>
        <w:rPr>
          <w:rFonts w:ascii="Times New Roman" w:hAnsi="Times New Roman"/>
          <w:sz w:val="20"/>
        </w:rPr>
        <w:t xml:space="preserve">”), among the Company, Holdings, the Subsidiary Guarantors, the Collateral Agent and Wilmington Trust, National Association, as trustee. </w:t>
      </w:r>
    </w:p>
    <w:p>
      <w:pPr>
        <w:pStyle w:val="TextBody"/>
        <w:bidi w:val="0"/>
        <w:spacing w:before="240" w:after="0"/>
        <w:jc w:val="left"/>
        <w:rPr>
          <w:rFonts w:ascii="Times New Roman" w:hAnsi="Times New Roman"/>
          <w:sz w:val="20"/>
        </w:rPr>
      </w:pPr>
      <w:r>
        <w:rPr>
          <w:rFonts w:ascii="Times New Roman" w:hAnsi="Times New Roman"/>
          <w:sz w:val="20"/>
        </w:rPr>
        <w:t>B. Reference is made to the Pledge and Security Agreement (as amended, restated, supplemented or otherwise modified from time to time, the “</w:t>
      </w:r>
      <w:r>
        <w:rPr>
          <w:rFonts w:ascii="Times New Roman" w:hAnsi="Times New Roman"/>
          <w:b/>
          <w:sz w:val="20"/>
        </w:rPr>
        <w:t>Security Agreement</w:t>
      </w:r>
      <w:r>
        <w:rPr>
          <w:rFonts w:ascii="Times New Roman" w:hAnsi="Times New Roman"/>
          <w:sz w:val="20"/>
        </w:rPr>
        <w:t xml:space="preserve">”), among the Company, Holdings, the Subsidiary Guarantors and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C. Capitalized terms used herein and not otherwise defined herein shall have the meanings assigned to such terms in the Indenture and the Security Agreement, as applicable. </w:t>
      </w:r>
    </w:p>
    <w:p>
      <w:pPr>
        <w:pStyle w:val="TextBody"/>
        <w:bidi w:val="0"/>
        <w:spacing w:before="240" w:after="0"/>
        <w:jc w:val="left"/>
        <w:rPr>
          <w:rFonts w:ascii="Times New Roman" w:hAnsi="Times New Roman"/>
          <w:sz w:val="20"/>
        </w:rPr>
      </w:pPr>
      <w:r>
        <w:rPr>
          <w:rFonts w:ascii="Times New Roman" w:hAnsi="Times New Roman"/>
          <w:sz w:val="20"/>
        </w:rPr>
        <w:t>D. The Grantors have entered into a supplemental indenture to the Indenture. Section 6.15 of the Security Agreement provides that additional Subsidiaries of the Company may become Grantors under the Security Agreement by execution and delivery of an instrument in the form of this Supplement. The undersigned Subsidiary (the “</w:t>
      </w:r>
      <w:r>
        <w:rPr>
          <w:rFonts w:ascii="Times New Roman" w:hAnsi="Times New Roman"/>
          <w:b/>
          <w:sz w:val="20"/>
        </w:rPr>
        <w:t>New Subsidiary</w:t>
      </w:r>
      <w:r>
        <w:rPr>
          <w:rFonts w:ascii="Times New Roman" w:hAnsi="Times New Roman"/>
          <w:sz w:val="20"/>
        </w:rPr>
        <w:t xml:space="preserve">”) is executing this Supplement in accordance with the requirements of the Indenture to become a Grantor under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Collateral Agent and the New Subsidiary agree as follows: </w:t>
      </w:r>
    </w:p>
    <w:p>
      <w:pPr>
        <w:pStyle w:val="TextBody"/>
        <w:bidi w:val="0"/>
        <w:spacing w:before="120" w:after="0"/>
        <w:jc w:val="left"/>
        <w:rPr>
          <w:rFonts w:ascii="Times New Roman" w:hAnsi="Times New Roman"/>
          <w:sz w:val="20"/>
        </w:rPr>
      </w:pPr>
      <w:r>
        <w:rPr>
          <w:rFonts w:ascii="Times New Roman" w:hAnsi="Times New Roman"/>
          <w:sz w:val="20"/>
        </w:rPr>
        <w:t>SECTION 1. In accordance with Section 6.15 of the Security Agreement, the New Subsidiary by its signature below becomes a Grantor under the Security Agreement with the same force and effect as if originally named therein as a Grantor and the New Subsidiary hereby (a) agrees to all the terms and provisions of the Security Agreement applicable to it as a Grantor and Grantor thereunder and (b) represents and warrants that the representations and warranties made by it as a Grantor thereunder are true and correct on and as of the date hereof. In furtherance of the foregoing, the New Subsidiary, as security for the payment and performance in full of the Obligations does hereby create and grant to the Collateral Agent, its successors and assigns, for the benefit of the Secured Parties, their successors and assigns, a security interest in and lien on all of the New Subsidiary’s right, title and interest in and to the Collateral (as defined in the Security Agreement) of the New Subsidiary. Each reference to a “</w:t>
      </w:r>
      <w:r>
        <w:rPr>
          <w:rFonts w:ascii="Times New Roman" w:hAnsi="Times New Roman"/>
          <w:b/>
          <w:sz w:val="20"/>
        </w:rPr>
        <w:t>Grantor</w:t>
      </w:r>
      <w:r>
        <w:rPr>
          <w:rFonts w:ascii="Times New Roman" w:hAnsi="Times New Roman"/>
          <w:sz w:val="20"/>
        </w:rPr>
        <w:t xml:space="preserve">” in the Security Agreement shall be deemed to include the New Subsidiary. The Security Agreement is hereby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2. The New Subsidiary represents and warrants to the Collateral Agent and the other Secured Parties that this Supplement has been duly authorized, executed and delivered by it and constitutes its legal, valid and binding obligation, enforceable against it in accordance with its terms, except as such enforceability may be limited by Debtor Relief Laws and by general principles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a counterpart of this Supplement that bears the signature of the New Subsidiary, and the Collateral Agent has executed a counterpart hereof. Delivery of an executed signature page to this Supplement by facsimile transmission or other electronic communication shall be as effective as delivery of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Collateral Agent is under no obligation to agree to accept electronic signatures in any form or in any format except for facsimile and PDF unless expressly agreed to by the Trustee, pursuant to reasonable procedures approved by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SECTION 4. The New Subsidiary hereby represents and warrants that (a) set forth on Schedule I attached hereto is a true and correct schedule of the location of any and all Collateral of the New Subsidiary and (b) set forth under its signature hereto is the true and correct legal name of the New Subsidiary, its jurisdiction of formation and the location of its chief executive office. Schedule I shall be incorporated into, and after the date hereof be deemed part of, the Perfection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 Except as expressly supplemented hereby, the Security Agreement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THIS SUPPLEMENT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7. If any provision of this Supplement is held to be illegal, invalid or unenforceable, the legality, validity and enforceability of the remaining provisions of this Supplement, the Security Agreement or the Indenture shall not be affected or impaired thereby. The invalidity of a provision in a particular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8. All communications and notices hereunder shall be in writing and given as provided in Section 6.01 of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The New Subsidiary agrees to reimburse the Collateral Agent for its reasonable out-of-pocket expenses in connection with the execution and delivery of this Supplement, including the reasonable fees, other charges and disbursements of counsel for the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Collateral Agent</w:t>
      </w:r>
      <w:r>
        <w:rPr>
          <w:rFonts w:ascii="Times New Roman" w:hAnsi="Times New Roman"/>
          <w:sz w:val="20"/>
        </w:rPr>
        <w:t xml:space="preserve">. Wilmington Trust, National Association is entering into this Supplement solely in its capacity as Collateral Agent under the Indenture. In acting hereunder, the Collateral Agent shall have the rights, privileges, immunities and indemnities granted to the Collateral Agent under the Indenture and the Security Agreement as if such rights, privileges, immunities and indemnities were set forth herein.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New Subsidiary and the Collateral Agent have duly executed this Supplement to the Security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2"/>
        <w:gridCol w:w="97"/>
        <w:gridCol w:w="3223"/>
      </w:tblGrid>
      <w:tr>
        <w:trPr/>
        <w:tc>
          <w:tcPr>
            <w:tcW w:w="76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2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NEW SUBSIDIARY]</w:t>
            </w:r>
          </w:p>
        </w:tc>
      </w:tr>
      <w:tr>
        <w:trPr>
          <w:trHeight w:val="240" w:hRule="atLeast"/>
        </w:trPr>
        <w:tc>
          <w:tcPr>
            <w:tcW w:w="762"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223" w:type="dxa"/>
            <w:tcBorders>
              <w:bottom w:val="single" w:sz="2" w:space="0" w:color="000000"/>
            </w:tcBorders>
            <w:tcMar>
              <w:bottom w:w="28" w:type="dxa"/>
            </w:tcMar>
          </w:tcPr>
          <w:p>
            <w:pPr>
              <w:pStyle w:val="TableContents"/>
              <w:bidi w:val="0"/>
              <w:spacing w:before="0" w:after="283"/>
              <w:jc w:val="left"/>
              <w:rPr/>
            </w:pPr>
            <w:r>
              <w:rPr/>
              <w:t> </w:t>
            </w:r>
          </w:p>
        </w:tc>
      </w:tr>
      <w:tr>
        <w:trPr/>
        <w:tc>
          <w:tcPr>
            <w:tcW w:w="76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223" w:type="dxa"/>
            <w:tcBorders/>
            <w:vAlign w:val="bottom"/>
          </w:tcPr>
          <w:p>
            <w:pPr>
              <w:pStyle w:val="TableContents"/>
              <w:bidi w:val="0"/>
              <w:spacing w:before="0" w:after="283"/>
              <w:jc w:val="left"/>
              <w:rPr/>
            </w:pPr>
            <w:r>
              <w:rPr/>
              <w:t>Name:</w:t>
            </w:r>
          </w:p>
        </w:tc>
      </w:tr>
      <w:tr>
        <w:trPr/>
        <w:tc>
          <w:tcPr>
            <w:tcW w:w="76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223"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Jurisdiction of Formation: </w:t>
              <w:br/>
              <w:t>Address of Chief Executive Office: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WILMINGTON TRUST, NATIONAL ASSOCIATION, </w:t>
            </w:r>
            <w:r>
              <w:rPr/>
              <w:br/>
              <w:t xml:space="preserve">as Collateral Agent </w:t>
            </w:r>
          </w:p>
        </w:tc>
      </w:tr>
      <w:tr>
        <w:trPr>
          <w:trHeight w:val="240" w:hRule="atLeast"/>
        </w:trPr>
        <w:tc>
          <w:tcPr>
            <w:tcW w:w="762"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223" w:type="dxa"/>
            <w:tcBorders>
              <w:bottom w:val="single" w:sz="2" w:space="0" w:color="000000"/>
            </w:tcBorders>
            <w:tcMar>
              <w:bottom w:w="28" w:type="dxa"/>
            </w:tcMar>
          </w:tcPr>
          <w:p>
            <w:pPr>
              <w:pStyle w:val="TableContents"/>
              <w:bidi w:val="0"/>
              <w:spacing w:before="0" w:after="283"/>
              <w:jc w:val="left"/>
              <w:rPr/>
            </w:pPr>
            <w:r>
              <w:rPr/>
              <w:t> </w:t>
            </w:r>
          </w:p>
        </w:tc>
      </w:tr>
      <w:tr>
        <w:trPr/>
        <w:tc>
          <w:tcPr>
            <w:tcW w:w="76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223" w:type="dxa"/>
            <w:tcBorders/>
            <w:vAlign w:val="bottom"/>
          </w:tcPr>
          <w:p>
            <w:pPr>
              <w:pStyle w:val="TableContents"/>
              <w:bidi w:val="0"/>
              <w:spacing w:before="0" w:after="283"/>
              <w:jc w:val="left"/>
              <w:rPr/>
            </w:pPr>
            <w:r>
              <w:rPr/>
              <w:t>Name:</w:t>
            </w:r>
          </w:p>
        </w:tc>
      </w:tr>
      <w:tr>
        <w:trPr/>
        <w:tc>
          <w:tcPr>
            <w:tcW w:w="76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223" w:type="dxa"/>
            <w:tcBorders/>
            <w:vAlign w:val="bottom"/>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I </w:t>
      </w:r>
    </w:p>
    <w:p>
      <w:pPr>
        <w:pStyle w:val="TextBody"/>
        <w:bidi w:val="0"/>
        <w:spacing w:before="0" w:after="0"/>
        <w:jc w:val="right"/>
        <w:rPr>
          <w:rFonts w:ascii="Times New Roman" w:hAnsi="Times New Roman"/>
          <w:sz w:val="20"/>
        </w:rPr>
      </w:pPr>
      <w:r>
        <w:rPr>
          <w:rFonts w:ascii="Times New Roman" w:hAnsi="Times New Roman"/>
          <w:sz w:val="20"/>
        </w:rPr>
        <w:t xml:space="preserve">TO SUPPLEMENT NO ___ TO THE </w:t>
      </w:r>
    </w:p>
    <w:p>
      <w:pPr>
        <w:pStyle w:val="TextBody"/>
        <w:bidi w:val="0"/>
        <w:spacing w:before="0" w:after="0"/>
        <w:jc w:val="right"/>
        <w:rPr>
          <w:rFonts w:ascii="Times New Roman" w:hAnsi="Times New Roman"/>
          <w:sz w:val="20"/>
        </w:rPr>
      </w:pPr>
      <w:r>
        <w:rPr>
          <w:rFonts w:ascii="Times New Roman" w:hAnsi="Times New Roman"/>
          <w:sz w:val="20"/>
        </w:rPr>
        <w:t xml:space="preserve">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LOCATION OF COLLATERAL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9"/>
        <w:gridCol w:w="124"/>
        <w:gridCol w:w="4872"/>
      </w:tblGrid>
      <w:tr>
        <w:trPr/>
        <w:tc>
          <w:tcPr>
            <w:tcW w:w="520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0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Description</w:t>
            </w:r>
          </w:p>
        </w:tc>
        <w:tc>
          <w:tcPr>
            <w:tcW w:w="124" w:type="dxa"/>
            <w:tcBorders/>
            <w:vAlign w:val="bottom"/>
          </w:tcPr>
          <w:p>
            <w:pPr>
              <w:pStyle w:val="TableContents"/>
              <w:bidi w:val="0"/>
              <w:spacing w:before="0" w:after="283"/>
              <w:jc w:val="left"/>
              <w:rPr/>
            </w:pPr>
            <w:r>
              <w:rPr/>
              <w:t>  </w:t>
            </w:r>
          </w:p>
        </w:tc>
        <w:tc>
          <w:tcPr>
            <w:tcW w:w="487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Location</w:t>
            </w:r>
          </w:p>
        </w:tc>
      </w:tr>
    </w:tbl>
    <w:p>
      <w:pPr>
        <w:pStyle w:val="TextBody"/>
        <w:bidi w:val="0"/>
        <w:spacing w:before="480" w:after="0"/>
        <w:jc w:val="center"/>
        <w:rPr>
          <w:rFonts w:ascii="Times New Roman" w:hAnsi="Times New Roman"/>
          <w:sz w:val="20"/>
        </w:rPr>
      </w:pPr>
      <w:r>
        <w:rPr>
          <w:rFonts w:ascii="Times New Roman" w:hAnsi="Times New Roman"/>
          <w:sz w:val="20"/>
        </w:rPr>
        <w:t xml:space="preserve">Pledged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7"/>
        <w:gridCol w:w="107"/>
        <w:gridCol w:w="2026"/>
        <w:gridCol w:w="107"/>
        <w:gridCol w:w="2019"/>
        <w:gridCol w:w="215"/>
        <w:gridCol w:w="1694"/>
        <w:gridCol w:w="120"/>
        <w:gridCol w:w="1650"/>
      </w:tblGrid>
      <w:tr>
        <w:trPr/>
        <w:tc>
          <w:tcPr>
            <w:tcW w:w="22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226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Issuer</w:t>
            </w:r>
          </w:p>
        </w:tc>
        <w:tc>
          <w:tcPr>
            <w:tcW w:w="107" w:type="dxa"/>
            <w:tcBorders/>
            <w:vAlign w:val="bottom"/>
          </w:tcPr>
          <w:p>
            <w:pPr>
              <w:pStyle w:val="TableContents"/>
              <w:bidi w:val="0"/>
              <w:spacing w:before="0" w:after="283"/>
              <w:jc w:val="left"/>
              <w:rPr/>
            </w:pPr>
            <w:r>
              <w:rPr/>
              <w:t> </w:t>
            </w:r>
          </w:p>
        </w:tc>
        <w:tc>
          <w:tcPr>
            <w:tcW w:w="20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Interest Issued</w:t>
            </w:r>
          </w:p>
        </w:tc>
        <w:tc>
          <w:tcPr>
            <w:tcW w:w="107" w:type="dxa"/>
            <w:tcBorders/>
            <w:vAlign w:val="bottom"/>
          </w:tcPr>
          <w:p>
            <w:pPr>
              <w:pStyle w:val="TableContents"/>
              <w:bidi w:val="0"/>
              <w:spacing w:before="0" w:after="283"/>
              <w:jc w:val="left"/>
              <w:rPr/>
            </w:pPr>
            <w:r>
              <w:rPr/>
              <w:t> </w:t>
            </w:r>
          </w:p>
        </w:tc>
        <w:tc>
          <w:tcPr>
            <w:tcW w:w="201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Pledgor</w:t>
            </w:r>
          </w:p>
        </w:tc>
        <w:tc>
          <w:tcPr>
            <w:tcW w:w="215"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Pledgor</w:t>
            </w:r>
          </w:p>
          <w:p>
            <w:pPr>
              <w:pStyle w:val="TableContents"/>
              <w:bidi w:val="0"/>
              <w:spacing w:before="0" w:after="0"/>
              <w:jc w:val="center"/>
              <w:rPr>
                <w:rFonts w:ascii="Times New Roman" w:hAnsi="Times New Roman"/>
                <w:b/>
                <w:sz w:val="16"/>
              </w:rPr>
            </w:pPr>
            <w:r>
              <w:rPr>
                <w:rFonts w:ascii="Times New Roman" w:hAnsi="Times New Roman"/>
                <w:b/>
                <w:sz w:val="16"/>
              </w:rPr>
              <w:t>Percentage</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Ownership</w:t>
            </w:r>
          </w:p>
        </w:tc>
        <w:tc>
          <w:tcPr>
            <w:tcW w:w="120" w:type="dxa"/>
            <w:tcBorders/>
            <w:vAlign w:val="bottom"/>
          </w:tcPr>
          <w:p>
            <w:pPr>
              <w:pStyle w:val="TableContents"/>
              <w:bidi w:val="0"/>
              <w:spacing w:before="0" w:after="283"/>
              <w:jc w:val="left"/>
              <w:rPr/>
            </w:pPr>
            <w:r>
              <w:rPr/>
              <w:t>  </w:t>
            </w:r>
          </w:p>
        </w:tc>
        <w:tc>
          <w:tcPr>
            <w:tcW w:w="16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Pledged</w:t>
            </w:r>
          </w:p>
        </w:tc>
      </w:tr>
    </w:tbl>
    <w:p>
      <w:pPr>
        <w:pStyle w:val="TextBody"/>
        <w:bidi w:val="0"/>
        <w:spacing w:before="480" w:after="0"/>
        <w:jc w:val="center"/>
        <w:rPr>
          <w:rFonts w:ascii="Times New Roman" w:hAnsi="Times New Roman"/>
          <w:sz w:val="20"/>
        </w:rPr>
      </w:pPr>
      <w:r>
        <w:rPr>
          <w:rFonts w:ascii="Times New Roman" w:hAnsi="Times New Roman"/>
          <w:sz w:val="20"/>
        </w:rPr>
        <w:t xml:space="preserve">Pledged Debt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3"/>
        <w:gridCol w:w="196"/>
        <w:gridCol w:w="1455"/>
        <w:gridCol w:w="105"/>
        <w:gridCol w:w="1542"/>
        <w:gridCol w:w="483"/>
        <w:gridCol w:w="1236"/>
        <w:gridCol w:w="121"/>
        <w:gridCol w:w="1097"/>
        <w:gridCol w:w="121"/>
        <w:gridCol w:w="1074"/>
        <w:gridCol w:w="121"/>
        <w:gridCol w:w="1161"/>
      </w:tblGrid>
      <w:tr>
        <w:trPr/>
        <w:tc>
          <w:tcPr>
            <w:tcW w:w="149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149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574"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Facility</w:t>
            </w:r>
          </w:p>
        </w:tc>
      </w:tr>
      <w:tr>
        <w:trPr/>
        <w:tc>
          <w:tcPr>
            <w:tcW w:w="149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Lender</w:t>
            </w:r>
          </w:p>
        </w:tc>
        <w:tc>
          <w:tcPr>
            <w:tcW w:w="196" w:type="dxa"/>
            <w:tcBorders/>
            <w:vAlign w:val="bottom"/>
          </w:tcPr>
          <w:p>
            <w:pPr>
              <w:pStyle w:val="TableContents"/>
              <w:bidi w:val="0"/>
              <w:spacing w:before="0" w:after="283"/>
              <w:jc w:val="left"/>
              <w:rPr/>
            </w:pPr>
            <w:r>
              <w:rPr/>
              <w:t> </w:t>
            </w:r>
          </w:p>
        </w:tc>
        <w:tc>
          <w:tcPr>
            <w:tcW w:w="14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Borrower</w:t>
            </w:r>
          </w:p>
        </w:tc>
        <w:tc>
          <w:tcPr>
            <w:tcW w:w="105" w:type="dxa"/>
            <w:tcBorders/>
            <w:vAlign w:val="bottom"/>
          </w:tcPr>
          <w:p>
            <w:pPr>
              <w:pStyle w:val="TableContents"/>
              <w:bidi w:val="0"/>
              <w:spacing w:before="0" w:after="283"/>
              <w:jc w:val="left"/>
              <w:rPr/>
            </w:pPr>
            <w:r>
              <w:rPr/>
              <w:t> </w:t>
            </w:r>
          </w:p>
        </w:tc>
        <w:tc>
          <w:tcPr>
            <w:tcW w:w="154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Currency</w:t>
            </w:r>
          </w:p>
        </w:tc>
        <w:tc>
          <w:tcPr>
            <w:tcW w:w="483" w:type="dxa"/>
            <w:tcBorders/>
            <w:vAlign w:val="bottom"/>
          </w:tcPr>
          <w:p>
            <w:pPr>
              <w:pStyle w:val="TableContents"/>
              <w:bidi w:val="0"/>
              <w:spacing w:before="0" w:after="283"/>
              <w:jc w:val="left"/>
              <w:rPr/>
            </w:pPr>
            <w:r>
              <w:rPr/>
              <w:t>  </w:t>
            </w:r>
          </w:p>
        </w:tc>
        <w:tc>
          <w:tcPr>
            <w:tcW w:w="12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Amount</w:t>
              <w:br/>
              <w:t>Outstanding</w:t>
            </w:r>
          </w:p>
        </w:tc>
        <w:tc>
          <w:tcPr>
            <w:tcW w:w="121" w:type="dxa"/>
            <w:tcBorders/>
            <w:vAlign w:val="bottom"/>
          </w:tcPr>
          <w:p>
            <w:pPr>
              <w:pStyle w:val="TableContents"/>
              <w:bidi w:val="0"/>
              <w:spacing w:before="0" w:after="283"/>
              <w:jc w:val="left"/>
              <w:rPr/>
            </w:pPr>
            <w:r>
              <w:rPr/>
              <w:t>  </w:t>
            </w:r>
          </w:p>
        </w:tc>
        <w:tc>
          <w:tcPr>
            <w:tcW w:w="109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Start</w:t>
            </w:r>
          </w:p>
        </w:tc>
        <w:tc>
          <w:tcPr>
            <w:tcW w:w="121" w:type="dxa"/>
            <w:tcBorders/>
            <w:vAlign w:val="bottom"/>
          </w:tcPr>
          <w:p>
            <w:pPr>
              <w:pStyle w:val="TableContents"/>
              <w:bidi w:val="0"/>
              <w:spacing w:before="0" w:after="283"/>
              <w:jc w:val="left"/>
              <w:rPr/>
            </w:pPr>
            <w:r>
              <w:rPr/>
              <w:t>  </w:t>
            </w:r>
          </w:p>
        </w:tc>
        <w:tc>
          <w:tcPr>
            <w:tcW w:w="107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End</w:t>
            </w:r>
          </w:p>
        </w:tc>
        <w:tc>
          <w:tcPr>
            <w:tcW w:w="121" w:type="dxa"/>
            <w:tcBorders/>
            <w:vAlign w:val="bottom"/>
          </w:tcPr>
          <w:p>
            <w:pPr>
              <w:pStyle w:val="TableContents"/>
              <w:bidi w:val="0"/>
              <w:spacing w:before="0" w:after="283"/>
              <w:jc w:val="left"/>
              <w:rPr/>
            </w:pPr>
            <w:r>
              <w:rPr/>
              <w:t>  </w:t>
            </w:r>
          </w:p>
        </w:tc>
        <w:tc>
          <w:tcPr>
            <w:tcW w:w="116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Amount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II </w:t>
      </w:r>
    </w:p>
    <w:p>
      <w:pPr>
        <w:pStyle w:val="TextBody"/>
        <w:bidi w:val="0"/>
        <w:spacing w:before="12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PERFECTION CERTIFICATE </w:t>
      </w:r>
    </w:p>
    <w:p>
      <w:pPr>
        <w:pStyle w:val="TextBody"/>
        <w:bidi w:val="0"/>
        <w:spacing w:before="240" w:after="0"/>
        <w:jc w:val="left"/>
        <w:rPr>
          <w:rFonts w:ascii="Times New Roman" w:hAnsi="Times New Roman"/>
          <w:sz w:val="20"/>
        </w:rPr>
      </w:pPr>
      <w:r>
        <w:rPr>
          <w:rFonts w:ascii="Times New Roman" w:hAnsi="Times New Roman"/>
          <w:sz w:val="20"/>
        </w:rPr>
        <w:t xml:space="preserve">[On 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III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PATENT SECURITY AGREEMENT </w:t>
      </w:r>
    </w:p>
    <w:p>
      <w:pPr>
        <w:pStyle w:val="TextBody"/>
        <w:bidi w:val="0"/>
        <w:spacing w:before="240" w:after="0"/>
        <w:jc w:val="left"/>
        <w:rPr>
          <w:rFonts w:ascii="Times New Roman" w:hAnsi="Times New Roman"/>
          <w:sz w:val="20"/>
        </w:rPr>
      </w:pPr>
      <w:r>
        <w:rPr>
          <w:rFonts w:ascii="Times New Roman" w:hAnsi="Times New Roman"/>
          <w:sz w:val="20"/>
        </w:rPr>
        <w:t>PATENT SECURITY AGREEMENT, dated as of [__], among SABRE FINANCING HOLDINGS LLC (“</w:t>
      </w:r>
      <w:r>
        <w:rPr>
          <w:rFonts w:ascii="Times New Roman" w:hAnsi="Times New Roman"/>
          <w:b/>
          <w:sz w:val="20"/>
        </w:rPr>
        <w:t>Holdings</w:t>
      </w:r>
      <w:r>
        <w:rPr>
          <w:rFonts w:ascii="Times New Roman" w:hAnsi="Times New Roman"/>
          <w:sz w:val="20"/>
        </w:rPr>
        <w:t>”), SABRE FINANCIAL BORROWER, LLC (the “</w:t>
      </w:r>
      <w:r>
        <w:rPr>
          <w:rFonts w:ascii="Times New Roman" w:hAnsi="Times New Roman"/>
          <w:b/>
          <w:sz w:val="20"/>
        </w:rPr>
        <w:t>Company</w:t>
      </w:r>
      <w:r>
        <w:rPr>
          <w:rFonts w:ascii="Times New Roman" w:hAnsi="Times New Roman"/>
          <w:sz w:val="20"/>
        </w:rPr>
        <w:t>”) (each of the foregoing, a “</w:t>
      </w:r>
      <w:r>
        <w:rPr>
          <w:rFonts w:ascii="Times New Roman" w:hAnsi="Times New Roman"/>
          <w:b/>
          <w:sz w:val="20"/>
        </w:rPr>
        <w:t>Grantor</w:t>
      </w:r>
      <w:r>
        <w:rPr>
          <w:rFonts w:ascii="Times New Roman" w:hAnsi="Times New Roman"/>
          <w:sz w:val="20"/>
        </w:rPr>
        <w:t>”) and WILMINGTON TRUST, NATIONAL ASSOCIATION as Collateral Agent under the Indenture for the Secured Parties (in such capacity, the “</w:t>
      </w:r>
      <w:r>
        <w:rPr>
          <w:rFonts w:ascii="Times New Roman" w:hAnsi="Times New Roman"/>
          <w:b/>
          <w:sz w:val="20"/>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made to (i) the Pledge and Security Agreement dated as of September 28, 2026 (as amended, restated, supplemented or otherwise modified from time to time, the “</w:t>
      </w:r>
      <w:r>
        <w:rPr>
          <w:rFonts w:ascii="Times New Roman" w:hAnsi="Times New Roman"/>
          <w:b/>
          <w:sz w:val="20"/>
        </w:rPr>
        <w:t>Security Agreement</w:t>
      </w:r>
      <w:r>
        <w:rPr>
          <w:rFonts w:ascii="Times New Roman" w:hAnsi="Times New Roman"/>
          <w:sz w:val="20"/>
        </w:rPr>
        <w:t>”), among Holdings, the Company, the Subsidiary Guarantors and the Collateral Agent and (ii) the Indenture dated as of September 28, 2026 (the “</w:t>
      </w:r>
      <w:r>
        <w:rPr>
          <w:rFonts w:ascii="Times New Roman" w:hAnsi="Times New Roman"/>
          <w:b/>
          <w:sz w:val="20"/>
        </w:rPr>
        <w:t>Indenture</w:t>
      </w:r>
      <w:r>
        <w:rPr>
          <w:rFonts w:ascii="Times New Roman" w:hAnsi="Times New Roman"/>
          <w:sz w:val="20"/>
        </w:rPr>
        <w:t xml:space="preserve">”), among Holdings, the Company, the Subsidiary Guarantors, the Collateral Agent and Wilmington Trust, National Association as trustee. Accordingly,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Terms.</w:t>
      </w:r>
      <w:r>
        <w:rPr>
          <w:rFonts w:ascii="Times New Roman" w:hAnsi="Times New Roman"/>
          <w:sz w:val="20"/>
        </w:rPr>
        <w:t xml:space="preserve"> Capitalized terms used in this Agreement and not otherwise defined herein have the meanings specified in the Security Agreement or the Indenture, as applicable. The rules of construction specified in Article I of the Indenture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Grant of Security Interest.</w:t>
      </w:r>
      <w:r>
        <w:rPr>
          <w:rFonts w:ascii="Times New Roman" w:hAnsi="Times New Roman"/>
          <w:sz w:val="20"/>
        </w:rPr>
        <w:t xml:space="preserve"> As security for the payment or performance, as the case may be, in full of the Obligations, each Grantor, pursuant to and in accordance with the Security Agreement, did and hereby does grant to the Collateral Agent, its successors and assigns, for the benefit of the Secured Parties, a security interest in, all right, title and interest in or to any and all of the following assets and properties now owned or at any time hereafter acquired by such Grantor or in which such Grantor now has or at any time in the future may acquire any right, title or interest (collectively, the “</w:t>
      </w:r>
      <w:r>
        <w:rPr>
          <w:rFonts w:ascii="Times New Roman" w:hAnsi="Times New Roman"/>
          <w:b/>
          <w:sz w:val="20"/>
        </w:rPr>
        <w:t>Patent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letters Patent of the United States, all registrations and recordings thereof, and all applications for letters Patent of the United States in or to which any Grantor now or hereafter has any right, title or interest therein, including those registrations, recordings and pending applications in the USPTO referenced on </w:t>
      </w:r>
      <w:r>
        <w:rPr>
          <w:rFonts w:ascii="Times New Roman" w:hAnsi="Times New Roman"/>
          <w:sz w:val="20"/>
          <w:u w:val="single"/>
        </w:rPr>
        <w:t>Schedule I</w:t>
      </w:r>
      <w:r>
        <w:rPr>
          <w:rFonts w:ascii="Times New Roman" w:hAnsi="Times New Roman"/>
          <w:sz w:val="20"/>
        </w:rPr>
        <w:t xml:space="preserve">, and all reissues, continuations, divisions, continuations-in-part, renewals, improvements or extensions thereof, and the inventions claimed therein; </w:t>
      </w:r>
    </w:p>
    <w:p>
      <w:pPr>
        <w:pStyle w:val="TextBody"/>
        <w:bidi w:val="0"/>
        <w:spacing w:before="240" w:after="0"/>
        <w:jc w:val="left"/>
        <w:rPr>
          <w:rFonts w:ascii="Times New Roman" w:hAnsi="Times New Roman"/>
          <w:sz w:val="20"/>
        </w:rPr>
      </w:pPr>
      <w:r>
        <w:rPr>
          <w:rFonts w:ascii="Times New Roman" w:hAnsi="Times New Roman"/>
          <w:sz w:val="20"/>
        </w:rPr>
        <w:t xml:space="preserve">(ii) all Proceeds of the foregoing, including all income, fees, royalties, damages, claims and payments now and hereafter due and/or payable thereunder and with respect thereto including damages and payments for past, present or future infringements or other violations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(iii) all rights to sue for past, present and future infringements or other violations thereof;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all other rights, priorities and privileges arising thereunder or pertaining thereto throughout the world.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is made to secure the satisfactory performance and payment of the Obligations. This Patent Security Agreement and the security interest granted hereby shall terminate with respect to all of a Grantor’s Obligations and any Lien arising therefrom shall be automatically released upon termination of the Security Agreement or release of such Grantor’s obligations thereunder in accordance with the Indenture. The Collateral Agent shall, in connection with any termination or release herein or under the Security Agreement, execute and deliver to any Grantor, at such Grantor’s expense and as such Grantor may request, an instrument in writing releasing the security interest in the Patent Collateral acquired under this Agreement. Additionally, upon such satisfactory performance or payment, the Collateral Agent shall reasonably cooperate, at the cost and expense of such Grantor, with any efforts made by a Grantor to make of record or otherwise confirm such satisfaction including, but not limited to, the release and/or termination of this Agreement and any security interest in, to or under the Patent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Supplement to the Security Agreement.</w:t>
      </w:r>
      <w:r>
        <w:rPr>
          <w:rFonts w:ascii="Times New Roman" w:hAnsi="Times New Roman"/>
          <w:sz w:val="20"/>
        </w:rPr>
        <w:t xml:space="preserve"> The security interests granted to the Collateral Agent herein are granted in furtherance, and not in limitation of, the security interests granted to the Collateral Agent pursuant to the Security Agreement. Each Grantor hereby acknowledges and affirms that the rights and remedies of the Collateral Agent with respect to the Patent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Concerning the Collateral Agent</w:t>
      </w:r>
      <w:r>
        <w:rPr>
          <w:rFonts w:ascii="Times New Roman" w:hAnsi="Times New Roman"/>
          <w:sz w:val="20"/>
        </w:rPr>
        <w:t xml:space="preserve">. Wilmington Trust, National Association is entering into this Patent Security Agreement solely in its capacity as the Collateral Agent under the Indenture and shall be entitled to all of the rights, privileges, immunities and indemnities granted to the Collateral Agent under the Indenture and the Security Agreement as if such rights, privileges, immunities and indemnities were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The provisions of Article VI of the Security Agreement are hereby incorporated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1"/>
        <w:gridCol w:w="79"/>
        <w:gridCol w:w="3462"/>
      </w:tblGrid>
      <w:tr>
        <w:trPr/>
        <w:tc>
          <w:tcPr>
            <w:tcW w:w="541"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SABRE FINANCING HOLDINGS LLC, </w:t>
              <w:br/>
            </w:r>
            <w:r>
              <w:rPr>
                <w:rFonts w:ascii="Times New Roman" w:hAnsi="Times New Roman"/>
                <w:sz w:val="20"/>
              </w:rPr>
              <w:t xml:space="preserve">as Holdings </w:t>
            </w:r>
          </w:p>
        </w:tc>
      </w:tr>
      <w:tr>
        <w:trPr>
          <w:trHeight w:val="240" w:hRule="atLeast"/>
        </w:trPr>
        <w:tc>
          <w:tcPr>
            <w:tcW w:w="541"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By:</w:t>
            </w:r>
          </w:p>
        </w:tc>
        <w:tc>
          <w:tcPr>
            <w:tcW w:w="79" w:type="dxa"/>
            <w:tcBorders>
              <w:bottom w:val="single" w:sz="2" w:space="0" w:color="000000"/>
            </w:tcBorders>
            <w:tcMar>
              <w:bottom w:w="28" w:type="dxa"/>
            </w:tcMar>
            <w:vAlign w:val="bottom"/>
          </w:tcPr>
          <w:p>
            <w:pPr>
              <w:pStyle w:val="TableContents"/>
              <w:bidi w:val="0"/>
              <w:spacing w:before="0" w:after="283"/>
              <w:jc w:val="left"/>
              <w:rPr/>
            </w:pPr>
            <w:r>
              <w:rPr/>
              <w:t> </w:t>
            </w:r>
          </w:p>
        </w:tc>
        <w:tc>
          <w:tcPr>
            <w:tcW w:w="3462" w:type="dxa"/>
            <w:tcBorders>
              <w:bottom w:val="single" w:sz="2" w:space="0" w:color="000000"/>
            </w:tcBorders>
            <w:tcMar>
              <w:bottom w:w="28" w:type="dxa"/>
            </w:tcMar>
          </w:tcPr>
          <w:p>
            <w:pPr>
              <w:pStyle w:val="TableContents"/>
              <w:bidi w:val="0"/>
              <w:spacing w:before="0" w:after="283"/>
              <w:jc w:val="left"/>
              <w:rPr/>
            </w:pPr>
            <w:r>
              <w:rPr/>
              <w:t> </w:t>
            </w:r>
          </w:p>
        </w:tc>
      </w:tr>
      <w:tr>
        <w:trPr/>
        <w:tc>
          <w:tcPr>
            <w:tcW w:w="54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4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SABRE FINANCIAL BORROWER, LLC, </w:t>
              <w:br/>
            </w:r>
            <w:r>
              <w:rPr>
                <w:rFonts w:ascii="Times New Roman" w:hAnsi="Times New Roman"/>
                <w:sz w:val="20"/>
              </w:rPr>
              <w:t xml:space="preserve">as the Company </w:t>
            </w:r>
          </w:p>
        </w:tc>
      </w:tr>
      <w:tr>
        <w:trPr>
          <w:trHeight w:val="240" w:hRule="atLeast"/>
        </w:trPr>
        <w:tc>
          <w:tcPr>
            <w:tcW w:w="541"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By:</w:t>
            </w:r>
          </w:p>
        </w:tc>
        <w:tc>
          <w:tcPr>
            <w:tcW w:w="79" w:type="dxa"/>
            <w:tcBorders>
              <w:bottom w:val="single" w:sz="2" w:space="0" w:color="000000"/>
            </w:tcBorders>
            <w:tcMar>
              <w:bottom w:w="28" w:type="dxa"/>
            </w:tcMar>
            <w:vAlign w:val="bottom"/>
          </w:tcPr>
          <w:p>
            <w:pPr>
              <w:pStyle w:val="TableContents"/>
              <w:bidi w:val="0"/>
              <w:spacing w:before="0" w:after="283"/>
              <w:jc w:val="left"/>
              <w:rPr/>
            </w:pPr>
            <w:r>
              <w:rPr/>
              <w:t> </w:t>
            </w:r>
          </w:p>
        </w:tc>
        <w:tc>
          <w:tcPr>
            <w:tcW w:w="3462" w:type="dxa"/>
            <w:tcBorders>
              <w:bottom w:val="single" w:sz="2" w:space="0" w:color="000000"/>
            </w:tcBorders>
            <w:tcMar>
              <w:bottom w:w="28" w:type="dxa"/>
            </w:tcMar>
          </w:tcPr>
          <w:p>
            <w:pPr>
              <w:pStyle w:val="TableContents"/>
              <w:bidi w:val="0"/>
              <w:spacing w:before="0" w:after="283"/>
              <w:jc w:val="left"/>
              <w:rPr/>
            </w:pPr>
            <w:r>
              <w:rPr/>
              <w:t> </w:t>
            </w:r>
          </w:p>
        </w:tc>
      </w:tr>
      <w:tr>
        <w:trPr/>
        <w:tc>
          <w:tcPr>
            <w:tcW w:w="54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4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Patent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840"/>
        <w:gridCol w:w="108"/>
        <w:gridCol w:w="3134"/>
      </w:tblGrid>
      <w:tr>
        <w:trPr/>
        <w:tc>
          <w:tcPr>
            <w:tcW w:w="84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WILMINGTON TRUST, NATIONAL ASSOCIATION,</w:t>
            </w:r>
            <w:r>
              <w:rPr/>
              <w:t xml:space="preserve"> as Collateral Agent</w:t>
            </w:r>
          </w:p>
        </w:tc>
      </w:tr>
      <w:tr>
        <w:trPr>
          <w:trHeight w:val="240" w:hRule="atLeast"/>
        </w:trPr>
        <w:tc>
          <w:tcPr>
            <w:tcW w:w="840" w:type="dxa"/>
            <w:tcBorders/>
            <w:vAlign w:val="center"/>
          </w:tcPr>
          <w:p>
            <w:pPr>
              <w:pStyle w:val="TableContents"/>
              <w:bidi w:val="0"/>
              <w:spacing w:before="0" w:after="283"/>
              <w:jc w:val="left"/>
              <w:rPr>
                <w:sz w:val="4"/>
                <w:szCs w:val="4"/>
              </w:rPr>
            </w:pPr>
            <w:r>
              <w:rPr>
                <w:sz w:val="4"/>
                <w:szCs w:val="4"/>
              </w:rPr>
            </w:r>
          </w:p>
        </w:tc>
        <w:tc>
          <w:tcPr>
            <w:tcW w:w="3242" w:type="dxa"/>
            <w:gridSpan w:val="2"/>
            <w:tcBorders/>
            <w:vAlign w:val="center"/>
          </w:tcPr>
          <w:p>
            <w:pPr>
              <w:pStyle w:val="TableContents"/>
              <w:bidi w:val="0"/>
              <w:spacing w:before="0" w:after="283"/>
              <w:jc w:val="left"/>
              <w:rPr>
                <w:sz w:val="4"/>
                <w:szCs w:val="4"/>
              </w:rPr>
            </w:pPr>
            <w:r>
              <w:rPr>
                <w:sz w:val="4"/>
                <w:szCs w:val="4"/>
              </w:rPr>
            </w:r>
          </w:p>
        </w:tc>
      </w:tr>
      <w:tr>
        <w:trPr/>
        <w:tc>
          <w:tcPr>
            <w:tcW w:w="840"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134" w:type="dxa"/>
            <w:tcBorders>
              <w:bottom w:val="single" w:sz="2" w:space="0" w:color="000000"/>
            </w:tcBorders>
            <w:tcMar>
              <w:bottom w:w="28" w:type="dxa"/>
            </w:tcMar>
          </w:tcPr>
          <w:p>
            <w:pPr>
              <w:pStyle w:val="TableContents"/>
              <w:bidi w:val="0"/>
              <w:spacing w:before="0" w:after="283"/>
              <w:jc w:val="left"/>
              <w:rPr/>
            </w:pPr>
            <w:r>
              <w:rPr/>
              <w:t> </w:t>
            </w:r>
          </w:p>
        </w:tc>
      </w:tr>
      <w:tr>
        <w:trPr/>
        <w:tc>
          <w:tcPr>
            <w:tcW w:w="84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4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UNITED STATES PATENTS AND PATENT APPLICATIONS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1"/>
        <w:gridCol w:w="120"/>
        <w:gridCol w:w="2705"/>
        <w:gridCol w:w="120"/>
        <w:gridCol w:w="1426"/>
        <w:gridCol w:w="120"/>
        <w:gridCol w:w="2608"/>
        <w:gridCol w:w="120"/>
        <w:gridCol w:w="2585"/>
      </w:tblGrid>
      <w:tr>
        <w:trPr/>
        <w:tc>
          <w:tcPr>
            <w:tcW w:w="4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40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0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4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Owner</w:t>
            </w:r>
          </w:p>
        </w:tc>
        <w:tc>
          <w:tcPr>
            <w:tcW w:w="120"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(Application</w:t>
            </w:r>
          </w:p>
          <w:p>
            <w:pPr>
              <w:pStyle w:val="TableContents"/>
              <w:bidi w:val="0"/>
              <w:spacing w:before="0" w:after="0"/>
              <w:jc w:val="center"/>
              <w:rPr>
                <w:rFonts w:ascii="Times New Roman" w:hAnsi="Times New Roman"/>
                <w:b/>
                <w:sz w:val="16"/>
              </w:rPr>
            </w:pPr>
            <w:r>
              <w:rPr>
                <w:rFonts w:ascii="Times New Roman" w:hAnsi="Times New Roman"/>
                <w:b/>
                <w:sz w:val="16"/>
              </w:rPr>
              <w:t>Number)/Patent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bottom"/>
          </w:tcPr>
          <w:p>
            <w:pPr>
              <w:pStyle w:val="TableContents"/>
              <w:bidi w:val="0"/>
              <w:spacing w:before="0" w:after="283"/>
              <w:jc w:val="left"/>
              <w:rPr/>
            </w:pPr>
            <w:r>
              <w:rPr/>
              <w:t>  </w:t>
            </w:r>
          </w:p>
        </w:tc>
        <w:tc>
          <w:tcPr>
            <w:tcW w:w="258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(Filing</w:t>
            </w:r>
          </w:p>
          <w:p>
            <w:pPr>
              <w:pStyle w:val="TableContents"/>
              <w:bidi w:val="0"/>
              <w:spacing w:before="0" w:after="0"/>
              <w:jc w:val="center"/>
              <w:rPr>
                <w:rFonts w:ascii="Times New Roman" w:hAnsi="Times New Roman"/>
                <w:b/>
                <w:sz w:val="16"/>
              </w:rPr>
            </w:pPr>
            <w:r>
              <w:rPr>
                <w:rFonts w:ascii="Times New Roman" w:hAnsi="Times New Roman"/>
                <w:b/>
                <w:sz w:val="16"/>
              </w:rPr>
              <w:t>Date)/Issuance</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Date</w:t>
            </w:r>
          </w:p>
        </w:tc>
      </w:tr>
      <w:tr>
        <w:trPr/>
        <w:tc>
          <w:tcPr>
            <w:tcW w:w="401"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vAlign w:val="bottom"/>
          </w:tcPr>
          <w:p>
            <w:pPr>
              <w:pStyle w:val="TableContents"/>
              <w:bidi w:val="0"/>
              <w:spacing w:before="0" w:after="283"/>
              <w:jc w:val="left"/>
              <w:rPr/>
            </w:pPr>
            <w:r>
              <w:rPr/>
              <w:t>  </w:t>
            </w:r>
          </w:p>
        </w:tc>
        <w:tc>
          <w:tcPr>
            <w:tcW w:w="27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85" w:type="dxa"/>
            <w:tcBorders/>
            <w:vAlign w:val="bottom"/>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27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8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p>
    <w:p>
      <w:pPr>
        <w:pStyle w:val="TextBody"/>
        <w:bidi w:val="0"/>
        <w:spacing w:before="0" w:after="0"/>
        <w:jc w:val="center"/>
        <w:rPr>
          <w:rFonts w:ascii="Times New Roman" w:hAnsi="Times New Roman"/>
          <w:sz w:val="20"/>
        </w:rPr>
      </w:pPr>
      <w:r>
        <w:rPr>
          <w:rFonts w:ascii="Times New Roman" w:hAnsi="Times New Roman"/>
          <w:sz w:val="20"/>
        </w:rPr>
        <w:t xml:space="preserve">Short Particulars of U.S. Patent Collateral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IV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TRADEMARK SECURITY AGREEMENT </w:t>
      </w:r>
    </w:p>
    <w:p>
      <w:pPr>
        <w:pStyle w:val="TextBody"/>
        <w:bidi w:val="0"/>
        <w:spacing w:before="240" w:after="0"/>
        <w:jc w:val="left"/>
        <w:rPr>
          <w:rFonts w:ascii="Times New Roman" w:hAnsi="Times New Roman"/>
          <w:sz w:val="20"/>
        </w:rPr>
      </w:pPr>
      <w:r>
        <w:rPr>
          <w:rFonts w:ascii="Times New Roman" w:hAnsi="Times New Roman"/>
          <w:sz w:val="20"/>
        </w:rPr>
        <w:t>TRADEMARK SECURITY AGREEMENT (this “</w:t>
      </w:r>
      <w:r>
        <w:rPr>
          <w:rFonts w:ascii="Times New Roman" w:hAnsi="Times New Roman"/>
          <w:b/>
          <w:sz w:val="20"/>
        </w:rPr>
        <w:t>Agreement</w:t>
      </w:r>
      <w:r>
        <w:rPr>
          <w:rFonts w:ascii="Times New Roman" w:hAnsi="Times New Roman"/>
          <w:sz w:val="20"/>
        </w:rPr>
        <w:t>”), dated as of [__],among SABRE FINANCING HOLDINGS LLC (“</w:t>
      </w:r>
      <w:r>
        <w:rPr>
          <w:rFonts w:ascii="Times New Roman" w:hAnsi="Times New Roman"/>
          <w:b/>
          <w:sz w:val="20"/>
        </w:rPr>
        <w:t>Holdings</w:t>
      </w:r>
      <w:r>
        <w:rPr>
          <w:rFonts w:ascii="Times New Roman" w:hAnsi="Times New Roman"/>
          <w:sz w:val="20"/>
        </w:rPr>
        <w:t>”), SABRE FINANCIAL BORROWER, LLC (the “</w:t>
      </w:r>
      <w:r>
        <w:rPr>
          <w:rFonts w:ascii="Times New Roman" w:hAnsi="Times New Roman"/>
          <w:b/>
          <w:sz w:val="20"/>
        </w:rPr>
        <w:t>Company</w:t>
      </w:r>
      <w:r>
        <w:rPr>
          <w:rFonts w:ascii="Times New Roman" w:hAnsi="Times New Roman"/>
          <w:sz w:val="20"/>
        </w:rPr>
        <w:t>”) (each of the foregoing, a “</w:t>
      </w:r>
      <w:r>
        <w:rPr>
          <w:rFonts w:ascii="Times New Roman" w:hAnsi="Times New Roman"/>
          <w:b/>
          <w:sz w:val="20"/>
        </w:rPr>
        <w:t>Grantor</w:t>
      </w:r>
      <w:r>
        <w:rPr>
          <w:rFonts w:ascii="Times New Roman" w:hAnsi="Times New Roman"/>
          <w:sz w:val="20"/>
        </w:rPr>
        <w:t>”) and WILMINGTON TRUST, NATIONAL ASSOCIATION, as collateral agent under the Indenture for the Secured Parties (in such capacity, the “</w:t>
      </w:r>
      <w:r>
        <w:rPr>
          <w:rFonts w:ascii="Times New Roman" w:hAnsi="Times New Roman"/>
          <w:b/>
          <w:sz w:val="20"/>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made to (i) the Pledge and Security Agreement dated as of September 28, 2026 (as amended, restated, supplemented or otherwise modified from time to time, the “</w:t>
      </w:r>
      <w:r>
        <w:rPr>
          <w:rFonts w:ascii="Times New Roman" w:hAnsi="Times New Roman"/>
          <w:b/>
          <w:sz w:val="20"/>
        </w:rPr>
        <w:t>Security Agreement</w:t>
      </w:r>
      <w:r>
        <w:rPr>
          <w:rFonts w:ascii="Times New Roman" w:hAnsi="Times New Roman"/>
          <w:sz w:val="20"/>
        </w:rPr>
        <w:t>”), among Holdings, the Company, the Subsidiary Guarantors and the Collateral Agent and (ii) the Indenture dated as of September 28, 2026 (the “</w:t>
      </w:r>
      <w:r>
        <w:rPr>
          <w:rFonts w:ascii="Times New Roman" w:hAnsi="Times New Roman"/>
          <w:b/>
          <w:sz w:val="20"/>
        </w:rPr>
        <w:t>Indenture</w:t>
      </w:r>
      <w:r>
        <w:rPr>
          <w:rFonts w:ascii="Times New Roman" w:hAnsi="Times New Roman"/>
          <w:sz w:val="20"/>
        </w:rPr>
        <w:t xml:space="preserve">”), among Holdings, the Company, the Subsidiary Guarantors, the Collateral Agent and Wilmington Trust, National Association as trustee. Accordingly,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Terms.</w:t>
      </w:r>
      <w:r>
        <w:rPr>
          <w:rFonts w:ascii="Times New Roman" w:hAnsi="Times New Roman"/>
          <w:sz w:val="20"/>
        </w:rPr>
        <w:t xml:space="preserve"> Capitalized terms used in this Agreement and not otherwise defined herein have the meanings specified in the Security Agreement or the Indenture, as applicable. The rules of construction specified in Article I of the Indenture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Grant of Security Interest.</w:t>
      </w:r>
      <w:r>
        <w:rPr>
          <w:rFonts w:ascii="Times New Roman" w:hAnsi="Times New Roman"/>
          <w:sz w:val="20"/>
        </w:rPr>
        <w:t xml:space="preserve"> As security for the payment or performance, as the case may be, in full of the Obligations, each Grantor, pursuant to and in accordance with the Security Agreement, did and hereby does grant to the Collateral Agent, its successors and assigns, for the benefit of the Secured Parties, a security interest in, all right, title and interest in or to any and all of the following assets and properties now owned or at any time hereafter acquired by such Grantor or in which such Grantor now has or at any time in the future may acquire any right, title or interest, except for any Excluded Assets (collectively, the “</w:t>
      </w:r>
      <w:r>
        <w:rPr>
          <w:rFonts w:ascii="Times New Roman" w:hAnsi="Times New Roman"/>
          <w:b/>
          <w:sz w:val="20"/>
        </w:rPr>
        <w:t>Trademark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 all trademarks, service marks, trade names, corporate names, trade dress, logos, fictitious business names, or other source or business identifiers, now existing or hereafter adopted or acquired, all registrations and recordings thereof, and all registration and recording applications filed in connection therewith, including those registrations and registration applications in the USPTO referred to on Schedule I hereto, and all extensions or renewals thereof, as well as any unregistered trademarks and service marks used by a Grantor, and (b) all goodwill connected with the use of and symbolized thereby; </w:t>
      </w:r>
    </w:p>
    <w:p>
      <w:pPr>
        <w:pStyle w:val="TextBody"/>
        <w:bidi w:val="0"/>
        <w:spacing w:before="240" w:after="0"/>
        <w:jc w:val="left"/>
        <w:rPr>
          <w:rFonts w:ascii="Times New Roman" w:hAnsi="Times New Roman"/>
          <w:sz w:val="20"/>
        </w:rPr>
      </w:pPr>
      <w:r>
        <w:rPr>
          <w:rFonts w:ascii="Times New Roman" w:hAnsi="Times New Roman"/>
          <w:sz w:val="20"/>
        </w:rPr>
        <w:t xml:space="preserve">(ii) all Proceeds of the foregoing, including all income, fees, royalties, damages, claims and payments now and hereafter due and/or payable thereunder and with respect thereto including damages and payments for past, present or future infringements, dilutions or other violations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(iii) all rights to sue for past, present and future infringements, dilutions, or other violations thereof; and </w:t>
      </w:r>
    </w:p>
    <w:p>
      <w:pPr>
        <w:pStyle w:val="TextBody"/>
        <w:bidi w:val="0"/>
        <w:spacing w:before="240" w:after="0"/>
        <w:jc w:val="left"/>
        <w:rPr>
          <w:rFonts w:ascii="Times New Roman" w:hAnsi="Times New Roman"/>
          <w:sz w:val="20"/>
        </w:rPr>
      </w:pPr>
      <w:r>
        <w:rPr>
          <w:rFonts w:ascii="Times New Roman" w:hAnsi="Times New Roman"/>
          <w:sz w:val="20"/>
        </w:rPr>
        <w:t xml:space="preserve">(iv) all other rights, priorities and privileges arising thereunder or pertaining thereto throughout the world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is made to secure the satisfactory performance and payment of the Obligations. This Trademark Security Agreement and the security interest granted hereby shall terminate with respect to all of a Grantor’s Obligations and any Lien arising therefrom shall be automatically released upon termination of the Security Agreement or release of such Grantor’s obligations thereunder in accordance with the Indenture. The Collateral Agent shall, in connection with any termination or release herein or under the Security Agreement, execute and deliver to any Grantor, at such Grantor’s expense and as such Grantor may request, an instrument in writing releasing the security interest in the Trademark Collateral acquired under this Agreement. Additionally, upon such satisfactory performance or payment, the Collateral Agent shall reasonably cooperate, at the cost and expense of such Grantor, with any efforts made by a Grantor to make of record or otherwise confirm such satisfaction including, but not limited to, the release and/or termination of this Agreement and any security interest in, to or under the Trademark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Supplement to the Security Agreement</w:t>
      </w:r>
      <w:r>
        <w:rPr>
          <w:rFonts w:ascii="Times New Roman" w:hAnsi="Times New Roman"/>
          <w:sz w:val="20"/>
        </w:rPr>
        <w:t xml:space="preserve">. The security interests granted to the Collateral Agent herein are granted in furtherance, and not in limitation of, the security interests granted to the Collateral Agent pursuant to the Security Agreement. Each Grantor hereby acknowledges and affirms that the rights and remedies of the Collateral Agent with respect to the Trademark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Concerning the Collateral Agent</w:t>
      </w:r>
      <w:r>
        <w:rPr>
          <w:rFonts w:ascii="Times New Roman" w:hAnsi="Times New Roman"/>
          <w:sz w:val="20"/>
        </w:rPr>
        <w:t xml:space="preserve">. Wilmington Trust, National Association is entering into this Trademark Security Agreement solely in its capacity as the Collateral Agent under the Indenture and shall be entitled to all of the rights, privileges, immunities and indemnities granted to the Collateral Agent under the Indenture and the Security Agreement as if such rights, privileges, immunities and indemnities were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The provisions of Article VI of the Security Agreement are hereby incorporated by reference.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72"/>
        <w:gridCol w:w="100"/>
        <w:gridCol w:w="3410"/>
      </w:tblGrid>
      <w:tr>
        <w:trPr/>
        <w:tc>
          <w:tcPr>
            <w:tcW w:w="57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SABRE FINANCING HOLDINGS LLC, </w:t>
              <w:br/>
              <w:t> </w:t>
            </w:r>
            <w:r>
              <w:rPr/>
              <w:t>as Holdings</w:t>
            </w:r>
          </w:p>
        </w:tc>
      </w:tr>
      <w:tr>
        <w:trPr>
          <w:trHeight w:val="240" w:hRule="atLeast"/>
        </w:trPr>
        <w:tc>
          <w:tcPr>
            <w:tcW w:w="572" w:type="dxa"/>
            <w:tcBorders/>
            <w:vAlign w:val="center"/>
          </w:tcPr>
          <w:p>
            <w:pPr>
              <w:pStyle w:val="TableContents"/>
              <w:bidi w:val="0"/>
              <w:spacing w:before="0" w:after="283"/>
              <w:jc w:val="left"/>
              <w:rPr>
                <w:sz w:val="4"/>
                <w:szCs w:val="4"/>
              </w:rPr>
            </w:pPr>
            <w:r>
              <w:rPr>
                <w:sz w:val="4"/>
                <w:szCs w:val="4"/>
              </w:rPr>
            </w:r>
          </w:p>
        </w:tc>
        <w:tc>
          <w:tcPr>
            <w:tcW w:w="3510"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By:</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0" w:type="dxa"/>
            <w:tcBorders>
              <w:bottom w:val="single" w:sz="2" w:space="0" w:color="000000"/>
            </w:tcBorders>
            <w:tcMar>
              <w:bottom w:w="28" w:type="dxa"/>
            </w:tcMar>
          </w:tcPr>
          <w:p>
            <w:pPr>
              <w:pStyle w:val="TableContents"/>
              <w:bidi w:val="0"/>
              <w:spacing w:before="0" w:after="283"/>
              <w:jc w:val="left"/>
              <w:rPr/>
            </w:pPr>
            <w:r>
              <w:rPr/>
              <w:t> </w:t>
            </w:r>
          </w:p>
        </w:tc>
      </w:tr>
      <w:tr>
        <w:trPr/>
        <w:tc>
          <w:tcPr>
            <w:tcW w:w="572"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72"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3"/>
        <w:gridCol w:w="109"/>
        <w:gridCol w:w="3360"/>
      </w:tblGrid>
      <w:tr>
        <w:trPr/>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SABRE FINANCIAL BORROWER, LLC, </w:t>
              <w:br/>
              <w:t> </w:t>
            </w:r>
            <w:r>
              <w:rPr/>
              <w:t xml:space="preserve">as the Company </w:t>
            </w:r>
          </w:p>
        </w:tc>
      </w:tr>
      <w:tr>
        <w:trPr>
          <w:trHeight w:val="240" w:hRule="atLeast"/>
        </w:trPr>
        <w:tc>
          <w:tcPr>
            <w:tcW w:w="61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360" w:type="dxa"/>
            <w:tcBorders>
              <w:bottom w:val="single" w:sz="2" w:space="0" w:color="000000"/>
            </w:tcBorders>
            <w:tcMar>
              <w:bottom w:w="28" w:type="dxa"/>
            </w:tcMar>
          </w:tcPr>
          <w:p>
            <w:pPr>
              <w:pStyle w:val="TableContents"/>
              <w:bidi w:val="0"/>
              <w:spacing w:before="0" w:after="283"/>
              <w:jc w:val="left"/>
              <w:rPr/>
            </w:pPr>
            <w:r>
              <w:rPr/>
              <w:t> </w:t>
            </w:r>
          </w:p>
        </w:tc>
      </w:tr>
      <w:tr>
        <w:trPr/>
        <w:tc>
          <w:tcPr>
            <w:tcW w:w="61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1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Copyright Security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40"/>
        <w:gridCol w:w="108"/>
        <w:gridCol w:w="3134"/>
      </w:tblGrid>
      <w:tr>
        <w:trPr/>
        <w:tc>
          <w:tcPr>
            <w:tcW w:w="84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WILMINGTON TRUST, NATIONAL ASSOCIATION, </w:t>
              <w:br/>
            </w:r>
            <w:r>
              <w:rPr/>
              <w:t>as Collateral Agent</w:t>
            </w:r>
          </w:p>
        </w:tc>
      </w:tr>
      <w:tr>
        <w:trPr>
          <w:trHeight w:val="240" w:hRule="atLeast"/>
        </w:trPr>
        <w:tc>
          <w:tcPr>
            <w:tcW w:w="840" w:type="dxa"/>
            <w:tcBorders/>
            <w:vAlign w:val="center"/>
          </w:tcPr>
          <w:p>
            <w:pPr>
              <w:pStyle w:val="TableContents"/>
              <w:bidi w:val="0"/>
              <w:spacing w:before="0" w:after="283"/>
              <w:jc w:val="left"/>
              <w:rPr>
                <w:sz w:val="4"/>
                <w:szCs w:val="4"/>
              </w:rPr>
            </w:pPr>
            <w:r>
              <w:rPr>
                <w:sz w:val="4"/>
                <w:szCs w:val="4"/>
              </w:rPr>
            </w:r>
          </w:p>
        </w:tc>
        <w:tc>
          <w:tcPr>
            <w:tcW w:w="3242" w:type="dxa"/>
            <w:gridSpan w:val="2"/>
            <w:tcBorders/>
            <w:vAlign w:val="center"/>
          </w:tcPr>
          <w:p>
            <w:pPr>
              <w:pStyle w:val="TableContents"/>
              <w:bidi w:val="0"/>
              <w:spacing w:before="0" w:after="283"/>
              <w:jc w:val="left"/>
              <w:rPr>
                <w:sz w:val="4"/>
                <w:szCs w:val="4"/>
              </w:rPr>
            </w:pPr>
            <w:r>
              <w:rPr>
                <w:sz w:val="4"/>
                <w:szCs w:val="4"/>
              </w:rPr>
            </w:r>
          </w:p>
        </w:tc>
      </w:tr>
      <w:tr>
        <w:trPr/>
        <w:tc>
          <w:tcPr>
            <w:tcW w:w="840"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134" w:type="dxa"/>
            <w:tcBorders>
              <w:bottom w:val="single" w:sz="2" w:space="0" w:color="000000"/>
            </w:tcBorders>
            <w:tcMar>
              <w:bottom w:w="28" w:type="dxa"/>
            </w:tcMar>
          </w:tcPr>
          <w:p>
            <w:pPr>
              <w:pStyle w:val="TableContents"/>
              <w:bidi w:val="0"/>
              <w:spacing w:before="0" w:after="283"/>
              <w:jc w:val="left"/>
              <w:rPr/>
            </w:pPr>
            <w:r>
              <w:rPr/>
              <w:t> </w:t>
            </w:r>
          </w:p>
        </w:tc>
      </w:tr>
      <w:tr>
        <w:trPr/>
        <w:tc>
          <w:tcPr>
            <w:tcW w:w="84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4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Copyright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UNITED STATES TRADEMARKS, SERVICE MARKS AND TRADEMARK APPLICATIONS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102"/>
        <w:gridCol w:w="1327"/>
        <w:gridCol w:w="102"/>
        <w:gridCol w:w="1429"/>
        <w:gridCol w:w="102"/>
        <w:gridCol w:w="1428"/>
        <w:gridCol w:w="102"/>
        <w:gridCol w:w="1429"/>
        <w:gridCol w:w="102"/>
        <w:gridCol w:w="1429"/>
        <w:gridCol w:w="102"/>
        <w:gridCol w:w="1327"/>
      </w:tblGrid>
      <w:tr>
        <w:trPr/>
        <w:tc>
          <w:tcPr>
            <w:tcW w:w="122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w:t>
            </w:r>
          </w:p>
        </w:tc>
        <w:tc>
          <w:tcPr>
            <w:tcW w:w="102" w:type="dxa"/>
            <w:tcBorders/>
            <w:vAlign w:val="bottom"/>
          </w:tcPr>
          <w:p>
            <w:pPr>
              <w:pStyle w:val="TableContents"/>
              <w:bidi w:val="0"/>
              <w:spacing w:before="0" w:after="283"/>
              <w:jc w:val="left"/>
              <w:rPr/>
            </w:pPr>
            <w:r>
              <w:rPr/>
              <w:t> </w:t>
            </w:r>
          </w:p>
        </w:tc>
        <w:tc>
          <w:tcPr>
            <w:tcW w:w="13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MARK</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SERIAL NO</w:t>
            </w:r>
          </w:p>
        </w:tc>
        <w:tc>
          <w:tcPr>
            <w:tcW w:w="102" w:type="dxa"/>
            <w:tcBorders/>
            <w:vAlign w:val="bottom"/>
          </w:tcPr>
          <w:p>
            <w:pPr>
              <w:pStyle w:val="TableContents"/>
              <w:bidi w:val="0"/>
              <w:spacing w:before="0" w:after="283"/>
              <w:jc w:val="left"/>
              <w:rPr/>
            </w:pPr>
            <w:r>
              <w:rPr/>
              <w:t> </w:t>
            </w:r>
          </w:p>
        </w:tc>
        <w:tc>
          <w:tcPr>
            <w:tcW w:w="142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REG NO</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FILE DT</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REG DT</w:t>
            </w:r>
          </w:p>
        </w:tc>
        <w:tc>
          <w:tcPr>
            <w:tcW w:w="102" w:type="dxa"/>
            <w:tcBorders/>
            <w:vAlign w:val="bottom"/>
          </w:tcPr>
          <w:p>
            <w:pPr>
              <w:pStyle w:val="TableContents"/>
              <w:bidi w:val="0"/>
              <w:spacing w:before="0" w:after="283"/>
              <w:jc w:val="left"/>
              <w:rPr/>
            </w:pPr>
            <w:r>
              <w:rPr/>
              <w:t> </w:t>
            </w:r>
          </w:p>
        </w:tc>
        <w:tc>
          <w:tcPr>
            <w:tcW w:w="132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OWNER</w:t>
            </w:r>
          </w:p>
        </w:tc>
      </w:tr>
      <w:tr>
        <w:trPr/>
        <w:tc>
          <w:tcPr>
            <w:tcW w:w="1224" w:type="dxa"/>
            <w:tcBorders/>
          </w:tcPr>
          <w:p>
            <w:pPr>
              <w:pStyle w:val="TableContents"/>
              <w:bidi w:val="0"/>
              <w:spacing w:before="0" w:after="283"/>
              <w:jc w:val="left"/>
              <w:rPr/>
            </w:pPr>
            <w:r>
              <w:rPr/>
              <w:t>1.</w:t>
            </w:r>
          </w:p>
        </w:tc>
        <w:tc>
          <w:tcPr>
            <w:tcW w:w="102"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2.</w:t>
            </w:r>
          </w:p>
        </w:tc>
        <w:tc>
          <w:tcPr>
            <w:tcW w:w="102"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to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V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COPYRIGHT SECURITY AGREEMENT </w:t>
      </w:r>
    </w:p>
    <w:p>
      <w:pPr>
        <w:pStyle w:val="TextBody"/>
        <w:bidi w:val="0"/>
        <w:spacing w:before="240" w:after="0"/>
        <w:jc w:val="left"/>
        <w:rPr>
          <w:rFonts w:ascii="Times New Roman" w:hAnsi="Times New Roman"/>
          <w:sz w:val="20"/>
        </w:rPr>
      </w:pPr>
      <w:r>
        <w:rPr>
          <w:rFonts w:ascii="Times New Roman" w:hAnsi="Times New Roman"/>
          <w:sz w:val="20"/>
        </w:rPr>
        <w:t>COPYRIGHT SECURITY AGREEMENT (this “</w:t>
      </w:r>
      <w:r>
        <w:rPr>
          <w:rFonts w:ascii="Times New Roman" w:hAnsi="Times New Roman"/>
          <w:b/>
          <w:sz w:val="20"/>
        </w:rPr>
        <w:t>Agreement</w:t>
      </w:r>
      <w:r>
        <w:rPr>
          <w:rFonts w:ascii="Times New Roman" w:hAnsi="Times New Roman"/>
          <w:sz w:val="20"/>
        </w:rPr>
        <w:t>”), dated as of [__], among SABRE FINANCING HOLDINGS LLC (“</w:t>
      </w:r>
      <w:r>
        <w:rPr>
          <w:rFonts w:ascii="Times New Roman" w:hAnsi="Times New Roman"/>
          <w:b/>
          <w:sz w:val="20"/>
        </w:rPr>
        <w:t>Holdings</w:t>
      </w:r>
      <w:r>
        <w:rPr>
          <w:rFonts w:ascii="Times New Roman" w:hAnsi="Times New Roman"/>
          <w:sz w:val="20"/>
        </w:rPr>
        <w:t>”), SABRE FINANCIAL BORROWER, LLC (the “</w:t>
      </w:r>
      <w:r>
        <w:rPr>
          <w:rFonts w:ascii="Times New Roman" w:hAnsi="Times New Roman"/>
          <w:b/>
          <w:sz w:val="20"/>
        </w:rPr>
        <w:t>Company</w:t>
      </w:r>
      <w:r>
        <w:rPr>
          <w:rFonts w:ascii="Times New Roman" w:hAnsi="Times New Roman"/>
          <w:sz w:val="20"/>
        </w:rPr>
        <w:t>”) (each of the foregoing, a “</w:t>
      </w:r>
      <w:r>
        <w:rPr>
          <w:rFonts w:ascii="Times New Roman" w:hAnsi="Times New Roman"/>
          <w:b/>
          <w:sz w:val="20"/>
        </w:rPr>
        <w:t>Grantor</w:t>
      </w:r>
      <w:r>
        <w:rPr>
          <w:rFonts w:ascii="Times New Roman" w:hAnsi="Times New Roman"/>
          <w:sz w:val="20"/>
        </w:rPr>
        <w:t>”) and WILMINGTON TRUST, NATIONAL ASSOCIATION, as collateral agent under the Indenture for the Secured Parties (in such capacity, the “</w:t>
      </w:r>
      <w:r>
        <w:rPr>
          <w:rFonts w:ascii="Times New Roman" w:hAnsi="Times New Roman"/>
          <w:b/>
          <w:sz w:val="20"/>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made to (i) the Pledge and Security Agreement dated as of September 28, 2026 (as amended, restated, supplemented or otherwise modified from time to time, the “</w:t>
      </w:r>
      <w:r>
        <w:rPr>
          <w:rFonts w:ascii="Times New Roman" w:hAnsi="Times New Roman"/>
          <w:b/>
          <w:sz w:val="20"/>
        </w:rPr>
        <w:t>Security Agreement</w:t>
      </w:r>
      <w:r>
        <w:rPr>
          <w:rFonts w:ascii="Times New Roman" w:hAnsi="Times New Roman"/>
          <w:sz w:val="20"/>
        </w:rPr>
        <w:t>”), among Holdings, the Company, the Subsidiary Guarantors and the Collateral Agent and (ii) the Indenture dated as of September 28, 2026 (the “</w:t>
      </w:r>
      <w:r>
        <w:rPr>
          <w:rFonts w:ascii="Times New Roman" w:hAnsi="Times New Roman"/>
          <w:b/>
          <w:sz w:val="20"/>
        </w:rPr>
        <w:t>Indenture</w:t>
      </w:r>
      <w:r>
        <w:rPr>
          <w:rFonts w:ascii="Times New Roman" w:hAnsi="Times New Roman"/>
          <w:sz w:val="20"/>
        </w:rPr>
        <w:t xml:space="preserve">”), among Holdings, the Company, the Subsidiary Guarantors, the Collateral Agent and Wilmington Trust, National Association as trustee. Accordingly,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Terms</w:t>
      </w:r>
      <w:r>
        <w:rPr>
          <w:rFonts w:ascii="Times New Roman" w:hAnsi="Times New Roman"/>
          <w:sz w:val="20"/>
        </w:rPr>
        <w:t xml:space="preserve">. Capitalized terms used in this Agreement and not otherwise defined herein have the meanings specified in the Security Agreement, or the Indenture, as applicable. The rules of construction specified in Article I of the Indenture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Grant of Security Interest</w:t>
      </w:r>
      <w:r>
        <w:rPr>
          <w:rFonts w:ascii="Times New Roman" w:hAnsi="Times New Roman"/>
          <w:sz w:val="20"/>
        </w:rPr>
        <w:t>. As security for the payment or performance, as the case may be, in full of the Obligations, each Grantor, pursuant to and in accordance with the Security Agreement, did and hereby does grant to the Collateral Agent, its successors and assigns, for the benefit of the Secured Parties, a security interest in, all right, title and interest in or to any and all of the following assets and properties now owned or at any time hereafter acquired by such Grantor or in which such Grantor now has or at any time in the future may acquire any right, title or interest (collectively, the “</w:t>
      </w:r>
      <w:r>
        <w:rPr>
          <w:rFonts w:ascii="Times New Roman" w:hAnsi="Times New Roman"/>
          <w:b/>
          <w:sz w:val="20"/>
        </w:rPr>
        <w:t>Copyright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 all copyrights in any work subject to the copyright laws of the United States, whether as author, assignee, transferee or otherwise, and (b) all registrations of any such copyright in the United States, including those registrations, recordings and supplemental registrations in the USCO referred to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(ii) all Proceeds of the foregoing, including all income, fees, royalties, damages, claims and payments now and hereafter due and/or payable thereunder and with respect thereto including damages and payments for past, present or future infringements or other violations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(iii) all rights to sue for past, present and future infringements or other violations thereof; and </w:t>
      </w:r>
    </w:p>
    <w:p>
      <w:pPr>
        <w:pStyle w:val="TextBody"/>
        <w:bidi w:val="0"/>
        <w:spacing w:before="240" w:after="0"/>
        <w:jc w:val="left"/>
        <w:rPr>
          <w:rFonts w:ascii="Times New Roman" w:hAnsi="Times New Roman"/>
          <w:sz w:val="20"/>
        </w:rPr>
      </w:pPr>
      <w:r>
        <w:rPr>
          <w:rFonts w:ascii="Times New Roman" w:hAnsi="Times New Roman"/>
          <w:sz w:val="20"/>
        </w:rPr>
        <w:t xml:space="preserve">(iv) all other rights, priorities and privileges arising thereunder or pertaining thereto throughout the world.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is made to secure the satisfactory performance and payment of the Obligations. This Copyright Security Agreement and the security interest granted hereby shall terminate with respect to all of a Grantor’s Obligations and any Lien arising therefrom shall be automatically released upon termination of the Security Agreement or release of such Grantor’s obligations thereunder in accordance with the Indenture. The Collateral Agent shall, in connection with any termination or release herein or under the Security Agreement, execute and deliver to any Grantor, at such Grantor’s expense and as such Grantor may request, an instrument in writing releasing the security interest in the Copyright Collateral acquired under this Agreement. Additionally, upon such satisfactory performance or payment, the Collateral Agent shall reasonably cooperate, at the cost and expenses of such Grantor, with any efforts made by a Grantor to make of record or otherwise confirm such satisfaction including, but not limited to, the release and/or termination of this Agreement and any security interest in, to or under the Copyright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Supplement to the Security Agreement</w:t>
      </w:r>
      <w:r>
        <w:rPr>
          <w:rFonts w:ascii="Times New Roman" w:hAnsi="Times New Roman"/>
          <w:sz w:val="20"/>
        </w:rPr>
        <w:t xml:space="preserve">. The security interests granted to the Collateral Agent herein are granted in furtherance, and not in limitation of, the security interests granted to the Collateral Agent pursuant to the Security Agreement. Each Grantor hereby acknowledges and affirms that the rights and remedies of the Collateral Agent with respect to the Copyright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Concerning the Collateral Agent</w:t>
      </w:r>
      <w:r>
        <w:rPr>
          <w:rFonts w:ascii="Times New Roman" w:hAnsi="Times New Roman"/>
          <w:sz w:val="20"/>
        </w:rPr>
        <w:t xml:space="preserve">. Wilmington Trust, National Association is entering into this Copyright Security Agreement solely in its capacity as the Collateral Agent under the Indenture and shall be entitled to all of the rights, privileges, immunities and indemnities granted to the Collateral Agent under the Indenture and the Security Agreement as if such rights, privileges, immunities and indemnities were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The provisions of Article VI of the Security Agreement are hereby incorporated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67"/>
        <w:gridCol w:w="78"/>
        <w:gridCol w:w="3537"/>
      </w:tblGrid>
      <w:tr>
        <w:trPr/>
        <w:tc>
          <w:tcPr>
            <w:tcW w:w="467"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SABRE FINANCING HOLDINGS LLC, </w:t>
              <w:br/>
            </w:r>
            <w:r>
              <w:rPr>
                <w:rFonts w:ascii="Times New Roman" w:hAnsi="Times New Roman"/>
                <w:sz w:val="20"/>
              </w:rPr>
              <w:t>as Holdings</w:t>
            </w:r>
          </w:p>
        </w:tc>
      </w:tr>
      <w:tr>
        <w:trPr>
          <w:trHeight w:val="240" w:hRule="atLeast"/>
        </w:trPr>
        <w:tc>
          <w:tcPr>
            <w:tcW w:w="467" w:type="dxa"/>
            <w:tcBorders/>
            <w:vAlign w:val="center"/>
          </w:tcPr>
          <w:p>
            <w:pPr>
              <w:pStyle w:val="TableContents"/>
              <w:bidi w:val="0"/>
              <w:spacing w:before="0" w:after="283"/>
              <w:jc w:val="left"/>
              <w:rPr>
                <w:sz w:val="4"/>
                <w:szCs w:val="4"/>
              </w:rPr>
            </w:pPr>
            <w:r>
              <w:rPr>
                <w:sz w:val="4"/>
                <w:szCs w:val="4"/>
              </w:rPr>
            </w:r>
          </w:p>
        </w:tc>
        <w:tc>
          <w:tcPr>
            <w:tcW w:w="3615" w:type="dxa"/>
            <w:gridSpan w:val="2"/>
            <w:tcBorders/>
            <w:vAlign w:val="center"/>
          </w:tcPr>
          <w:p>
            <w:pPr>
              <w:pStyle w:val="TableContents"/>
              <w:bidi w:val="0"/>
              <w:spacing w:before="0" w:after="283"/>
              <w:jc w:val="left"/>
              <w:rPr>
                <w:sz w:val="4"/>
                <w:szCs w:val="4"/>
              </w:rPr>
            </w:pPr>
            <w:r>
              <w:rPr>
                <w:sz w:val="4"/>
                <w:szCs w:val="4"/>
              </w:rPr>
            </w:r>
          </w:p>
        </w:tc>
      </w:tr>
      <w:tr>
        <w:trPr/>
        <w:tc>
          <w:tcPr>
            <w:tcW w:w="467"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537" w:type="dxa"/>
            <w:tcBorders>
              <w:bottom w:val="single" w:sz="2" w:space="0" w:color="000000"/>
            </w:tcBorders>
            <w:tcMar>
              <w:bottom w:w="28" w:type="dxa"/>
            </w:tcMar>
          </w:tcPr>
          <w:p>
            <w:pPr>
              <w:pStyle w:val="TableContents"/>
              <w:bidi w:val="0"/>
              <w:spacing w:before="0" w:after="283"/>
              <w:jc w:val="left"/>
              <w:rPr/>
            </w:pPr>
            <w:r>
              <w:rPr/>
              <w:t> </w:t>
            </w:r>
          </w:p>
        </w:tc>
      </w:tr>
      <w:tr>
        <w:trPr/>
        <w:tc>
          <w:tcPr>
            <w:tcW w:w="4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7"/>
        <w:gridCol w:w="87"/>
        <w:gridCol w:w="3488"/>
      </w:tblGrid>
      <w:tr>
        <w:trPr/>
        <w:tc>
          <w:tcPr>
            <w:tcW w:w="507"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SABRE FINANCIAL BORROWER, LLC, </w:t>
              <w:br/>
            </w:r>
            <w:r>
              <w:rPr>
                <w:rFonts w:ascii="Times New Roman" w:hAnsi="Times New Roman"/>
                <w:sz w:val="20"/>
              </w:rPr>
              <w:t>as the Company</w:t>
            </w:r>
          </w:p>
        </w:tc>
      </w:tr>
      <w:tr>
        <w:trPr>
          <w:trHeight w:val="240" w:hRule="atLeast"/>
        </w:trPr>
        <w:tc>
          <w:tcPr>
            <w:tcW w:w="507" w:type="dxa"/>
            <w:tcBorders/>
            <w:vAlign w:val="center"/>
          </w:tcPr>
          <w:p>
            <w:pPr>
              <w:pStyle w:val="TableContents"/>
              <w:bidi w:val="0"/>
              <w:spacing w:before="0" w:after="283"/>
              <w:jc w:val="left"/>
              <w:rPr>
                <w:sz w:val="4"/>
                <w:szCs w:val="4"/>
              </w:rPr>
            </w:pPr>
            <w:r>
              <w:rPr>
                <w:sz w:val="4"/>
                <w:szCs w:val="4"/>
              </w:rPr>
            </w:r>
          </w:p>
        </w:tc>
        <w:tc>
          <w:tcPr>
            <w:tcW w:w="3575" w:type="dxa"/>
            <w:gridSpan w:val="2"/>
            <w:tcBorders/>
            <w:vAlign w:val="center"/>
          </w:tcPr>
          <w:p>
            <w:pPr>
              <w:pStyle w:val="TableContents"/>
              <w:bidi w:val="0"/>
              <w:spacing w:before="0" w:after="283"/>
              <w:jc w:val="left"/>
              <w:rPr>
                <w:sz w:val="4"/>
                <w:szCs w:val="4"/>
              </w:rPr>
            </w:pPr>
            <w:r>
              <w:rPr>
                <w:sz w:val="4"/>
                <w:szCs w:val="4"/>
              </w:rPr>
            </w:r>
          </w:p>
        </w:tc>
      </w:tr>
      <w:tr>
        <w:trPr/>
        <w:tc>
          <w:tcPr>
            <w:tcW w:w="507"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88" w:type="dxa"/>
            <w:tcBorders>
              <w:bottom w:val="single" w:sz="2" w:space="0" w:color="000000"/>
            </w:tcBorders>
            <w:tcMar>
              <w:bottom w:w="28" w:type="dxa"/>
            </w:tcMar>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0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Copyright Security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40"/>
        <w:gridCol w:w="108"/>
        <w:gridCol w:w="3134"/>
      </w:tblGrid>
      <w:tr>
        <w:trPr/>
        <w:tc>
          <w:tcPr>
            <w:tcW w:w="84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WILMINGTON TRUST, NATIONAL ASSOCIATION,</w:t>
            </w:r>
            <w:r>
              <w:rPr/>
              <w:t xml:space="preserve"> </w:t>
              <w:br/>
              <w:t> as Collateral Agent</w:t>
            </w:r>
          </w:p>
        </w:tc>
      </w:tr>
      <w:tr>
        <w:trPr>
          <w:trHeight w:val="240" w:hRule="atLeast"/>
        </w:trPr>
        <w:tc>
          <w:tcPr>
            <w:tcW w:w="840" w:type="dxa"/>
            <w:tcBorders/>
            <w:vAlign w:val="center"/>
          </w:tcPr>
          <w:p>
            <w:pPr>
              <w:pStyle w:val="TableContents"/>
              <w:bidi w:val="0"/>
              <w:spacing w:before="0" w:after="283"/>
              <w:jc w:val="left"/>
              <w:rPr>
                <w:sz w:val="4"/>
                <w:szCs w:val="4"/>
              </w:rPr>
            </w:pPr>
            <w:r>
              <w:rPr>
                <w:sz w:val="4"/>
                <w:szCs w:val="4"/>
              </w:rPr>
            </w:r>
          </w:p>
        </w:tc>
        <w:tc>
          <w:tcPr>
            <w:tcW w:w="3242" w:type="dxa"/>
            <w:gridSpan w:val="2"/>
            <w:tcBorders/>
            <w:vAlign w:val="center"/>
          </w:tcPr>
          <w:p>
            <w:pPr>
              <w:pStyle w:val="TableContents"/>
              <w:bidi w:val="0"/>
              <w:spacing w:before="0" w:after="283"/>
              <w:jc w:val="left"/>
              <w:rPr>
                <w:sz w:val="4"/>
                <w:szCs w:val="4"/>
              </w:rPr>
            </w:pPr>
            <w:r>
              <w:rPr>
                <w:sz w:val="4"/>
                <w:szCs w:val="4"/>
              </w:rPr>
            </w:r>
          </w:p>
        </w:tc>
      </w:tr>
      <w:tr>
        <w:trPr/>
        <w:tc>
          <w:tcPr>
            <w:tcW w:w="840"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134" w:type="dxa"/>
            <w:tcBorders>
              <w:bottom w:val="single" w:sz="2" w:space="0" w:color="000000"/>
            </w:tcBorders>
            <w:tcMar>
              <w:bottom w:w="28" w:type="dxa"/>
            </w:tcMar>
          </w:tcPr>
          <w:p>
            <w:pPr>
              <w:pStyle w:val="TableContents"/>
              <w:bidi w:val="0"/>
              <w:spacing w:before="0" w:after="283"/>
              <w:jc w:val="left"/>
              <w:rPr/>
            </w:pPr>
            <w:r>
              <w:rPr/>
              <w:t> </w:t>
            </w:r>
          </w:p>
        </w:tc>
      </w:tr>
      <w:tr>
        <w:trPr/>
        <w:tc>
          <w:tcPr>
            <w:tcW w:w="84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4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Copyright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UNITED STATES REGISTERED COPYRIGHTS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1"/>
        <w:gridCol w:w="1940"/>
        <w:gridCol w:w="102"/>
        <w:gridCol w:w="2041"/>
        <w:gridCol w:w="102"/>
        <w:gridCol w:w="2041"/>
        <w:gridCol w:w="102"/>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c>
          <w:tcPr>
            <w:tcW w:w="102" w:type="dxa"/>
            <w:tcBorders/>
            <w:vAlign w:val="bottom"/>
          </w:tcPr>
          <w:p>
            <w:pPr>
              <w:pStyle w:val="TableContents"/>
              <w:bidi w:val="0"/>
              <w:spacing w:before="0" w:after="283"/>
              <w:jc w:val="left"/>
              <w:rPr/>
            </w:pPr>
            <w:r>
              <w:rPr/>
              <w:t> </w:t>
            </w:r>
          </w:p>
        </w:tc>
        <w:tc>
          <w:tcPr>
            <w:tcW w:w="204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REG NO</w:t>
            </w:r>
          </w:p>
        </w:tc>
        <w:tc>
          <w:tcPr>
            <w:tcW w:w="102"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REG</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DATE</w:t>
            </w:r>
          </w:p>
        </w:tc>
        <w:tc>
          <w:tcPr>
            <w:tcW w:w="102"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OWNER</w:t>
            </w:r>
          </w:p>
        </w:tc>
      </w:tr>
      <w:tr>
        <w:trPr/>
        <w:tc>
          <w:tcPr>
            <w:tcW w:w="1836" w:type="dxa"/>
            <w:tcBorders/>
          </w:tcPr>
          <w:p>
            <w:pPr>
              <w:pStyle w:val="TableContents"/>
              <w:bidi w:val="0"/>
              <w:spacing w:before="0" w:after="283"/>
              <w:jc w:val="left"/>
              <w:rPr/>
            </w:pPr>
            <w:r>
              <w:rPr/>
              <w:t>1.</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2.</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- 1 </w:t>
      </w:r>
    </w:p>
    <w:p>
      <w:pPr>
        <w:pStyle w:val="TextBody"/>
        <w:bidi w:val="0"/>
        <w:spacing w:before="0" w:after="0"/>
        <w:jc w:val="center"/>
        <w:rPr>
          <w:rFonts w:ascii="Times New Roman" w:hAnsi="Times New Roman"/>
          <w:sz w:val="20"/>
        </w:rPr>
      </w:pPr>
      <w:r>
        <w:rPr>
          <w:rFonts w:ascii="Times New Roman" w:hAnsi="Times New Roman"/>
          <w:sz w:val="20"/>
        </w:rPr>
        <w:t xml:space="preserve">Short Particulars of U.S. Copyright Collateral </w:t>
      </w:r>
    </w:p>
    <w:p>
      <w:pPr>
        <w:pStyle w:val="TextBody"/>
        <w:bidi w:val="0"/>
        <w:spacing w:before="0" w:after="0"/>
        <w:jc w:val="right"/>
        <w:rPr>
          <w:rFonts w:ascii="Times New Roman" w:hAnsi="Times New Roman"/>
          <w:b/>
          <w:sz w:val="20"/>
        </w:rPr>
      </w:pPr>
      <w:bookmarkStart w:id="6" w:name="d435567dex102.htm"/>
      <w:bookmarkStart w:id="7" w:name="ksd435567dex102"/>
      <w:bookmarkEnd w:id="6"/>
      <w:bookmarkEnd w:id="7"/>
      <w:r>
        <w:rPr>
          <w:rFonts w:ascii="Times New Roman" w:hAnsi="Times New Roman"/>
          <w:b/>
          <w:sz w:val="20"/>
        </w:rPr>
        <w:t xml:space="preserve">Exhibit 10.2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$1,350,000,000 </w:t>
      </w:r>
    </w:p>
    <w:p>
      <w:pPr>
        <w:pStyle w:val="TextBody"/>
        <w:bidi w:val="0"/>
        <w:spacing w:before="240" w:after="0"/>
        <w:jc w:val="center"/>
        <w:rPr>
          <w:rFonts w:ascii="Times New Roman" w:hAnsi="Times New Roman"/>
          <w:sz w:val="20"/>
        </w:rPr>
      </w:pPr>
      <w:r>
        <w:rPr>
          <w:rFonts w:ascii="Times New Roman" w:hAnsi="Times New Roman"/>
          <w:sz w:val="20"/>
        </w:rPr>
        <w:t xml:space="preserve">FIRST LIEN PARI PASSU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28,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SABRE GLBL INC.,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SABRE HOLDINGS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Holdings,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SABRE FINANCIAL BORROWER, LLC, </w:t>
      </w:r>
    </w:p>
    <w:p>
      <w:pPr>
        <w:pStyle w:val="TextBody"/>
        <w:bidi w:val="0"/>
        <w:spacing w:before="0" w:after="0"/>
        <w:jc w:val="center"/>
        <w:rPr>
          <w:rFonts w:ascii="Times New Roman" w:hAnsi="Times New Roman"/>
          <w:sz w:val="20"/>
        </w:rPr>
      </w:pPr>
      <w:r>
        <w:rPr>
          <w:rFonts w:ascii="Times New Roman" w:hAnsi="Times New Roman"/>
          <w:sz w:val="20"/>
        </w:rPr>
        <w:t xml:space="preserve">as Lender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70"/>
        <w:gridCol w:w="178"/>
        <w:gridCol w:w="7640"/>
        <w:gridCol w:w="178"/>
        <w:gridCol w:w="60"/>
        <w:gridCol w:w="516"/>
        <w:gridCol w:w="63"/>
      </w:tblGrid>
      <w:tr>
        <w:trPr/>
        <w:tc>
          <w:tcPr>
            <w:tcW w:w="157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64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764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i/>
              </w:rPr>
            </w:pPr>
            <w:r>
              <w:rPr>
                <w:i/>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DEFINITIONS AND INCORPORATION BY REFERENCE</w:t>
            </w:r>
          </w:p>
        </w:tc>
        <w:tc>
          <w:tcPr>
            <w:tcW w:w="63" w:type="dxa"/>
            <w:tcBorders/>
          </w:tcPr>
          <w:p>
            <w:pPr>
              <w:pStyle w:val="TableContents"/>
              <w:bidi w:val="0"/>
              <w:spacing w:before="0" w:after="0"/>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Times of Day</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Lender Notes Deemed Outstanding</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2</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THE COMMITMENT AND CREDIT EXTENSION</w:t>
            </w:r>
          </w:p>
        </w:tc>
        <w:tc>
          <w:tcPr>
            <w:tcW w:w="63" w:type="dxa"/>
            <w:tcBorders/>
          </w:tcPr>
          <w:p>
            <w:pPr>
              <w:pStyle w:val="TableContents"/>
              <w:bidi w:val="0"/>
              <w:spacing w:before="0" w:after="0"/>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The Term Loan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3</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REPAYMENTS</w:t>
            </w:r>
          </w:p>
        </w:tc>
        <w:tc>
          <w:tcPr>
            <w:tcW w:w="63" w:type="dxa"/>
            <w:tcBorders/>
          </w:tcPr>
          <w:p>
            <w:pPr>
              <w:pStyle w:val="TableContents"/>
              <w:bidi w:val="0"/>
              <w:spacing w:before="0" w:after="0"/>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Notices to Administrative Agent</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Repayment</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Reduction of Commitment and Repayment of Term Loan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Fees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Payments Generally</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Optional Repayment</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Mandatory Repayment</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Offer to Repay by Application of Excess Proceeds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4</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COVENANTS</w:t>
            </w:r>
          </w:p>
        </w:tc>
        <w:tc>
          <w:tcPr>
            <w:tcW w:w="63" w:type="dxa"/>
            <w:tcBorders/>
          </w:tcPr>
          <w:p>
            <w:pPr>
              <w:pStyle w:val="TableContents"/>
              <w:bidi w:val="0"/>
              <w:spacing w:before="0" w:after="0"/>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Reports and Other Information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Stay, Extension and Usury Laws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Restricted Payments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Dividend and Other Payment Restrictions Affecting Restricted Subsidiaries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Incurrence of Indebtedness and Issuance of Disqualified Stock and Preferred Stock</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78" w:type="dxa"/>
            <w:tcBorders/>
            <w:vAlign w:val="bottom"/>
          </w:tcPr>
          <w:p>
            <w:pPr>
              <w:pStyle w:val="TableContents"/>
              <w:bidi w:val="0"/>
              <w:spacing w:before="0" w:after="283"/>
              <w:jc w:val="left"/>
              <w:rPr/>
            </w:pPr>
            <w:r>
              <w:rPr/>
              <w:t>  </w:t>
            </w:r>
          </w:p>
        </w:tc>
        <w:tc>
          <w:tcPr>
            <w:tcW w:w="7640" w:type="dxa"/>
            <w:tcBorders/>
          </w:tcPr>
          <w:p>
            <w:pPr>
              <w:pStyle w:val="TableContents"/>
              <w:bidi w:val="0"/>
              <w:spacing w:before="0" w:after="0"/>
              <w:jc w:val="left"/>
              <w:rPr>
                <w:rFonts w:ascii="Times New Roman" w:hAnsi="Times New Roman"/>
                <w:sz w:val="20"/>
              </w:rPr>
            </w:pPr>
            <w:r>
              <w:rPr>
                <w:rFonts w:ascii="Times New Roman" w:hAnsi="Times New Roman"/>
                <w:sz w:val="20"/>
              </w:rPr>
              <w:t>Asset Sales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47"/>
        <w:gridCol w:w="152"/>
        <w:gridCol w:w="8047"/>
        <w:gridCol w:w="152"/>
        <w:gridCol w:w="60"/>
        <w:gridCol w:w="383"/>
        <w:gridCol w:w="64"/>
      </w:tblGrid>
      <w:tr>
        <w:trPr/>
        <w:tc>
          <w:tcPr>
            <w:tcW w:w="134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804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Holdings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Existence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Offer to Repurchase Upon Change of Control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Guarantees of Indebtedness by Restricted Subsidiaries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5</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SUCCESSORS</w:t>
            </w:r>
          </w:p>
        </w:tc>
        <w:tc>
          <w:tcPr>
            <w:tcW w:w="64" w:type="dxa"/>
            <w:tcBorders/>
          </w:tcPr>
          <w:p>
            <w:pPr>
              <w:pStyle w:val="TableContents"/>
              <w:bidi w:val="0"/>
              <w:spacing w:before="0" w:after="0"/>
              <w:jc w:val="left"/>
              <w:rPr/>
            </w:pPr>
            <w:r>
              <w:rPr/>
              <w:t> </w:t>
            </w:r>
          </w:p>
        </w:tc>
      </w:tr>
      <w:tr>
        <w:trPr>
          <w:trHeight w:val="120" w:hRule="atLeast"/>
        </w:trPr>
        <w:tc>
          <w:tcPr>
            <w:tcW w:w="1347" w:type="dxa"/>
            <w:tcBorders/>
            <w:vAlign w:val="center"/>
          </w:tcPr>
          <w:p>
            <w:pPr>
              <w:pStyle w:val="TableContents"/>
              <w:bidi w:val="0"/>
              <w:spacing w:before="0" w:after="283"/>
              <w:jc w:val="left"/>
              <w:rPr>
                <w:sz w:val="4"/>
                <w:szCs w:val="4"/>
              </w:rPr>
            </w:pPr>
            <w:r>
              <w:rPr>
                <w:sz w:val="4"/>
                <w:szCs w:val="4"/>
              </w:rPr>
            </w:r>
          </w:p>
        </w:tc>
        <w:tc>
          <w:tcPr>
            <w:tcW w:w="8199" w:type="dxa"/>
            <w:gridSpan w:val="2"/>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Merger, Consolidation or Sale of All or Substantially All Assets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Successor Corporation Substituted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6</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DEFAULTS AND REMEDIES</w:t>
            </w:r>
          </w:p>
        </w:tc>
        <w:tc>
          <w:tcPr>
            <w:tcW w:w="64" w:type="dxa"/>
            <w:tcBorders/>
          </w:tcPr>
          <w:p>
            <w:pPr>
              <w:pStyle w:val="TableContents"/>
              <w:bidi w:val="0"/>
              <w:spacing w:before="0" w:after="0"/>
              <w:jc w:val="left"/>
              <w:rPr/>
            </w:pPr>
            <w:r>
              <w:rPr/>
              <w:t> </w:t>
            </w:r>
          </w:p>
        </w:tc>
      </w:tr>
      <w:tr>
        <w:trPr>
          <w:trHeight w:val="120" w:hRule="atLeast"/>
        </w:trPr>
        <w:tc>
          <w:tcPr>
            <w:tcW w:w="1347" w:type="dxa"/>
            <w:tcBorders/>
            <w:vAlign w:val="center"/>
          </w:tcPr>
          <w:p>
            <w:pPr>
              <w:pStyle w:val="TableContents"/>
              <w:bidi w:val="0"/>
              <w:spacing w:before="0" w:after="283"/>
              <w:jc w:val="left"/>
              <w:rPr>
                <w:sz w:val="4"/>
                <w:szCs w:val="4"/>
              </w:rPr>
            </w:pPr>
            <w:r>
              <w:rPr>
                <w:sz w:val="4"/>
                <w:szCs w:val="4"/>
              </w:rPr>
            </w:r>
          </w:p>
        </w:tc>
        <w:tc>
          <w:tcPr>
            <w:tcW w:w="8199" w:type="dxa"/>
            <w:gridSpan w:val="2"/>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Other Remedies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Control by Majority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Priorities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7</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ADMINISTRATIVE AGENT</w:t>
            </w:r>
          </w:p>
        </w:tc>
        <w:tc>
          <w:tcPr>
            <w:tcW w:w="64" w:type="dxa"/>
            <w:tcBorders/>
          </w:tcPr>
          <w:p>
            <w:pPr>
              <w:pStyle w:val="TableContents"/>
              <w:bidi w:val="0"/>
              <w:spacing w:before="0" w:after="0"/>
              <w:jc w:val="left"/>
              <w:rPr/>
            </w:pPr>
            <w:r>
              <w:rPr/>
              <w:t> </w:t>
            </w:r>
          </w:p>
        </w:tc>
      </w:tr>
      <w:tr>
        <w:trPr>
          <w:trHeight w:val="120" w:hRule="atLeast"/>
        </w:trPr>
        <w:tc>
          <w:tcPr>
            <w:tcW w:w="1347" w:type="dxa"/>
            <w:tcBorders/>
            <w:vAlign w:val="center"/>
          </w:tcPr>
          <w:p>
            <w:pPr>
              <w:pStyle w:val="TableContents"/>
              <w:bidi w:val="0"/>
              <w:spacing w:before="0" w:after="283"/>
              <w:jc w:val="left"/>
              <w:rPr>
                <w:sz w:val="4"/>
                <w:szCs w:val="4"/>
              </w:rPr>
            </w:pPr>
            <w:r>
              <w:rPr>
                <w:sz w:val="4"/>
                <w:szCs w:val="4"/>
              </w:rPr>
            </w:r>
          </w:p>
        </w:tc>
        <w:tc>
          <w:tcPr>
            <w:tcW w:w="8199" w:type="dxa"/>
            <w:gridSpan w:val="2"/>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and Authorization of The Administrative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Liability of The Administrative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Reliance by The Administrative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Credit Decision; Disclosure of Information by The Administrative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the Administrative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The Administrative Agent in their Individual Capacities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Successor Administrative Agent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 May File Proofs of Claim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Erroneous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347"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52"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Supplemental Administrative Agents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93"/>
        <w:gridCol w:w="152"/>
        <w:gridCol w:w="7900"/>
        <w:gridCol w:w="152"/>
        <w:gridCol w:w="60"/>
        <w:gridCol w:w="384"/>
        <w:gridCol w:w="64"/>
      </w:tblGrid>
      <w:tr>
        <w:trPr/>
        <w:tc>
          <w:tcPr>
            <w:tcW w:w="1493"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90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8</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[RESERVED]</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9</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AMENDMENT, SUPPLEMENT AND WAIVER</w:t>
            </w:r>
          </w:p>
        </w:tc>
        <w:tc>
          <w:tcPr>
            <w:tcW w:w="64" w:type="dxa"/>
            <w:tcBorders/>
          </w:tcPr>
          <w:p>
            <w:pPr>
              <w:pStyle w:val="TableContents"/>
              <w:bidi w:val="0"/>
              <w:spacing w:before="0" w:after="0"/>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052"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Without Consent of the Lender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With Consent of the Lender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10</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COLLATERAL AND SECURITY</w:t>
            </w:r>
          </w:p>
        </w:tc>
        <w:tc>
          <w:tcPr>
            <w:tcW w:w="64" w:type="dxa"/>
            <w:tcBorders/>
          </w:tcPr>
          <w:p>
            <w:pPr>
              <w:pStyle w:val="TableContents"/>
              <w:bidi w:val="0"/>
              <w:spacing w:before="0" w:after="0"/>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052"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After-Acquired Property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Release of Collateral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of Receipt of Funds by the Administrative Agent Under the Security Documents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Security Interest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Junior Lien Intercreditor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11</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GUARANTEES</w:t>
            </w:r>
          </w:p>
        </w:tc>
        <w:tc>
          <w:tcPr>
            <w:tcW w:w="64" w:type="dxa"/>
            <w:tcBorders/>
          </w:tcPr>
          <w:p>
            <w:pPr>
              <w:pStyle w:val="TableContents"/>
              <w:bidi w:val="0"/>
              <w:spacing w:before="0" w:after="0"/>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052"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Guarantor Liability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Delivery of Guarantee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Guarantors May Consolidate, etc., on Certain Terms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Releases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12</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CONDITIONS PRECEDENT TO CREDIT EXTENSIONS.</w:t>
            </w:r>
          </w:p>
        </w:tc>
        <w:tc>
          <w:tcPr>
            <w:tcW w:w="64" w:type="dxa"/>
            <w:tcBorders/>
          </w:tcPr>
          <w:p>
            <w:pPr>
              <w:pStyle w:val="TableContents"/>
              <w:bidi w:val="0"/>
              <w:spacing w:before="0" w:after="0"/>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052"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Initial Credit Extension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13</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MISCELLANEOUS</w:t>
            </w:r>
          </w:p>
        </w:tc>
        <w:tc>
          <w:tcPr>
            <w:tcW w:w="64" w:type="dxa"/>
            <w:tcBorders/>
          </w:tcPr>
          <w:p>
            <w:pPr>
              <w:pStyle w:val="TableContents"/>
              <w:bidi w:val="0"/>
              <w:spacing w:before="0" w:after="0"/>
              <w:jc w:val="left"/>
              <w:rPr/>
            </w:pPr>
            <w:r>
              <w:rPr/>
              <w:t> </w:t>
            </w:r>
          </w:p>
        </w:tc>
      </w:tr>
      <w:tr>
        <w:trPr>
          <w:trHeight w:val="120" w:hRule="atLeast"/>
        </w:trPr>
        <w:tc>
          <w:tcPr>
            <w:tcW w:w="1493" w:type="dxa"/>
            <w:tcBorders/>
            <w:vAlign w:val="center"/>
          </w:tcPr>
          <w:p>
            <w:pPr>
              <w:pStyle w:val="TableContents"/>
              <w:bidi w:val="0"/>
              <w:spacing w:before="0" w:after="283"/>
              <w:jc w:val="left"/>
              <w:rPr>
                <w:sz w:val="4"/>
                <w:szCs w:val="4"/>
              </w:rPr>
            </w:pPr>
            <w:r>
              <w:rPr>
                <w:sz w:val="4"/>
                <w:szCs w:val="4"/>
              </w:rPr>
            </w:r>
          </w:p>
        </w:tc>
        <w:tc>
          <w:tcPr>
            <w:tcW w:w="8052"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and Opinion as to Conditions Precedent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Statements Required in Certificate or Opinion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No Personal Liability of Directors, Officers, Employees and Stockholders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52" w:type="dxa"/>
            <w:tcBorders/>
            <w:vAlign w:val="bottom"/>
          </w:tcPr>
          <w:p>
            <w:pPr>
              <w:pStyle w:val="TableContents"/>
              <w:bidi w:val="0"/>
              <w:spacing w:before="0" w:after="283"/>
              <w:jc w:val="left"/>
              <w:rPr/>
            </w:pPr>
            <w:r>
              <w:rPr/>
              <w:t>  </w:t>
            </w:r>
          </w:p>
        </w:tc>
        <w:tc>
          <w:tcPr>
            <w:tcW w:w="790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Waiver of Jury Trial; Consent to Jurisdiction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03"/>
        <w:gridCol w:w="153"/>
        <w:gridCol w:w="7885"/>
        <w:gridCol w:w="153"/>
        <w:gridCol w:w="60"/>
        <w:gridCol w:w="388"/>
        <w:gridCol w:w="63"/>
      </w:tblGrid>
      <w:tr>
        <w:trPr/>
        <w:tc>
          <w:tcPr>
            <w:tcW w:w="1503"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88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No Adverse Interpretation of Other Agreements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Successors; Register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Attorney Costs and Expenses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Payments Set Aside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by the Borrower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Counterpart Originals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Integration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13.16</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13.17</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13.18</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Binding Effect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13.19</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Lender Action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13.20</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13.21</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Copies of Transaction Documents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13.22</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Intercreditor Agreements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5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13.23</w:t>
            </w:r>
          </w:p>
        </w:tc>
        <w:tc>
          <w:tcPr>
            <w:tcW w:w="153" w:type="dxa"/>
            <w:tcBorders/>
            <w:vAlign w:val="bottom"/>
          </w:tcPr>
          <w:p>
            <w:pPr>
              <w:pStyle w:val="TableContents"/>
              <w:bidi w:val="0"/>
              <w:spacing w:before="0" w:after="283"/>
              <w:jc w:val="left"/>
              <w:rPr/>
            </w:pPr>
            <w:r>
              <w:rPr/>
              <w:t>  </w:t>
            </w:r>
          </w:p>
        </w:tc>
        <w:tc>
          <w:tcPr>
            <w:tcW w:w="788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Committed Loan Notice</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Term Note</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Assignment and Assumption</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Security Agreement</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G-1</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Intercompany Note (Loan Party / Loan Party)</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G-2</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Intercompany Note (Loan Party Payor / Non-Loan Party Payee)</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G-3</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Intercompany Note (Loan Party Payee / Non-Loan Party Payor)</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H-1</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 (Lender – Non-Partnership)</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H-2</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 (Participant – Non-Partnership)</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H-3</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 (Lender – Partnership)</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H-4</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U.S. Tax Compliance Certificate (Participant – Partnership)</w:t>
            </w:r>
          </w:p>
        </w:tc>
      </w:tr>
      <w:tr>
        <w:trPr/>
        <w:tc>
          <w:tcPr>
            <w:tcW w:w="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01" w:type="dxa"/>
            <w:tcBorders/>
            <w:vAlign w:val="bottom"/>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Junior Lien Intercreditor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FIRST LIEN PARI PASSU CREDIT AGREEMENT </w:t>
      </w:r>
    </w:p>
    <w:p>
      <w:pPr>
        <w:pStyle w:val="TextBody"/>
        <w:bidi w:val="0"/>
        <w:spacing w:before="240" w:after="0"/>
        <w:jc w:val="left"/>
        <w:rPr>
          <w:rFonts w:ascii="Times New Roman" w:hAnsi="Times New Roman"/>
          <w:sz w:val="20"/>
        </w:rPr>
      </w:pPr>
      <w:r>
        <w:rPr>
          <w:rFonts w:ascii="Times New Roman" w:hAnsi="Times New Roman"/>
          <w:sz w:val="20"/>
        </w:rPr>
        <w:t>This FIRST LIEN PARI PASSU CREDIT AGREEMENT (this “</w:t>
      </w:r>
      <w:r>
        <w:rPr>
          <w:rFonts w:ascii="Times New Roman" w:hAnsi="Times New Roman"/>
          <w:b/>
          <w:sz w:val="20"/>
        </w:rPr>
        <w:t>Agreement</w:t>
      </w:r>
      <w:r>
        <w:rPr>
          <w:rFonts w:ascii="Times New Roman" w:hAnsi="Times New Roman"/>
          <w:sz w:val="20"/>
        </w:rPr>
        <w:t>”) is effective as of September 28, 2026, among SABRE GLBL INC., a Delaware corporation (the “</w:t>
      </w:r>
      <w:r>
        <w:rPr>
          <w:rFonts w:ascii="Times New Roman" w:hAnsi="Times New Roman"/>
          <w:b/>
          <w:sz w:val="20"/>
        </w:rPr>
        <w:t>Borrower</w:t>
      </w:r>
      <w:r>
        <w:rPr>
          <w:rFonts w:ascii="Times New Roman" w:hAnsi="Times New Roman"/>
          <w:sz w:val="20"/>
        </w:rPr>
        <w:t>”), SABRE HOLDINGS CORPORATION, a Delaware corporation (“</w:t>
      </w:r>
      <w:r>
        <w:rPr>
          <w:rFonts w:ascii="Times New Roman" w:hAnsi="Times New Roman"/>
          <w:b/>
          <w:sz w:val="20"/>
        </w:rPr>
        <w:t>Holdings</w:t>
      </w:r>
      <w:r>
        <w:rPr>
          <w:rFonts w:ascii="Times New Roman" w:hAnsi="Times New Roman"/>
          <w:sz w:val="20"/>
        </w:rPr>
        <w:t>”), the other guarantors from time to time party hereto, SABRE FINANCIAL BORROWER, LLC, a Delaware limited liability company, as the lender (the “</w:t>
      </w:r>
      <w:r>
        <w:rPr>
          <w:rFonts w:ascii="Times New Roman" w:hAnsi="Times New Roman"/>
          <w:b/>
          <w:sz w:val="20"/>
        </w:rPr>
        <w:t>Lender</w:t>
      </w:r>
      <w:r>
        <w:rPr>
          <w:rFonts w:ascii="Times New Roman" w:hAnsi="Times New Roman"/>
          <w:sz w:val="20"/>
        </w:rPr>
        <w:t xml:space="preserve">”), and WILMINGTON TRUST, NATIONAL ASSOCIATION, as Administrative Agent.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The Lender is party to that certain indenture, dated as of September 28, 2026, by and among the Lender, as issuer, each of the guarantors party thereto and Wilmington Trust, National Association, as trustee and collateral agent (as amended, restated, supplemented, or otherwise modified from time to time, the “</w:t>
      </w:r>
      <w:r>
        <w:rPr>
          <w:rFonts w:ascii="Times New Roman" w:hAnsi="Times New Roman"/>
          <w:b/>
          <w:sz w:val="20"/>
        </w:rPr>
        <w:t>Lender Indenture</w:t>
      </w:r>
      <w:r>
        <w:rPr>
          <w:rFonts w:ascii="Times New Roman" w:hAnsi="Times New Roman"/>
          <w:sz w:val="20"/>
        </w:rPr>
        <w:t>”), in connection with the issuance thereunder of $1,350,000,000 in aggregate principal amount of the Lender’s 9.875% Senior Secured Notes due 2032 (the “</w:t>
      </w:r>
      <w:r>
        <w:rPr>
          <w:rFonts w:ascii="Times New Roman" w:hAnsi="Times New Roman"/>
          <w:b/>
          <w:sz w:val="20"/>
        </w:rPr>
        <w:t>Lender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has requested that the Lender extend credit to the Borrower in the form of a Term Loan in an aggregate amount of $1,350,000,000.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Term Loan are being used by the Borrower, together with cash on hand, to prepay the outstanding principal amount of the existing intercompany loan made to the Borrower under the First Lien Pari Passu Credit Agreement, dated as of December 5, 2025, at a prepayment price equal to 100% of the outstanding principal amount thereof, plus a customary make-whole premium and accrued and unpaid interest thereon to, but excluding, the prepayment date, and to prepay, redeem or repurchase certain of the Borrower’s existing Indebtedness (including through tender or exchange offers), as well as to pay related accrued and unpaid interest, premium,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Lender has indicated its willingness to lend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covenants and agreements herein contained, the parties hereto covenant and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Acquired Indebtedness</w:t>
      </w:r>
      <w:r>
        <w:rPr>
          <w:rFonts w:ascii="Times New Roman" w:hAnsi="Times New Roman"/>
          <w:sz w:val="20"/>
        </w:rPr>
        <w:t xml:space="preserve">” means, with respect to any specific Person: </w:t>
      </w:r>
    </w:p>
    <w:p>
      <w:pPr>
        <w:pStyle w:val="TextBody"/>
        <w:bidi w:val="0"/>
        <w:spacing w:before="240" w:after="0"/>
        <w:jc w:val="left"/>
        <w:rPr>
          <w:rFonts w:ascii="Times New Roman" w:hAnsi="Times New Roman"/>
          <w:sz w:val="20"/>
        </w:rPr>
      </w:pPr>
      <w:r>
        <w:rPr>
          <w:rFonts w:ascii="Times New Roman" w:hAnsi="Times New Roman"/>
          <w:sz w:val="20"/>
        </w:rPr>
        <w:t xml:space="preserve">(1) Indebtedness of any other Person existing at the time such other Person is merged or consolidated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w:t>
      </w:r>
    </w:p>
    <w:p>
      <w:pPr>
        <w:pStyle w:val="TextBody"/>
        <w:bidi w:val="0"/>
        <w:spacing w:before="240" w:after="0"/>
        <w:jc w:val="left"/>
        <w:rPr>
          <w:rFonts w:ascii="Times New Roman" w:hAnsi="Times New Roman"/>
          <w:sz w:val="20"/>
        </w:rPr>
      </w:pPr>
      <w:r>
        <w:rPr>
          <w:rFonts w:ascii="Times New Roman" w:hAnsi="Times New Roman"/>
          <w:sz w:val="20"/>
        </w:rPr>
        <w:t xml:space="preserve">(2) Indebtedness secured by a Lien encumbering any asset acquired by such specified Person.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Additional First Lien Obligations</w:t>
      </w:r>
      <w:r>
        <w:rPr>
          <w:rFonts w:ascii="Times New Roman" w:hAnsi="Times New Roman"/>
          <w:sz w:val="20"/>
        </w:rPr>
        <w:t xml:space="preserve">” means any Obligations under any First Lien Obligations (including the Loan Obligations, but excluding Senior Credit Facilities Obligations), in each case, that are incurred prior to or after the Closing Date and secured by Collateral on a first- priority basis pursuant to the Security Documents (in the case of any Loan Obligations) and the relevant security documents (in the case of other First Lien Obligations). </w:t>
      </w:r>
    </w:p>
    <w:p>
      <w:pPr>
        <w:pStyle w:val="TextBody"/>
        <w:bidi w:val="0"/>
        <w:spacing w:before="240" w:after="0"/>
        <w:jc w:val="left"/>
        <w:rPr/>
      </w:pPr>
      <w:r>
        <w:rPr/>
        <w:t>“</w:t>
      </w:r>
      <w:r>
        <w:rPr>
          <w:rFonts w:ascii="Times New Roman" w:hAnsi="Times New Roman"/>
          <w:i/>
          <w:sz w:val="20"/>
        </w:rPr>
        <w:t>Additional First Lien Secured Party</w:t>
      </w:r>
      <w:r>
        <w:rPr>
          <w:rFonts w:ascii="Times New Roman" w:hAnsi="Times New Roman"/>
          <w:sz w:val="20"/>
        </w:rPr>
        <w:t xml:space="preserve">” means the holders of any Additional First Lien Obligations, including the Lender, and any Authorized Representative with respect thereto, including the Lender Notes Trustee and the Lender Notes Collateral Agent. </w:t>
      </w:r>
    </w:p>
    <w:p>
      <w:pPr>
        <w:pStyle w:val="TextBody"/>
        <w:bidi w:val="0"/>
        <w:spacing w:before="240" w:after="0"/>
        <w:jc w:val="left"/>
        <w:rPr/>
      </w:pPr>
      <w:r>
        <w:rPr/>
        <w:t>“</w:t>
      </w:r>
      <w:r>
        <w:rPr>
          <w:rFonts w:ascii="Times New Roman" w:hAnsi="Times New Roman"/>
          <w:i/>
          <w:sz w:val="20"/>
        </w:rPr>
        <w:t>Administrative Agent</w:t>
      </w:r>
      <w:r>
        <w:rPr>
          <w:rFonts w:ascii="Times New Roman" w:hAnsi="Times New Roman"/>
          <w:sz w:val="20"/>
        </w:rPr>
        <w:t xml:space="preserve">” means Wilmington Trust, National Association, in its capacity as administrative agent and collateral agent under the Loan Documents, or any successor administrative agent and collateral agent appointed pursuant to Section 7.09. </w:t>
      </w:r>
    </w:p>
    <w:p>
      <w:pPr>
        <w:pStyle w:val="TextBody"/>
        <w:bidi w:val="0"/>
        <w:spacing w:before="240" w:after="0"/>
        <w:jc w:val="left"/>
        <w:rPr/>
      </w:pPr>
      <w:r>
        <w:rPr/>
        <w:t>“</w:t>
      </w:r>
      <w:r>
        <w:rPr>
          <w:rFonts w:ascii="Times New Roman" w:hAnsi="Times New Roman"/>
          <w:i/>
          <w:sz w:val="20"/>
        </w:rPr>
        <w:t>Administrative Agent Fee Letter</w:t>
      </w:r>
      <w:r>
        <w:rPr>
          <w:rFonts w:ascii="Times New Roman" w:hAnsi="Times New Roman"/>
          <w:sz w:val="20"/>
        </w:rPr>
        <w:t xml:space="preserve">” means the fee letter, dated the Closing Date, by and between the Administrative Agent and the Borrower, as amended, restated, modified or supplemented from time to time in accordance with the terms thereof. </w:t>
      </w:r>
    </w:p>
    <w:p>
      <w:pPr>
        <w:pStyle w:val="TextBody"/>
        <w:bidi w:val="0"/>
        <w:spacing w:before="240" w:after="0"/>
        <w:jc w:val="left"/>
        <w:rPr/>
      </w:pPr>
      <w:r>
        <w:rPr/>
        <w:t>“</w:t>
      </w:r>
      <w:r>
        <w:rPr>
          <w:rFonts w:ascii="Times New Roman" w:hAnsi="Times New Roman"/>
          <w:i/>
          <w:sz w:val="20"/>
        </w:rPr>
        <w:t>Administrative Agent’s Account”</w:t>
      </w:r>
      <w:r>
        <w:rPr>
          <w:rFonts w:ascii="Times New Roman" w:hAnsi="Times New Roman"/>
          <w:sz w:val="20"/>
        </w:rPr>
        <w:t xml:space="preserve"> means the Administrative Agent’s account as the Administrative Agent may from time to time provide in writing to the Borrower and the Lender. </w:t>
      </w:r>
    </w:p>
    <w:p>
      <w:pPr>
        <w:pStyle w:val="TextBody"/>
        <w:bidi w:val="0"/>
        <w:spacing w:before="240" w:after="0"/>
        <w:jc w:val="left"/>
        <w:rPr/>
      </w:pPr>
      <w:r>
        <w:rPr/>
        <w:t>“</w:t>
      </w:r>
      <w:r>
        <w:rPr>
          <w:rFonts w:ascii="Times New Roman" w:hAnsi="Times New Roman"/>
          <w:i/>
          <w:sz w:val="20"/>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w:t>
      </w:r>
    </w:p>
    <w:p>
      <w:pPr>
        <w:pStyle w:val="TextBody"/>
        <w:bidi w:val="0"/>
        <w:spacing w:before="240" w:after="0"/>
        <w:jc w:val="left"/>
        <w:rPr/>
      </w:pPr>
      <w:r>
        <w:rPr/>
        <w:t>“</w:t>
      </w:r>
      <w:r>
        <w:rPr>
          <w:rFonts w:ascii="Times New Roman" w:hAnsi="Times New Roman"/>
          <w:i/>
          <w:sz w:val="20"/>
        </w:rPr>
        <w:t>Agent-Related Persons</w:t>
      </w:r>
      <w:r>
        <w:rPr>
          <w:rFonts w:ascii="Times New Roman" w:hAnsi="Times New Roman"/>
          <w:sz w:val="20"/>
        </w:rPr>
        <w:t xml:space="preserve">” means the Agents, together with their respective Affiliates, and the officers, directors, employees, agents, attorneys-in-fact, partners, trustees and advisors of such Persons and of such Persons’ Affiliates. </w:t>
      </w:r>
    </w:p>
    <w:p>
      <w:pPr>
        <w:pStyle w:val="TextBody"/>
        <w:bidi w:val="0"/>
        <w:spacing w:before="240" w:after="0"/>
        <w:jc w:val="left"/>
        <w:rPr/>
      </w:pPr>
      <w:r>
        <w:rPr/>
        <w:t>“</w:t>
      </w:r>
      <w:r>
        <w:rPr>
          <w:rFonts w:ascii="Times New Roman" w:hAnsi="Times New Roman"/>
          <w:i/>
          <w:sz w:val="20"/>
        </w:rPr>
        <w:t>Agents</w:t>
      </w:r>
      <w:r>
        <w:rPr>
          <w:rFonts w:ascii="Times New Roman" w:hAnsi="Times New Roman"/>
          <w:sz w:val="20"/>
        </w:rPr>
        <w:t xml:space="preserve">” means, collectively, the Administrative Agent and the Supplemental Administrative Agents (if any). </w:t>
      </w:r>
    </w:p>
    <w:p>
      <w:pPr>
        <w:pStyle w:val="TextBody"/>
        <w:bidi w:val="0"/>
        <w:spacing w:before="240" w:after="0"/>
        <w:jc w:val="left"/>
        <w:rPr/>
      </w:pPr>
      <w:r>
        <w:rPr/>
        <w:t>“</w:t>
      </w:r>
      <w:r>
        <w:rPr>
          <w:rFonts w:ascii="Times New Roman" w:hAnsi="Times New Roman"/>
          <w:i/>
          <w:sz w:val="20"/>
        </w:rPr>
        <w:t>Agreement</w:t>
      </w:r>
      <w:r>
        <w:rPr>
          <w:rFonts w:ascii="Times New Roman" w:hAnsi="Times New Roman"/>
          <w:sz w:val="20"/>
        </w:rPr>
        <w:t xml:space="preserve">” means this First Lien Pari Passu Credit Agreement, as amended, restated, amended and restated, modified or supplemented from time to time in accordance with the terms hereof. </w:t>
      </w:r>
    </w:p>
    <w:p>
      <w:pPr>
        <w:pStyle w:val="TextBody"/>
        <w:bidi w:val="0"/>
        <w:spacing w:before="240" w:after="0"/>
        <w:jc w:val="left"/>
        <w:rPr/>
      </w:pPr>
      <w:r>
        <w:rPr/>
        <w:t>“</w:t>
      </w:r>
      <w:r>
        <w:rPr>
          <w:rFonts w:ascii="Times New Roman" w:hAnsi="Times New Roman"/>
          <w:i/>
          <w:sz w:val="20"/>
        </w:rPr>
        <w:t>Applicable Authorized Representative</w:t>
      </w:r>
      <w:r>
        <w:rPr>
          <w:rFonts w:ascii="Times New Roman" w:hAnsi="Times New Roman"/>
          <w:sz w:val="20"/>
        </w:rPr>
        <w:t xml:space="preserve">” has the meaning assigned to such term in the Intercreditor Agreement. </w:t>
      </w:r>
    </w:p>
    <w:p>
      <w:pPr>
        <w:pStyle w:val="TextBody"/>
        <w:bidi w:val="0"/>
        <w:spacing w:before="240" w:after="0"/>
        <w:jc w:val="left"/>
        <w:rPr/>
      </w:pPr>
      <w:r>
        <w:rPr/>
        <w:t>“</w:t>
      </w:r>
      <w:r>
        <w:rPr>
          <w:rFonts w:ascii="Times New Roman" w:hAnsi="Times New Roman"/>
          <w:i/>
          <w:sz w:val="20"/>
        </w:rPr>
        <w:t>Applicable Premium</w:t>
      </w:r>
      <w:r>
        <w:rPr>
          <w:rFonts w:ascii="Times New Roman" w:hAnsi="Times New Roman"/>
          <w:sz w:val="20"/>
        </w:rPr>
        <w:t xml:space="preserve">” means, with respect to all or any portion of the Term Loan being repaid on any date prior to October 15, 2029,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 of the principal amount of the Term Loan being repaid; and </w:t>
      </w:r>
    </w:p>
    <w:p>
      <w:pPr>
        <w:pStyle w:val="TextBody"/>
        <w:bidi w:val="0"/>
        <w:spacing w:before="120" w:after="0"/>
        <w:jc w:val="left"/>
        <w:rPr>
          <w:rFonts w:ascii="Times New Roman" w:hAnsi="Times New Roman"/>
          <w:sz w:val="20"/>
        </w:rPr>
      </w:pPr>
      <w:r>
        <w:rPr>
          <w:rFonts w:ascii="Times New Roman" w:hAnsi="Times New Roman"/>
          <w:sz w:val="20"/>
        </w:rPr>
        <w:t xml:space="preserve">(2) the excess, if any, of (a) the present value at the date of such event of (i) the repayment price of the Term Loan being repaid at October 15, 2029 (such repayment price being set forth in the applicable table appearing in Section 3.07(e) hereof), </w:t>
      </w:r>
      <w:r>
        <w:rPr>
          <w:rFonts w:ascii="Times New Roman" w:hAnsi="Times New Roman"/>
          <w:i/>
          <w:sz w:val="20"/>
        </w:rPr>
        <w:t xml:space="preserve">plus </w:t>
      </w:r>
      <w:r>
        <w:rPr>
          <w:rFonts w:ascii="Times New Roman" w:hAnsi="Times New Roman"/>
          <w:sz w:val="20"/>
        </w:rPr>
        <w:t xml:space="preserve">(ii) all required remaining scheduled interest payments due on the Term Loan being repaid through October 15, 2029 (excluding accrued but unpaid interest to the date of such event), computed by the Borrower using a discount rate equal to the Treasury Rate as of such date plus 50 basis points; over (b) the then outstanding principal amount of the Term Loan being repaid.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Asset Sale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(1) the sale, conveyance, transfer or other disposition, whether in a single transaction or a series of related transactions of property or assets of the Borrower or any of its Restricted Subsidiaries (each referred to in this definition as a “</w:t>
      </w:r>
      <w:r>
        <w:rPr>
          <w:rFonts w:ascii="Times New Roman" w:hAnsi="Times New Roman"/>
          <w:i/>
          <w:sz w:val="20"/>
        </w:rPr>
        <w:t>disposition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or sale of Equity Interests of any Restricted Subsidiary (other than Preferred Stock of Restricted Subsidiaries issued in compliance with Section 4.09 hereof), whether in a single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(a) any disposition of Cash Equivalents or obsolete or worn-out property or equipment in the ordinary course of business or any disposition of inventory or goods (or other assets) held for sale or no longer used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the disposition of all or substantially all of the assets of the Borrower and its Restricted Subsidiaries in a manner permitted pursuant to Section 5.01 hereof or any disposition that constitutes a Change of Control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making of any Restricted Payment that is permitted to be made, and is made, under Section 4.07 hereof including the making of any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(d) any disposition of assets or issuance or sale of Equity Interests of any Restricted Subsidiary in any transaction or series of related transactions with an aggregate fair market value of less than $75,000,000; </w:t>
      </w:r>
    </w:p>
    <w:p>
      <w:pPr>
        <w:pStyle w:val="TextBody"/>
        <w:bidi w:val="0"/>
        <w:spacing w:before="120" w:after="0"/>
        <w:jc w:val="left"/>
        <w:rPr>
          <w:rFonts w:ascii="Times New Roman" w:hAnsi="Times New Roman"/>
          <w:sz w:val="20"/>
        </w:rPr>
      </w:pPr>
      <w:r>
        <w:rPr>
          <w:rFonts w:ascii="Times New Roman" w:hAnsi="Times New Roman"/>
          <w:sz w:val="20"/>
        </w:rPr>
        <w:t xml:space="preserve">(e) any disposition (i) of property or assets or issuance of securities by a Restricted Subsidiary to the Borrower or by the Borrower or a Restricted Subsidiary to a Restricted Subsidiary and (ii) to the Borrower or a Restricted Subsidiary constituting debt forgiveness;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allowable under Section 1031 of the Internal Revenue Code of 1986, any exchange of like property (excluding any boot thereon) for use in a Similar Business; </w:t>
      </w:r>
    </w:p>
    <w:p>
      <w:pPr>
        <w:pStyle w:val="TextBody"/>
        <w:bidi w:val="0"/>
        <w:spacing w:before="120" w:after="0"/>
        <w:jc w:val="left"/>
        <w:rPr>
          <w:rFonts w:ascii="Times New Roman" w:hAnsi="Times New Roman"/>
          <w:sz w:val="20"/>
        </w:rPr>
      </w:pPr>
      <w:r>
        <w:rPr>
          <w:rFonts w:ascii="Times New Roman" w:hAnsi="Times New Roman"/>
          <w:sz w:val="20"/>
        </w:rPr>
        <w:t xml:space="preserve">(g) the lease, sublease, license or sublicense (including the provision of software under an open-source license) of any real or personal property, or intellectual property or other intangible assets,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 any issuance or sale of Equity Interests in, or Indebtedness or other securities of, an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foreclosures, condemnation, expropriation or any similar action with respect to assets or the granting of Liens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(j) sales of accounts receivable, or participations therein, or Securitization Assets or related assets in connection with any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(k) any financing transaction with respect to property built or acquired by the Borrower or any Restricted Subsidiary after the Closing Date, including Sale and Lease-Back Transactions and asset securitizations permitted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sales, discounts or forgiveness of accounts receivable, or participations therein, in connection with the collection or compromise thereof; </w:t>
      </w:r>
    </w:p>
    <w:p>
      <w:pPr>
        <w:pStyle w:val="TextBody"/>
        <w:bidi w:val="0"/>
        <w:spacing w:before="120" w:after="0"/>
        <w:jc w:val="left"/>
        <w:rPr>
          <w:rFonts w:ascii="Times New Roman" w:hAnsi="Times New Roman"/>
          <w:sz w:val="20"/>
        </w:rPr>
      </w:pPr>
      <w:r>
        <w:rPr>
          <w:rFonts w:ascii="Times New Roman" w:hAnsi="Times New Roman"/>
          <w:sz w:val="20"/>
        </w:rPr>
        <w:t xml:space="preserve">(m) the sale or discount of inventory, accounts receivable or notes receivable in the ordinary course of business or the conversion of accounts receivable to notes receivable; </w:t>
      </w:r>
    </w:p>
    <w:p>
      <w:pPr>
        <w:pStyle w:val="TextBody"/>
        <w:bidi w:val="0"/>
        <w:spacing w:before="120" w:after="0"/>
        <w:jc w:val="left"/>
        <w:rPr>
          <w:rFonts w:ascii="Times New Roman" w:hAnsi="Times New Roman"/>
          <w:sz w:val="20"/>
        </w:rPr>
      </w:pPr>
      <w:r>
        <w:rPr>
          <w:rFonts w:ascii="Times New Roman" w:hAnsi="Times New Roman"/>
          <w:sz w:val="20"/>
        </w:rPr>
        <w:t xml:space="preserve">(n) any surrender or waiver of contract rights or the settlement, release or surrender of contract rights or other litigation claims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(o) the unwinding or voluntary termination of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(p) sales, transfers and other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(q) failing to pursue or allowing any registrations or any applications for registration of any intellectual property rights to lapse or go abandoned in the ordinary course of business if, in the reasonable determination of the Borrower or a Restricted Subsidiary, such discontinuance is desirable in the conduct of the business of the Borrower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(r) the issuance by a Restricted Subsidiary of Preferred Stock or Disqualified Stock that is permitted by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(s) the granting of a Lien that is permitted under Section 4.12 hereof; </w:t>
      </w:r>
    </w:p>
    <w:p>
      <w:pPr>
        <w:pStyle w:val="TextBody"/>
        <w:bidi w:val="0"/>
        <w:spacing w:before="120" w:after="0"/>
        <w:jc w:val="left"/>
        <w:rPr>
          <w:rFonts w:ascii="Times New Roman" w:hAnsi="Times New Roman"/>
          <w:sz w:val="20"/>
        </w:rPr>
      </w:pPr>
      <w:r>
        <w:rPr>
          <w:rFonts w:ascii="Times New Roman" w:hAnsi="Times New Roman"/>
          <w:sz w:val="20"/>
        </w:rPr>
        <w:t xml:space="preserve">(t) the issuance of directors’ qualifying shares and shares issued to foreign nationals as required by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(u) dispositions of property by the Borrower or a Restricted Subsidiary pursuant to Sale and Lease-Back Transactions. </w:t>
      </w:r>
    </w:p>
    <w:p>
      <w:pPr>
        <w:pStyle w:val="TextBody"/>
        <w:bidi w:val="0"/>
        <w:spacing w:before="240" w:after="0"/>
        <w:jc w:val="left"/>
        <w:rPr/>
      </w:pPr>
      <w:r>
        <w:rPr/>
        <w:t>“</w:t>
      </w:r>
      <w:r>
        <w:rPr>
          <w:rFonts w:ascii="Times New Roman" w:hAnsi="Times New Roman"/>
          <w:i/>
          <w:sz w:val="20"/>
        </w:rPr>
        <w:t>Attorney Costs</w:t>
      </w:r>
      <w:r>
        <w:rPr>
          <w:rFonts w:ascii="Times New Roman" w:hAnsi="Times New Roman"/>
          <w:sz w:val="20"/>
        </w:rPr>
        <w:t xml:space="preserve">” means all reasonable fees, expenses and disbursements of any law firm or other external legal counsel, to the extent documented in reasonable detail and invoiced.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Authorized Representative</w:t>
      </w:r>
      <w:r>
        <w:rPr>
          <w:rFonts w:ascii="Times New Roman" w:hAnsi="Times New Roman"/>
          <w:sz w:val="20"/>
        </w:rPr>
        <w:t xml:space="preserve">” means (i) in the case of any Senior Credit Facilities Obligations or the First Lien Secured Parties under the Senior Credit Facilities, the administrative agent under the Senior Credit Facilities, (ii) in the case of the Loan Obligations or the Secured Parties, the Administrative Agent, (iii) in the case of any other Series of Additional First Lien Obligations or Additional First Lien Secured Parties that become subject to the Intercreditor Agreement, the Authorized Representative named for such Series in the applicable joinder agreement and (iv) in the case of any Series of Junior Lien Obligations or Junior Lien Secured Parties that become subject to the Junior Lien Intercreditor Agreement, the Authorized Representative named for such Series in the Junior Lien Intercreditor Agreement or the applicable joinder agreement. </w:t>
      </w:r>
    </w:p>
    <w:p>
      <w:pPr>
        <w:pStyle w:val="TextBody"/>
        <w:bidi w:val="0"/>
        <w:spacing w:before="240" w:after="0"/>
        <w:jc w:val="left"/>
        <w:rPr/>
      </w:pPr>
      <w:r>
        <w:rPr/>
        <w:t>“</w:t>
      </w:r>
      <w:r>
        <w:rPr>
          <w:rFonts w:ascii="Times New Roman" w:hAnsi="Times New Roman"/>
          <w:i/>
          <w:sz w:val="20"/>
        </w:rPr>
        <w:t>Bank Products</w:t>
      </w:r>
      <w:r>
        <w:rPr>
          <w:rFonts w:ascii="Times New Roman" w:hAnsi="Times New Roman"/>
          <w:sz w:val="20"/>
        </w:rPr>
        <w:t xml:space="preserve">” means any facilities or services related to cash management, including treasury, depository, overdraft, credit or debit card, purchase card, electronic funds transfer and other cash management arrangements.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i/>
          <w:sz w:val="20"/>
        </w:rPr>
        <w:t>Borrower</w:t>
      </w:r>
      <w:r>
        <w:rPr>
          <w:rFonts w:ascii="Times New Roman" w:hAnsi="Times New Roman"/>
          <w:sz w:val="20"/>
        </w:rPr>
        <w:t xml:space="preserve">” means Sabre GLBL Inc., a Delaware corporation, and its successors. </w:t>
      </w:r>
    </w:p>
    <w:p>
      <w:pPr>
        <w:pStyle w:val="TextBody"/>
        <w:bidi w:val="0"/>
        <w:spacing w:before="240" w:after="0"/>
        <w:jc w:val="left"/>
        <w:rPr/>
      </w:pPr>
      <w:r>
        <w:rPr/>
        <w:t>“</w:t>
      </w:r>
      <w:r>
        <w:rPr>
          <w:rFonts w:ascii="Times New Roman" w:hAnsi="Times New Roman"/>
          <w:i/>
          <w:sz w:val="20"/>
        </w:rPr>
        <w:t>Borrowing</w:t>
      </w:r>
      <w:r>
        <w:rPr>
          <w:rFonts w:ascii="Times New Roman" w:hAnsi="Times New Roman"/>
          <w:sz w:val="20"/>
        </w:rPr>
        <w:t xml:space="preserve">” means a borrowing consisting of Term Loan made on the Closing Date.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each day which is not a Legal Holiday. </w:t>
      </w:r>
    </w:p>
    <w:p>
      <w:pPr>
        <w:pStyle w:val="TextBody"/>
        <w:bidi w:val="0"/>
        <w:spacing w:before="240" w:after="0"/>
        <w:jc w:val="left"/>
        <w:rPr/>
      </w:pPr>
      <w:r>
        <w:rPr/>
        <w:t>“</w:t>
      </w:r>
      <w:r>
        <w:rPr>
          <w:rFonts w:ascii="Times New Roman" w:hAnsi="Times New Roman"/>
          <w:i/>
          <w:sz w:val="20"/>
        </w:rPr>
        <w:t>Business Successor</w:t>
      </w:r>
      <w:r>
        <w:rPr>
          <w:rFonts w:ascii="Times New Roman" w:hAnsi="Times New Roman"/>
          <w:sz w:val="20"/>
        </w:rPr>
        <w:t xml:space="preserve">” means (a) any former Subsidiary of the Borrower and (b) any Person that, after the Closing Date, has acquired, merged or consolidated with a Subsidiary of the Borrower (that results in such Subsidiary ceasing to be a Subsidiary of the Borrower), or acquired (in one transaction or a series of transactions) all or substantially all of the property and assets or business of a Subsidiary or assets constituting a business unit, line of business or division of a Subsidiary of the Borrower.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or shares in the capital of such corporation;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i/>
          <w:sz w:val="20"/>
        </w:rPr>
        <w:t>Capitalized Lease Obligation</w:t>
      </w:r>
      <w:r>
        <w:rPr>
          <w:rFonts w:ascii="Times New Roman" w:hAnsi="Times New Roman"/>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(after giving effect to the proviso in the definition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Capitalized Leases</w:t>
      </w:r>
      <w:r>
        <w:rPr>
          <w:rFonts w:ascii="Times New Roman" w:hAnsi="Times New Roman"/>
          <w:sz w:val="20"/>
        </w:rPr>
        <w:t xml:space="preserve">” means all leases that have been or are required to be, in accordance with GAAP (after giving effect to the proviso in the definition thereof), recorded as capitalized leases; </w:t>
      </w:r>
      <w:r>
        <w:rPr>
          <w:rFonts w:ascii="Times New Roman" w:hAnsi="Times New Roman"/>
          <w:i/>
          <w:sz w:val="20"/>
        </w:rPr>
        <w:t xml:space="preserve">provided </w:t>
      </w:r>
      <w:r>
        <w:rPr>
          <w:rFonts w:ascii="Times New Roman" w:hAnsi="Times New Roman"/>
          <w:sz w:val="20"/>
        </w:rPr>
        <w:t xml:space="preserve">that for all purposes hereunder the amount of obligations under any Capitalized Lease shall be the amount thereof accounted for as a liability in accordance with GAAP. </w:t>
      </w:r>
    </w:p>
    <w:p>
      <w:pPr>
        <w:pStyle w:val="TextBody"/>
        <w:bidi w:val="0"/>
        <w:spacing w:before="240" w:after="0"/>
        <w:jc w:val="left"/>
        <w:rPr/>
      </w:pPr>
      <w:r>
        <w:rPr/>
        <w:t>“</w:t>
      </w:r>
      <w:r>
        <w:rPr>
          <w:rFonts w:ascii="Times New Roman" w:hAnsi="Times New Roman"/>
          <w:i/>
          <w:sz w:val="20"/>
        </w:rPr>
        <w:t>Capitalized Software Expenditures</w:t>
      </w:r>
      <w:r>
        <w:rPr>
          <w:rFonts w:ascii="Times New Roman" w:hAnsi="Times New Roman"/>
          <w:sz w:val="20"/>
        </w:rPr>
        <w:t xml:space="preserve">” means, with respect to any Person for any period, the aggregate of all expenditures (whether paid in cash or accrued as liabilities) of such Person during such period in respect of licensed or purchased software or internally developed software and software enhancements that, in conformity with GAAP, are, or are required to be, reflected as capitalized costs on the consolidated balance sheet of such Person.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U.S. dollars; </w:t>
      </w:r>
    </w:p>
    <w:p>
      <w:pPr>
        <w:pStyle w:val="TextBody"/>
        <w:bidi w:val="0"/>
        <w:spacing w:before="120" w:after="0"/>
        <w:jc w:val="left"/>
        <w:rPr>
          <w:rFonts w:ascii="Times New Roman" w:hAnsi="Times New Roman"/>
          <w:sz w:val="20"/>
        </w:rPr>
      </w:pPr>
      <w:r>
        <w:rPr>
          <w:rFonts w:ascii="Times New Roman" w:hAnsi="Times New Roman"/>
          <w:sz w:val="20"/>
        </w:rPr>
        <w:t xml:space="preserve">(2) (a) Canadian dollars, Yen, pounds sterling, euros or any national currency of any participating member state of the EMU; or (b) in the case of any Foreign Subsidiary that is a Restricted Subsidiary, such local currencies held by it from time to time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 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$500,000,000 in the case of U.S. banks and $100,000,000 (or the U.S. dollar equivalent as of the date of determination) in the case of non-U.S. banks; </w:t>
      </w:r>
    </w:p>
    <w:p>
      <w:pPr>
        <w:pStyle w:val="TextBody"/>
        <w:bidi w:val="0"/>
        <w:spacing w:before="120" w:after="0"/>
        <w:jc w:val="left"/>
        <w:rPr>
          <w:rFonts w:ascii="Times New Roman" w:hAnsi="Times New Roman"/>
          <w:sz w:val="20"/>
        </w:rPr>
      </w:pPr>
      <w:r>
        <w:rPr>
          <w:rFonts w:ascii="Times New Roman" w:hAnsi="Times New Roman"/>
          <w:sz w:val="20"/>
        </w:rPr>
        <w:t xml:space="preserve">(5) repurchase obligations for underlying securities of the types described in clauses (3), (4) or (7) entered into with any financial institution or recognized securities dealer meeting the qualifications specified in clause (4) above; </w:t>
      </w:r>
    </w:p>
    <w:p>
      <w:pPr>
        <w:pStyle w:val="TextBody"/>
        <w:bidi w:val="0"/>
        <w:spacing w:before="120" w:after="0"/>
        <w:jc w:val="left"/>
        <w:rPr>
          <w:rFonts w:ascii="Times New Roman" w:hAnsi="Times New Roman"/>
          <w:sz w:val="20"/>
        </w:rPr>
      </w:pPr>
      <w:r>
        <w:rPr>
          <w:rFonts w:ascii="Times New Roman" w:hAnsi="Times New Roman"/>
          <w:sz w:val="20"/>
        </w:rPr>
        <w:t xml:space="preserve">(6) commercial paper rated at least P-1 by Moody’s or at least A-1 by S&amp;P or at least F2 by Fitch (or, if at any time neither Moody’s nor S&amp;P nor Fitch shall be rating such obligations, an equivalent rating from another Rating Agency) and in each case maturing within 24 months after the date of creation thereof and Indebtedness or Preferred Stock issued by Persons with a rating of “A” or higher from S&amp;P or “A2” or higher from Moody’s or “A” or higher from Fitch with maturities of 24 months or less from the date of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marketable short-term money market and similar securities having a rating of at least P-2, A-2 or F2 from any of Moody’s, S&amp;P or Fitch, respectively (or, if at any time neither Moody’s nor S&amp;P nor Fitch shall be rating such obligations, an equivalent rating from another Rating Agency); </w:t>
      </w:r>
    </w:p>
    <w:p>
      <w:pPr>
        <w:pStyle w:val="TextBody"/>
        <w:bidi w:val="0"/>
        <w:spacing w:before="120" w:after="0"/>
        <w:jc w:val="left"/>
        <w:rPr>
          <w:rFonts w:ascii="Times New Roman" w:hAnsi="Times New Roman"/>
          <w:sz w:val="20"/>
        </w:rPr>
      </w:pPr>
      <w:r>
        <w:rPr>
          <w:rFonts w:ascii="Times New Roman" w:hAnsi="Times New Roman"/>
          <w:sz w:val="20"/>
        </w:rPr>
        <w:t xml:space="preserve">(8) readily marketable direct obligations issued by any state, commonwealth or territory of the United States or any political subdivision or taxing authority thereof having an Investment Grade Rating from any of Moody’s, S&amp;P or Fitch (or, if at any time neither Moody’s nor S&amp;P nor Fitch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(9) readily marketable direct obligations issued by any foreign government or any political subdivision or public instrumentality thereof, in each case having an Investment Grade Rating from any of Moody’s, S&amp;P or Fitch (or, if at any time neither Moody’s nor S&amp;P nor Fitch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(10) Investments with average maturities of 12 months or less from the date of acquisition in money market funds rated AA- (or the equivalent thereof) or better by S&amp;P or Aa3 (or the equivalent thereof) or better by Moody’s or AA- (or the equivalent thereof) or better by Fitch (or, if at any time neither Moody’s nor S&amp;P nor Fitch shall be rating such obligations, an equivalent rating from another Rating Agency); and </w:t>
      </w:r>
    </w:p>
    <w:p>
      <w:pPr>
        <w:pStyle w:val="TextBody"/>
        <w:bidi w:val="0"/>
        <w:spacing w:before="120" w:after="0"/>
        <w:jc w:val="left"/>
        <w:rPr>
          <w:rFonts w:ascii="Times New Roman" w:hAnsi="Times New Roman"/>
          <w:sz w:val="20"/>
        </w:rPr>
      </w:pPr>
      <w:r>
        <w:rPr>
          <w:rFonts w:ascii="Times New Roman" w:hAnsi="Times New Roman"/>
          <w:sz w:val="20"/>
        </w:rPr>
        <w:t xml:space="preserve">(11) investment funds investing at least 95% of their assets in securities of the types described in clauses (1) through (10) above.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(11) above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(11) and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Cash Equivalents shall include amounts denominated in currencies other than those set forth in clauses (1) or (2) above or the immediately preceding paragraph; </w:t>
      </w:r>
      <w:r>
        <w:rPr>
          <w:rFonts w:ascii="Times New Roman" w:hAnsi="Times New Roman"/>
          <w:i/>
          <w:sz w:val="20"/>
        </w:rPr>
        <w:t xml:space="preserve">provided </w:t>
      </w:r>
      <w:r>
        <w:rPr>
          <w:rFonts w:ascii="Times New Roman" w:hAnsi="Times New Roman"/>
          <w:sz w:val="20"/>
        </w:rPr>
        <w:t xml:space="preserve">that such amounts are converted into any currency set forth in clauses (1) or (2) above or the immediately preceding paragraph as promptly as practicable and in any event within ten Business Days following the receipt of such amounts.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maximum permissible maturity of any investments described in this definition, the maturity of any obligation is deemed to be the shortest of the following: (i) the stated maturity date; (ii) the weighted average life (for amortizing securities); (iii) the next interest rate reset for variable rate and auction-rate obligations; or (iv) the next put exercise date (for obligations with put features).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sale, lease, transfer or other disposition, in one or a series of related transactions (other than by merger, consolidation or amalgamation), of all or substantially all of the consolidated properties and assets of Holdings or the Borrower and their respective subsidiaries, in each case, taken as a whole, to any Person other than one or more Permitted Holders;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becomes aware of (by way of a report or any other filing pursuant to Section 13(d) of the Exchange Act, proxy, vote, written notice or otherwise) the acquisition by any Person (other than a Permitted Holder) or Persons (other than one or more Permitted Holders) that are together a group (within the meaning of Section 13(d)(3) or Section 14(d)(2) of the Exchange Act, or any successor provision), including any group acting for the purpose of acquiring, holding or disposing of securities (within the meaning of Rule 13d-5(b)(1) under the Exchange Act), in a single transaction or in a related series of transactions, by way of merger, amalgamation, consolidation or other business combination or purchase of “beneficial ownership” (within the meaning of Rule 13d-3 under the Exchange Act, or any successor provision) of more than 50% of the total voting power of the Voting Stock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(3) any Change of Control (as defined in the Lender Indenture) under the Lender Indenture as in existence on the Closing Date.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means September 28, 2026. </w:t>
      </w:r>
    </w:p>
    <w:p>
      <w:pPr>
        <w:pStyle w:val="TextBody"/>
        <w:bidi w:val="0"/>
        <w:spacing w:before="240" w:after="0"/>
        <w:jc w:val="left"/>
        <w:rPr/>
      </w:pPr>
      <w:r>
        <w:rPr/>
        <w:t>“</w:t>
      </w:r>
      <w:r>
        <w:rPr>
          <w:rFonts w:ascii="Times New Roman" w:hAnsi="Times New Roman"/>
          <w:i/>
          <w:sz w:val="20"/>
        </w:rPr>
        <w:t>Closing Date Commitment</w:t>
      </w:r>
      <w:r>
        <w:rPr>
          <w:rFonts w:ascii="Times New Roman" w:hAnsi="Times New Roman"/>
          <w:sz w:val="20"/>
        </w:rPr>
        <w:t xml:space="preserve">” means the Lender’s obligation to make a Term Loan, in an aggregate principal amount of $1,350,000,000, on the Closing Date to the Borrower pursuant to Section 2.01(a).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U.S. Internal Revenue Code of 1986, as amended from time to time, and the regulations thereunder.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means all assets and properties subject to Liens created pursuant to any Security Document to secure any Loan Obligations. </w:t>
      </w:r>
    </w:p>
    <w:p>
      <w:pPr>
        <w:pStyle w:val="TextBody"/>
        <w:bidi w:val="0"/>
        <w:spacing w:before="240" w:after="0"/>
        <w:jc w:val="left"/>
        <w:rPr/>
      </w:pPr>
      <w:r>
        <w:rPr/>
        <w:t>“</w:t>
      </w:r>
      <w:r>
        <w:rPr>
          <w:rFonts w:ascii="Times New Roman" w:hAnsi="Times New Roman"/>
          <w:i/>
          <w:sz w:val="20"/>
        </w:rPr>
        <w:t>Commitment</w:t>
      </w:r>
      <w:r>
        <w:rPr>
          <w:rFonts w:ascii="Times New Roman" w:hAnsi="Times New Roman"/>
          <w:sz w:val="20"/>
        </w:rPr>
        <w:t xml:space="preserve">” means the Closing Date Commitment. </w:t>
      </w:r>
    </w:p>
    <w:p>
      <w:pPr>
        <w:pStyle w:val="TextBody"/>
        <w:bidi w:val="0"/>
        <w:spacing w:before="240" w:after="0"/>
        <w:jc w:val="left"/>
        <w:rPr/>
      </w:pPr>
      <w:r>
        <w:rPr/>
        <w:t>“</w:t>
      </w:r>
      <w:r>
        <w:rPr>
          <w:rFonts w:ascii="Times New Roman" w:hAnsi="Times New Roman"/>
          <w:i/>
          <w:sz w:val="20"/>
        </w:rPr>
        <w:t>Committed Loan Notice</w:t>
      </w:r>
      <w:r>
        <w:rPr>
          <w:rFonts w:ascii="Times New Roman" w:hAnsi="Times New Roman"/>
          <w:sz w:val="20"/>
        </w:rPr>
        <w:t xml:space="preserve">” means the written notice of the Borrowing pursuant to Section 2.01(a), which shall be substantially in the form of Exhibit A or such other form as may be approved by the Administrative Agent (including any form on an electronic platform or electronic transmission system as shall be approved by the Administrative Agent), appropriately completed and signed by a Responsible Officer of the Borrower. </w:t>
      </w:r>
    </w:p>
    <w:p>
      <w:pPr>
        <w:pStyle w:val="TextBody"/>
        <w:bidi w:val="0"/>
        <w:spacing w:before="240" w:after="0"/>
        <w:jc w:val="left"/>
        <w:rPr/>
      </w:pPr>
      <w:r>
        <w:rPr/>
        <w:t>“</w:t>
      </w:r>
      <w:r>
        <w:rPr>
          <w:rFonts w:ascii="Times New Roman" w:hAnsi="Times New Roman"/>
          <w:i/>
          <w:sz w:val="20"/>
        </w:rPr>
        <w:t>Consolidated Depreciation and Amortization Expense</w:t>
      </w:r>
      <w:r>
        <w:rPr>
          <w:rFonts w:ascii="Times New Roman" w:hAnsi="Times New Roman"/>
          <w:sz w:val="20"/>
        </w:rPr>
        <w:t xml:space="preserve">” means with respect to any Person for any period, the total amount of depreciation and amortization expense for such period, including the amortization of deferred financing fees, debt issuance costs, commissions, fees and expenses and Capitalized Software Expenditures of such Person for such period (including such expense attributable to held-for-sale discontinued operations) determined on a consolidated basis and otherwise determined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Consolidated Interest Expense</w:t>
      </w:r>
      <w:r>
        <w:rPr>
          <w:rFonts w:ascii="Times New Roman" w:hAnsi="Times New Roman"/>
          <w:sz w:val="20"/>
        </w:rPr>
        <w:t xml:space="preserve">” means, with respect to any Person for any period, without duplication, the sum of: (1) cash interest expense (including that attributable to Capitalized Lease Obligations), net of cash interest income, of such Person determined on a consolidated basis in accordance with GAAP, including all commissions, discounts and other fees and charges payable in cash with respect to letters of credit and bankers’ acceptance financing, net cash payments made under Hedging Obligations and (2) cash interest expense that is capitalized in accordance with GAAP, but, in the case of each of (1) and (2), excluding: </w:t>
      </w:r>
    </w:p>
    <w:p>
      <w:pPr>
        <w:pStyle w:val="TextBody"/>
        <w:bidi w:val="0"/>
        <w:spacing w:before="120" w:after="0"/>
        <w:jc w:val="left"/>
        <w:rPr>
          <w:rFonts w:ascii="Times New Roman" w:hAnsi="Times New Roman"/>
          <w:sz w:val="20"/>
        </w:rPr>
      </w:pPr>
      <w:r>
        <w:rPr>
          <w:rFonts w:ascii="Times New Roman" w:hAnsi="Times New Roman"/>
          <w:sz w:val="20"/>
        </w:rPr>
        <w:t xml:space="preserve">(a) amortization of deferred financing costs, debt issuance costs and commissions, fees and expenses and any other amounts of non-cash interest; </w:t>
      </w:r>
    </w:p>
    <w:p>
      <w:pPr>
        <w:pStyle w:val="TextBody"/>
        <w:bidi w:val="0"/>
        <w:spacing w:before="120" w:after="0"/>
        <w:jc w:val="left"/>
        <w:rPr>
          <w:rFonts w:ascii="Times New Roman" w:hAnsi="Times New Roman"/>
          <w:sz w:val="20"/>
        </w:rPr>
      </w:pPr>
      <w:r>
        <w:rPr>
          <w:rFonts w:ascii="Times New Roman" w:hAnsi="Times New Roman"/>
          <w:sz w:val="20"/>
        </w:rPr>
        <w:t xml:space="preserve">(b) the accretion or accrual of discounted liabilities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(c) any interest expense in respect of items excluded from Indebtedness in clause (c), or the proviso at the end, of the definition thereof; </w:t>
      </w:r>
    </w:p>
    <w:p>
      <w:pPr>
        <w:pStyle w:val="TextBody"/>
        <w:bidi w:val="0"/>
        <w:spacing w:before="120" w:after="0"/>
        <w:jc w:val="left"/>
        <w:rPr>
          <w:rFonts w:ascii="Times New Roman" w:hAnsi="Times New Roman"/>
          <w:sz w:val="20"/>
        </w:rPr>
      </w:pPr>
      <w:r>
        <w:rPr>
          <w:rFonts w:ascii="Times New Roman" w:hAnsi="Times New Roman"/>
          <w:sz w:val="20"/>
        </w:rPr>
        <w:t xml:space="preserve">(d) non-cash interest expense attributable to the movement of the mark-to-market valuation of obligations under Hedging Obligations or other derivative instruments pursuant to Accounting Standards Codification Topic 815 “Derivatives and Hedging” and all costs associated with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(e) any one-time costs associated with the unwinding, termination or breakage in respect of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(f) all non-recurring cash interest expense consisting of liquidated damages or additional interest for failure to timely comply with registration rights obligations or financing and commitment fees; and </w:t>
      </w:r>
    </w:p>
    <w:p>
      <w:pPr>
        <w:pStyle w:val="TextBody"/>
        <w:bidi w:val="0"/>
        <w:spacing w:before="120" w:after="0"/>
        <w:jc w:val="left"/>
        <w:rPr>
          <w:rFonts w:ascii="Times New Roman" w:hAnsi="Times New Roman"/>
          <w:sz w:val="20"/>
        </w:rPr>
      </w:pPr>
      <w:r>
        <w:rPr>
          <w:rFonts w:ascii="Times New Roman" w:hAnsi="Times New Roman"/>
          <w:sz w:val="20"/>
        </w:rPr>
        <w:t>(g) cash payments made on account of accrued interest with respect to any Qualified Holding Company Debt to the extent such payments are required by the terms of such Indebtedness to be made before the close of any “accrual period” (as defined in Treasury Regulation Section 1.1272-1(b)(1)(ii)) ending after five years from the date of original issuance of such Indebtedness (any such cash payments, “</w:t>
      </w:r>
      <w:r>
        <w:rPr>
          <w:rFonts w:ascii="Times New Roman" w:hAnsi="Times New Roman"/>
          <w:i/>
          <w:sz w:val="20"/>
        </w:rPr>
        <w:t>Catch</w:t>
      </w:r>
      <w:r>
        <w:rPr>
          <w:rFonts w:ascii="Times New Roman" w:hAnsi="Times New Roman"/>
          <w:sz w:val="20"/>
        </w:rPr>
        <w:t>-</w:t>
      </w:r>
      <w:r>
        <w:rPr>
          <w:rFonts w:ascii="Times New Roman" w:hAnsi="Times New Roman"/>
          <w:i/>
          <w:sz w:val="20"/>
        </w:rPr>
        <w:t>Up Payments</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such Catch-Up Payments will be included in Consolidated Interest Expense solely for purposes of determining compliance with clause (20)(ii) of Section 4.07(b) hereof and not for any other purpose. </w:t>
      </w:r>
    </w:p>
    <w:p>
      <w:pPr>
        <w:pStyle w:val="TextBody"/>
        <w:bidi w:val="0"/>
        <w:spacing w:before="240" w:after="0"/>
        <w:jc w:val="left"/>
        <w:rPr/>
      </w:pPr>
      <w:r>
        <w:rPr/>
        <w:t>“</w:t>
      </w:r>
      <w:r>
        <w:rPr>
          <w:rFonts w:ascii="Times New Roman" w:hAnsi="Times New Roman"/>
          <w:i/>
          <w:sz w:val="20"/>
        </w:rPr>
        <w:t>Consolidated Leverage Ratio</w:t>
      </w:r>
      <w:r>
        <w:rPr>
          <w:rFonts w:ascii="Times New Roman" w:hAnsi="Times New Roman"/>
          <w:sz w:val="20"/>
        </w:rPr>
        <w:t xml:space="preserve">” means, as of the date of determination, the ratio of (a) the sum of (i) the Consolidated Total Indebtedness of Holdings, the Borrower and its Restricted Subsidiaries as of such date and (ii) the Reserved Indebtedness Amount applicable at such time to the calculation of the Senior Secured Leverage Ratio to (b) EBITDA of Holdings, the Borrower and its Restricted Subsidiaries for the most recently ended four fiscal quarters ending immediately prior to such date for which internal financial statements are available. The Consolidated Leverage Ratio will be calculated on a pro forma basis with the same adjustments applicable to the calculation of the Senior Secured Leverage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Consolidated Net Income</w:t>
      </w:r>
      <w:r>
        <w:rPr>
          <w:rFonts w:ascii="Times New Roman" w:hAnsi="Times New Roman"/>
          <w:sz w:val="20"/>
        </w:rPr>
        <w:t xml:space="preserve">” means, with respect to any Person for any period, the aggregate of the Net Income of such Person for such period, on a consolidated basis, and otherwise determined in accordance with GAAP; </w:t>
      </w:r>
      <w:r>
        <w:rPr>
          <w:rFonts w:ascii="Times New Roman" w:hAnsi="Times New Roman"/>
          <w:i/>
          <w:sz w:val="20"/>
        </w:rPr>
        <w:t xml:space="preserve">provided </w:t>
      </w:r>
      <w:r>
        <w:rPr>
          <w:rFonts w:ascii="Times New Roman" w:hAnsi="Times New Roman"/>
          <w:sz w:val="20"/>
        </w:rPr>
        <w:t xml:space="preserve">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after-tax effect of extraordinary, non-recurring or unusual gains or losses (less all fees and expenses relating thereto) or expenses (including relating to the Transaction Expenses or any multi-year strategic cost-saving initiatives), severance, relocation costs and curtailments or modifications to pension and post-retirement employee benefit plans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(2) the cumulative effect of a change in accounting principles and changes as a result of the adoption or modification of accounting policies during such period shall be excluded, in each case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(3) the Net Income for such period of any Person that is an Unrestricted Subsidiary or any Person that is not a Subsidiary or that is accounted for by the equity method of accounting shall be excluded; </w:t>
      </w:r>
      <w:r>
        <w:rPr>
          <w:rFonts w:ascii="Times New Roman" w:hAnsi="Times New Roman"/>
          <w:i/>
          <w:sz w:val="20"/>
        </w:rPr>
        <w:t xml:space="preserve">provided </w:t>
      </w:r>
      <w:r>
        <w:rPr>
          <w:rFonts w:ascii="Times New Roman" w:hAnsi="Times New Roman"/>
          <w:sz w:val="20"/>
        </w:rPr>
        <w:t xml:space="preserve">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(4) solely for the purpose of determining the amount available for Restricted Payments under clause (3)(B) of Section 4.07(a) hereof, the Net Income for such period of any Restricted Subsidiary (other than any Guarantor) shall be excluded to the extent that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 w:hAnsi="Times New Roman"/>
          <w:i/>
          <w:sz w:val="20"/>
        </w:rPr>
        <w:t xml:space="preserve">provided </w:t>
      </w:r>
      <w:r>
        <w:rPr>
          <w:rFonts w:ascii="Times New Roman" w:hAnsi="Times New Roman"/>
          <w:sz w:val="20"/>
        </w:rPr>
        <w:t xml:space="preserve">that Consolidated Net Income of such other Person will be increased by the amount of dividends or other distributions or other payments actually paid in cash (or to the extent converted into cash) to such other Person or a Restricted Subsidiary of such other Person thereof in respect of such period, to the extent not already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(5) effects of adjustments (including the effects of such adjustments pushed down to Holdings, the Borrower and its Restricted Subsidiaries) in the inventory, property and equipment, software, goodwill, other intangible assets, in-process research and development, deferred revenue, debt line items and other non-cash charges in such Person’s consolidated financial statements pursuant to GAAP resulting from the application of recapitalization, purchase or acquisition method accounting in relation to any consummated acquisition or the amortization or write-off of any amounts thereof, net of taxes,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any net after-tax effect of income (loss) from the early extinguishment or conversion of (a) Indebtedness, (b) Hedging Obligations or (c) other derivative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(7)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GAAP, and the amortization of intangibles arising pursuant to GAAP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any non-cash compensation charge or expense, including any such charge or expense arising from the grants of stock appreciation or similar rights, stock options, restricted stock or other rights or equity incentive programs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(9) any fees, expenses or charges incurred during such period, or any amortization thereof for such period, in connection with any acquisition, Investment, Asset Sale, disposition, incurrence, amendment or repayment of Indebtedness (including such fees, expenses or charges related to this Agreement and/or the other Loan Documents, the Term Loan, the offering of the Lender Notes, the Senior Credit Facilities, and the Exchangeable Notes), issuance of Equity Interests, refinancing transaction or amendment or modification of any debt instrument (including any amendment or other modification of this Agreement and/or the other Loan Documents and the Term Loan, the Secured Notes and the Senior Credit Facilities) and including, in each case, without limitation, any such transaction consummated prior to the Closing Date and any such transaction undertaken but not completed, and any charges or non-recurring merger costs incurred during such period as a result of any such transaction, in each case whether or not successful,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(10) accruals and reserves that are established within twelve months after the closing of any acquisition that are required to be established as a result of such acquisition in accordance with GAAP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(11) any expenses, charges or losses that are covered by indemnification or other reimbursement provisions in connection with any investment, acquisition or any sale, conveyance, transfer or other disposition of assets permitted under this Agreement, to the extent actually reimbursed, or, so long as Holdings has made a determination that a reasonable basis exists for indemnification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(12) to the extent covered by insurance and actually reimbursed, or, so long as Holdings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(13) any net pension costs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Accounting Standards Codification Topic 712 “Compensation—Nonretirement Postemployment Benefits” and Accounting Standards Codification Topic 715 “Compensation—Retirement Benefits,” and any other non-cash items of a similar nature,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losses or gains on asset sales (other than asset sales made in the ordinary course of business) or in connection with any Qualified Securitization Financing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(15) the following items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(a) any net unrealized gain or loss (after any offset) resulting in such period from obligations under any Hedging Obligations and the application of Accounting Standards Codification Topic 815 “Derivatives and Hedging;” and </w:t>
      </w:r>
    </w:p>
    <w:p>
      <w:pPr>
        <w:pStyle w:val="TextBody"/>
        <w:bidi w:val="0"/>
        <w:spacing w:before="120" w:after="0"/>
        <w:jc w:val="left"/>
        <w:rPr>
          <w:rFonts w:ascii="Times New Roman" w:hAnsi="Times New Roman"/>
          <w:sz w:val="20"/>
        </w:rPr>
      </w:pPr>
      <w:r>
        <w:rPr>
          <w:rFonts w:ascii="Times New Roman" w:hAnsi="Times New Roman"/>
          <w:sz w:val="20"/>
        </w:rPr>
        <w:t xml:space="preserve">(b) any net unrealized gain or loss (after any offset) resulting in such period from currency translation and transaction gains or losses including those related to currency remeasurements of Indebtedness (including any net gain or loss resulting from obligations under Hedging Obligations for currency exchange risk) and any other monetary assets and liabilities; and </w:t>
      </w:r>
    </w:p>
    <w:p>
      <w:pPr>
        <w:pStyle w:val="TextBody"/>
        <w:bidi w:val="0"/>
        <w:spacing w:before="120" w:after="0"/>
        <w:jc w:val="left"/>
        <w:rPr>
          <w:rFonts w:ascii="Times New Roman" w:hAnsi="Times New Roman"/>
          <w:sz w:val="20"/>
        </w:rPr>
      </w:pPr>
      <w:r>
        <w:rPr>
          <w:rFonts w:ascii="Times New Roman" w:hAnsi="Times New Roman"/>
          <w:sz w:val="20"/>
        </w:rPr>
        <w:t xml:space="preserve">(16) any adjustments resulting from the application of Accounting Standards Codification Topic No. 460, Guarantees, or any comparable regulation, shall be excluded.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the Consolidated Net Income of such Person, notwithstanding anything to the contrary in the foregoing, Consolidated Net Income shall include the amount of proceeds received by such Person and its Restricted Subsidiaries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the purpose of Section 4.07 hereof only (other than clause (3)(E) of Section 4.07(a) hereof), there shall be excluded from Consolidated Net Income any income arising from any sale or other disposition of Restricted Investments made by the Borrower and its Restricted Subsidiaries, any repurchases and redemptions of Restricted Investments from the Borrower and its Restricted Subsidiaries, any repayments of loans and advances which constitute Restricted Investments by the Borrower or any of its Restricted Subsidiaries, any sale of the stock of an Unrestricted Subsidiary or any distribution or dividend from an Unrestricted Subsidiary, in each case only to the extent such amounts increase the amount of Restricted Payments permitted under such covenant pursuant to clause (3)(E) thereof. </w:t>
      </w:r>
    </w:p>
    <w:p>
      <w:pPr>
        <w:pStyle w:val="TextBody"/>
        <w:bidi w:val="0"/>
        <w:spacing w:before="240" w:after="0"/>
        <w:jc w:val="left"/>
        <w:rPr/>
      </w:pPr>
      <w:r>
        <w:rPr/>
        <w:t>“</w:t>
      </w:r>
      <w:r>
        <w:rPr>
          <w:rFonts w:ascii="Times New Roman" w:hAnsi="Times New Roman"/>
          <w:i/>
          <w:sz w:val="20"/>
        </w:rPr>
        <w:t>Consolidated Total Indebtedness</w:t>
      </w:r>
      <w:r>
        <w:rPr>
          <w:rFonts w:ascii="Times New Roman" w:hAnsi="Times New Roman"/>
          <w:sz w:val="20"/>
        </w:rPr>
        <w:t xml:space="preserve">” means, as of any date of determination, (a) the aggregate principal amount of Indebtedness of Holdings, the Borrower and its Restricted Subsidiaries outstanding on such date, determined on a consolidated basis in accordance with GAAP (but excluding the effects of any discounting of Indebtedness resulting from the application of acquisition method accounting in connection with any acquisition or investment permitted under this Agreement), consisting only of Indebtedness for borrowed money, obligations in respect of Capitalized Leases and debt obligations evidenced by promissory notes or similar instruments, minus (b) the aggregate amount of cash and Cash Equivalents, excluding cash and Cash Equivalents which are listed as “restricted” on the consolidated balance sheet of Holdings, the Borrower and its Restricted Subsidiaries as of such date; </w:t>
      </w:r>
      <w:r>
        <w:rPr>
          <w:rFonts w:ascii="Times New Roman" w:hAnsi="Times New Roman"/>
          <w:i/>
          <w:sz w:val="20"/>
        </w:rPr>
        <w:t xml:space="preserve">provided </w:t>
      </w:r>
      <w:r>
        <w:rPr>
          <w:rFonts w:ascii="Times New Roman" w:hAnsi="Times New Roman"/>
          <w:sz w:val="20"/>
        </w:rPr>
        <w:t xml:space="preserve">that Consolidated Total Indebtedness shall not include Indebtedness in respect of (i) any Qualified Securitization Financing, (ii) undrawn amounts under revolving credit facilities (except as otherwise provided in the definition of Senior Secured Leverage Ratio), (iii) all letters of credit, except to the extent of unreimbursed amounts thereunder, (iv) Unrestricted Subsidiaries and (v) obligations under Hedging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Contingent Obligations</w:t>
      </w:r>
      <w:r>
        <w:rPr>
          <w:rFonts w:ascii="Times New Roman" w:hAnsi="Times New Roman"/>
          <w:sz w:val="20"/>
        </w:rPr>
        <w:t>” means, with respect to any Person, any obligation of such Person guaranteeing any leases, dividends or other obligations that do not constitute Indebtedness (“</w:t>
      </w:r>
      <w:r>
        <w:rPr>
          <w:rFonts w:ascii="Times New Roman" w:hAnsi="Times New Roman"/>
          <w:i/>
          <w:sz w:val="20"/>
        </w:rPr>
        <w:t>primary obligations</w:t>
      </w:r>
      <w:r>
        <w:rPr>
          <w:rFonts w:ascii="Times New Roman" w:hAnsi="Times New Roman"/>
          <w:sz w:val="20"/>
        </w:rPr>
        <w:t>”) of any other Person (the “</w:t>
      </w:r>
      <w:r>
        <w:rPr>
          <w:rFonts w:ascii="Times New Roman" w:hAnsi="Times New Roman"/>
          <w:i/>
          <w:sz w:val="20"/>
        </w:rPr>
        <w:t>primary obligor</w:t>
      </w:r>
      <w:r>
        <w:rPr>
          <w:rFonts w:ascii="Times New Roman" w:hAnsi="Times New Roman"/>
          <w:sz w:val="20"/>
        </w:rPr>
        <w:t xml:space="preserve">”) in any manner, whether directly or indirectly, including, without limitation, any obligation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to purchase any such primary obligation or any property constituting direct or indirect security therefor; </w:t>
      </w:r>
    </w:p>
    <w:p>
      <w:pPr>
        <w:pStyle w:val="TextBody"/>
        <w:bidi w:val="0"/>
        <w:spacing w:before="120" w:after="0"/>
        <w:jc w:val="left"/>
        <w:rPr>
          <w:rFonts w:ascii="Times New Roman" w:hAnsi="Times New Roman"/>
          <w:sz w:val="20"/>
        </w:rPr>
      </w:pPr>
      <w:r>
        <w:rPr>
          <w:rFonts w:ascii="Times New Roman" w:hAnsi="Times New Roman"/>
          <w:sz w:val="20"/>
        </w:rPr>
        <w:t xml:space="preserve">(2) to advance or supply funds: </w:t>
      </w:r>
    </w:p>
    <w:p>
      <w:pPr>
        <w:pStyle w:val="TextBody"/>
        <w:bidi w:val="0"/>
        <w:spacing w:before="120" w:after="0"/>
        <w:jc w:val="left"/>
        <w:rPr>
          <w:rFonts w:ascii="Times New Roman" w:hAnsi="Times New Roman"/>
          <w:sz w:val="20"/>
        </w:rPr>
      </w:pPr>
      <w:r>
        <w:rPr>
          <w:rFonts w:ascii="Times New Roman" w:hAnsi="Times New Roman"/>
          <w:sz w:val="20"/>
        </w:rPr>
        <w:t xml:space="preserve">(a) for the purchase or payment of any such primary obligation, or </w:t>
      </w:r>
    </w:p>
    <w:p>
      <w:pPr>
        <w:pStyle w:val="TextBody"/>
        <w:bidi w:val="0"/>
        <w:spacing w:before="120" w:after="0"/>
        <w:jc w:val="left"/>
        <w:rPr>
          <w:rFonts w:ascii="Times New Roman" w:hAnsi="Times New Roman"/>
          <w:sz w:val="20"/>
        </w:rPr>
      </w:pPr>
      <w:r>
        <w:rPr>
          <w:rFonts w:ascii="Times New Roman" w:hAnsi="Times New Roman"/>
          <w:sz w:val="20"/>
        </w:rPr>
        <w:t xml:space="preserve">(b) to maintain working capital or equity capital of the primary obligor or otherwise to maintain the net worth or solvency of the primary obligor; or </w:t>
      </w:r>
    </w:p>
    <w:p>
      <w:pPr>
        <w:pStyle w:val="TextBody"/>
        <w:bidi w:val="0"/>
        <w:spacing w:before="120" w:after="0"/>
        <w:jc w:val="left"/>
        <w:rPr>
          <w:rFonts w:ascii="Times New Roman" w:hAnsi="Times New Roman"/>
          <w:sz w:val="20"/>
        </w:rPr>
      </w:pPr>
      <w:r>
        <w:rPr>
          <w:rFonts w:ascii="Times New Roman" w:hAnsi="Times New Roman"/>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left"/>
        <w:rPr/>
      </w:pPr>
      <w:r>
        <w:rPr/>
        <w:t>“</w:t>
      </w:r>
      <w:r>
        <w:rPr>
          <w:rFonts w:ascii="Times New Roman" w:hAnsi="Times New Roman"/>
          <w:i/>
          <w:sz w:val="20"/>
        </w:rPr>
        <w:t>continuing</w:t>
      </w:r>
      <w:r>
        <w:rPr>
          <w:rFonts w:ascii="Times New Roman" w:hAnsi="Times New Roman"/>
          <w:sz w:val="20"/>
        </w:rPr>
        <w:t xml:space="preserve">” means, with respect to any Default or Event of Default, that such Default or Event of Default has not been cured or waived. </w:t>
      </w:r>
    </w:p>
    <w:p>
      <w:pPr>
        <w:pStyle w:val="TextBody"/>
        <w:bidi w:val="0"/>
        <w:spacing w:before="240" w:after="0"/>
        <w:jc w:val="left"/>
        <w:rPr/>
      </w:pPr>
      <w:r>
        <w:rPr/>
        <w:t>“</w:t>
      </w:r>
      <w:r>
        <w:rPr>
          <w:rFonts w:ascii="Times New Roman" w:hAnsi="Times New Roman"/>
          <w:i/>
          <w:sz w:val="20"/>
        </w:rPr>
        <w:t>Contributed Holdings Investment</w:t>
      </w:r>
      <w:r>
        <w:rPr>
          <w:rFonts w:ascii="Times New Roman" w:hAnsi="Times New Roman"/>
          <w:sz w:val="20"/>
        </w:rPr>
        <w:t xml:space="preserve">” has the meaning set forth in Section 4.07. </w:t>
      </w:r>
    </w:p>
    <w:p>
      <w:pPr>
        <w:pStyle w:val="TextBody"/>
        <w:bidi w:val="0"/>
        <w:spacing w:before="240" w:after="0"/>
        <w:jc w:val="left"/>
        <w:rPr/>
      </w:pPr>
      <w:r>
        <w:rPr/>
        <w:t>“</w:t>
      </w:r>
      <w:r>
        <w:rPr>
          <w:rFonts w:ascii="Times New Roman" w:hAnsi="Times New Roman"/>
          <w:i/>
          <w:sz w:val="20"/>
        </w:rPr>
        <w:t>Controlled Investment Affiliate</w:t>
      </w:r>
      <w:r>
        <w:rPr>
          <w:rFonts w:ascii="Times New Roman" w:hAnsi="Times New Roman"/>
          <w:sz w:val="20"/>
        </w:rPr>
        <w:t xml:space="preserve">”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means one or more debt facilities, including the Senior Credit Facilities, or other financing arrangements (including, without limitation, commercial paper facilities or indentures) providing for revolving credit loans, term loans, letters of credit or other long-term indebtedness, including any notes, securities,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or refinance any part of the loans, notes, securities or other credit facilities or commitments thereunder, including any such replacement, refunding or refinancing facility or indenture that increases the amount permitted to be borrowed thereunder or alters the maturity thereof (</w:t>
      </w:r>
      <w:r>
        <w:rPr>
          <w:rFonts w:ascii="Times New Roman" w:hAnsi="Times New Roman"/>
          <w:i/>
          <w:sz w:val="20"/>
        </w:rPr>
        <w:t xml:space="preserve">provided </w:t>
      </w:r>
      <w:r>
        <w:rPr>
          <w:rFonts w:ascii="Times New Roman" w:hAnsi="Times New Roman"/>
          <w:sz w:val="20"/>
        </w:rPr>
        <w:t xml:space="preserve">that such increase in borrowings is permitted under Section 4.09 hereof) or adds additional borrowers or guarantors thereunder and whether by the same or any other agent, lender or group of lenders.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that is, or with the passage of time or the giving of notice or both would be,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Designated Non</w:t>
      </w:r>
      <w:r>
        <w:rPr>
          <w:rFonts w:ascii="Times New Roman" w:hAnsi="Times New Roman"/>
          <w:sz w:val="20"/>
        </w:rPr>
        <w:t>-</w:t>
      </w:r>
      <w:r>
        <w:rPr>
          <w:rFonts w:ascii="Times New Roman" w:hAnsi="Times New Roman"/>
          <w:i/>
          <w:sz w:val="20"/>
        </w:rPr>
        <w:t>Cash Consideration</w:t>
      </w:r>
      <w:r>
        <w:rPr>
          <w:rFonts w:ascii="Times New Roman" w:hAnsi="Times New Roman"/>
          <w:sz w:val="20"/>
        </w:rPr>
        <w:t>” means the fair market value of non-cash consideration received by the Borrower or a Restricted Subsidiary in connection with an Asset Sale that is so designated as Designated Non-Cash Consideration pursuant to an Officer’s Certificate, setting forth the basis of such valuation, executed by a financial officer of the Borrower, less the amount of Cash Equivalents received within 180 days in connection with a subsequent sale, redemption or repurchase of or collection or payment on such Designated Non-Cash Consideration</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Designated Preferred Stock</w:t>
      </w:r>
      <w:r>
        <w:rPr>
          <w:rFonts w:ascii="Times New Roman" w:hAnsi="Times New Roman"/>
          <w:sz w:val="20"/>
        </w:rPr>
        <w:t xml:space="preserve">” means Preferred Stock of the Borrower or any direct or indirect parent company thereof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the applicable parent company thereof, as the case may be, on the issuance date thereof, the cash proceeds of which are excluded from the calculation set forth in clause (3) of Section 4.07(a) hereof.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Term Loan or the date the Term Loan is no longer outstanding; </w:t>
      </w:r>
      <w:r>
        <w:rPr>
          <w:rFonts w:ascii="Times New Roman" w:hAnsi="Times New Roman"/>
          <w:i/>
          <w:sz w:val="20"/>
        </w:rPr>
        <w:t xml:space="preserve">provided </w:t>
      </w:r>
      <w:r>
        <w:rPr>
          <w:rFonts w:ascii="Times New Roman" w:hAnsi="Times New Roman"/>
          <w:sz w:val="20"/>
        </w:rPr>
        <w:t xml:space="preserve">that any Capital Stock held by any future, current or former employee, director, officer, manager or consultant (or their respective Controlled Investment Affiliates or Immediate Family Members), of the Borrower, any of its Subsidiaries, any of its direct or indirect parent companies or any other entity in which the Borrower or a Restricted Subsidiary has an Investment and is designated in good faith as an “affiliate” by the board of directors of the Borrower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the Borrower or its Subsidiaries or in order to satisfy applicable statutory or regulatory obligations. Notwithstanding the preceding sentence, any Capital Stock that would constitute Disqualified Stock solely because the holders of the Capital Stock have the right to require the Borrower to repurchase such Capital Stock upon the occurrence of a change of control or an asset sale will not constitute Disqualified Stock if the terms of such Capital Stock provide that the Borrower may not repurchase or redeem any such Capital Stock pursuant to such provisions unless such repurchase or redemption complies with the terms of this Agreement. The amount of Disqualified Stock deemed to be outstanding at any time for purposes of this Agreement will be the maximum amount that the Borrower and its Restricted Subsidiaries may become obligated to pay upon the maturity of, or pursuant to any mandatory redemption provisions of, such Disqualified Stock, exclusive of accrued dividends. </w:t>
      </w:r>
    </w:p>
    <w:p>
      <w:pPr>
        <w:pStyle w:val="TextBody"/>
        <w:bidi w:val="0"/>
        <w:spacing w:before="240" w:after="0"/>
        <w:jc w:val="left"/>
        <w:rPr/>
      </w:pPr>
      <w:r>
        <w:rPr/>
        <w:t>“</w:t>
      </w:r>
      <w:r>
        <w:rPr>
          <w:rFonts w:ascii="Times New Roman" w:hAnsi="Times New Roman"/>
          <w:i/>
          <w:sz w:val="20"/>
        </w:rPr>
        <w:t>EBITDA</w:t>
      </w:r>
      <w:r>
        <w:rPr>
          <w:rFonts w:ascii="Times New Roman" w:hAnsi="Times New Roman"/>
          <w:sz w:val="20"/>
        </w:rPr>
        <w:t xml:space="preserve">” means, with respect to any Person for any period, the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the following, determined on a consolidated basis for such Person, in each case (other than clauses (h) and (k)) to the extent deducted (and not added back) in determining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(a) provision for taxes based on income or profits or capital, including, without limitation, federal, state, franchise, excise and similar taxes and foreign withholding taxes (including any future taxes or other levies which replace or are intended to be in lieu of such taxes and any penalties and interest related to such taxes or arising from tax examinations) and the net tax expense associated with any adjustments made pursuant to clauses (1) through (16) of the definition of “</w:t>
      </w:r>
      <w:r>
        <w:rPr>
          <w:rFonts w:ascii="Times New Roman" w:hAnsi="Times New Roman"/>
          <w:i/>
          <w:sz w:val="20"/>
        </w:rPr>
        <w:t>Consolidated Net Income</w:t>
      </w:r>
      <w:r>
        <w:rPr>
          <w:rFonts w:ascii="Times New Roman" w:hAnsi="Times New Roman"/>
          <w:sz w:val="20"/>
        </w:rPr>
        <w:t xml:space="preserve">”; </w:t>
      </w:r>
      <w:r>
        <w:rPr>
          <w:rFonts w:ascii="Times New Roman" w:hAnsi="Times New Roman"/>
          <w:i/>
          <w:sz w:val="20"/>
        </w:rPr>
        <w:t xml:space="preserve">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Fixed Charges of such Person for such period (including (x) net losses or Hedging Obligations or other derivative instruments entered into for the purpose of hedging interest rate risk, net of interest income and gains with respect to such obligations plus bank fees, (y) costs of surety bonds in connection with financing activities and (z) amounts excluded from Consolidated Interest Expense as set forth in clauses (a) through (g) in the definition thereof); </w:t>
      </w:r>
      <w:r>
        <w:rPr>
          <w:rFonts w:ascii="Times New Roman" w:hAnsi="Times New Roman"/>
          <w:i/>
          <w:sz w:val="20"/>
        </w:rPr>
        <w:t xml:space="preserve">plus </w:t>
      </w:r>
    </w:p>
    <w:p>
      <w:pPr>
        <w:pStyle w:val="TextBody"/>
        <w:bidi w:val="0"/>
        <w:spacing w:before="120" w:after="0"/>
        <w:jc w:val="left"/>
        <w:rPr>
          <w:rFonts w:ascii="Times New Roman" w:hAnsi="Times New Roman"/>
          <w:sz w:val="20"/>
        </w:rPr>
      </w:pPr>
      <w:r>
        <w:rPr>
          <w:rFonts w:ascii="Times New Roman" w:hAnsi="Times New Roman"/>
          <w:sz w:val="20"/>
        </w:rPr>
        <w:t xml:space="preserve">(c) Consolidated Depreciation and Amortization Expense of such Person for such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any restructuring charges, integration and facilities opening costs or other business optimization expenses, one-time restructuring costs incurred in connection with acquisitions made after the Closing Date, project start-up costs and costs related to the closure or consolidation of facilities;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other non-cash charges, including, without limitation, any write-offs or write-downs reducing Consolidated Net Income for such period; </w:t>
      </w:r>
      <w:r>
        <w:rPr>
          <w:rFonts w:ascii="Times New Roman" w:hAnsi="Times New Roman"/>
          <w:i/>
          <w:sz w:val="20"/>
        </w:rPr>
        <w:t xml:space="preserve">provided </w:t>
      </w:r>
      <w:r>
        <w:rPr>
          <w:rFonts w:ascii="Times New Roman" w:hAnsi="Times New Roman"/>
          <w:sz w:val="20"/>
        </w:rPr>
        <w:t xml:space="preserve">that if any such non-cash charges represent an accrual or reserve for potential cash items in any future period, the cash payment in respect thereof in such future period shall be subtracted from EBITDA to such extent, and excluding amortization of a prepaid cash item that was paid in a prior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amount of any minority interest expense consisting of Subsidiary income attributable to minority equity interests of third parties in any non-Wholly Owned Subsidiary;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the amount of “run-rate” cost savings projected by the Borrower in good faith to result from actions either taken or expected to be taken within 12 months of such period (which cost savings shall be (i) added back to EBITDA until realized, (ii) subject only to certification by management of the Borrower and (iii) calculated on a pro forma basis as though such cost savings had been realized on the first day of such period), net of the amount of actual benefits realized from such actions (it is understood and agreed that “run-rate” means the full recurring benefit that is associated with any action taken or expected to be taken, </w:t>
      </w:r>
      <w:r>
        <w:rPr>
          <w:rFonts w:ascii="Times New Roman" w:hAnsi="Times New Roman"/>
          <w:i/>
          <w:sz w:val="20"/>
        </w:rPr>
        <w:t xml:space="preserve">provided </w:t>
      </w:r>
      <w:r>
        <w:rPr>
          <w:rFonts w:ascii="Times New Roman" w:hAnsi="Times New Roman"/>
          <w:sz w:val="20"/>
        </w:rPr>
        <w:t>that some portion of such benefit is expected to be realized within 12 months of taking such action) (which adjustments may be incremental to pro forma cost savings, operating improvements, synergies and operating expense reductions made pursuant to the definition of “</w:t>
      </w:r>
      <w:r>
        <w:rPr>
          <w:rFonts w:ascii="Times New Roman" w:hAnsi="Times New Roman"/>
          <w:i/>
          <w:sz w:val="20"/>
        </w:rPr>
        <w:t>Fixed Charge Coverage Ratio</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costs or expense incurred by Holdings, the Borrower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the Borrower or net cash proceeds of an issuance of Equity Interest of Holdings or the Borrower (other than Disqualified Stock) solely to the extent that such net cash proceeds will not increase the amount available for Restricted Parties under Section 4.07hereof;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any net loss from discontinued operations;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cash receipts (or any netting arrangements resulting in reduced cash expenditures) not representing EBITDA or Consolidated Net Income in any period to the extent non-cash gains relating to such income were deducted in the calculation of EBITDA pursuant to clause (2) below for any previous period and not added back;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Initial Public Company Costs; </w:t>
      </w:r>
    </w:p>
    <w:p>
      <w:pPr>
        <w:pStyle w:val="TextBody"/>
        <w:bidi w:val="0"/>
        <w:spacing w:before="120" w:after="0"/>
        <w:jc w:val="left"/>
        <w:rPr>
          <w:rFonts w:ascii="Times New Roman" w:hAnsi="Times New Roman"/>
          <w:sz w:val="20"/>
        </w:rPr>
      </w:pPr>
      <w:r>
        <w:rPr>
          <w:rFonts w:ascii="Times New Roman" w:hAnsi="Times New Roman"/>
          <w:sz w:val="20"/>
        </w:rPr>
        <w:t xml:space="preserve">(2) decreased (without duplication) by the following, determined on a consolidated basis for such Person, in each case to the extent included in determining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non-cash gains increasing Consolidated Net Income of such Person for such period, excluding any non-cash gains to the extent they represent the reversal of an accrual or reserve for a potential cash item that reduced EBITDA in any prior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any non-cash gains with respect to cash actually received in a prior period unless such cash did not increase EBITDA in such prior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any net income from discontinued operations (excluding held-for-sale discontinued operations). </w:t>
      </w:r>
    </w:p>
    <w:p>
      <w:pPr>
        <w:pStyle w:val="TextBody"/>
        <w:bidi w:val="0"/>
        <w:spacing w:before="240" w:after="0"/>
        <w:jc w:val="left"/>
        <w:rPr/>
      </w:pPr>
      <w:r>
        <w:rPr/>
        <w:t>“</w:t>
      </w:r>
      <w:r>
        <w:rPr>
          <w:rFonts w:ascii="Times New Roman" w:hAnsi="Times New Roman"/>
          <w:i/>
          <w:sz w:val="20"/>
        </w:rPr>
        <w:t>EMU</w:t>
      </w:r>
      <w:r>
        <w:rPr>
          <w:rFonts w:ascii="Times New Roman" w:hAnsi="Times New Roman"/>
          <w:sz w:val="20"/>
        </w:rPr>
        <w:t xml:space="preserve">” means economic and monetary union as contemplated in the Treaty on European Union. </w:t>
      </w:r>
    </w:p>
    <w:p>
      <w:pPr>
        <w:pStyle w:val="TextBody"/>
        <w:bidi w:val="0"/>
        <w:spacing w:before="240" w:after="0"/>
        <w:jc w:val="left"/>
        <w:rPr/>
      </w:pPr>
      <w:r>
        <w:rPr/>
        <w:t>“</w:t>
      </w:r>
      <w:r>
        <w:rPr>
          <w:rFonts w:ascii="Times New Roman" w:hAnsi="Times New Roman"/>
          <w:i/>
          <w:sz w:val="20"/>
        </w:rPr>
        <w:t>Environmental Laws</w:t>
      </w:r>
      <w:r>
        <w:rPr>
          <w:rFonts w:ascii="Times New Roman" w:hAnsi="Times New Roman"/>
          <w:sz w:val="20"/>
        </w:rPr>
        <w:t xml:space="preserve">” means any and all Laws (including common law) relating to the protection of the environment or, to the extent relating to exposure to Hazardous Materials, human health. </w:t>
      </w:r>
    </w:p>
    <w:p>
      <w:pPr>
        <w:pStyle w:val="TextBody"/>
        <w:bidi w:val="0"/>
        <w:spacing w:before="240" w:after="0"/>
        <w:jc w:val="left"/>
        <w:rPr/>
      </w:pPr>
      <w:r>
        <w:rPr/>
        <w:t>“</w:t>
      </w:r>
      <w:r>
        <w:rPr>
          <w:rFonts w:ascii="Times New Roman" w:hAnsi="Times New Roman"/>
          <w:i/>
          <w:sz w:val="20"/>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any Loan Party or any of their respective Subsidiaries directly or indirectly resulting from or based upon (a) violation of any Environmental Law, (b) the generation, use, handling, transportation, storage, treatment or disposal of any Hazardous Materials, (c) human exposure to any Hazardous Materials, (d) the release or threatened release of any Hazardous Materials into the environment or (e) any contract, agreement or other binding consensual arrangement pursuant to which liability is assumed or imposed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Equity Interests</w:t>
      </w:r>
      <w:r>
        <w:rPr>
          <w:rFonts w:ascii="Times New Roman" w:hAnsi="Times New Roman"/>
          <w:sz w:val="20"/>
        </w:rPr>
        <w:t xml:space="preserve">” means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euro</w:t>
      </w:r>
      <w:r>
        <w:rPr>
          <w:rFonts w:ascii="Times New Roman" w:hAnsi="Times New Roman"/>
          <w:sz w:val="20"/>
        </w:rPr>
        <w:t xml:space="preserve">” means the single currency of participating member states of the EMU.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of the SEC promulgated thereunder. </w:t>
      </w:r>
    </w:p>
    <w:p>
      <w:pPr>
        <w:pStyle w:val="TextBody"/>
        <w:bidi w:val="0"/>
        <w:spacing w:before="240" w:after="0"/>
        <w:jc w:val="left"/>
        <w:rPr/>
      </w:pPr>
      <w:r>
        <w:rPr/>
        <w:t>“</w:t>
      </w:r>
      <w:r>
        <w:rPr>
          <w:rFonts w:ascii="Times New Roman" w:hAnsi="Times New Roman"/>
          <w:i/>
          <w:sz w:val="20"/>
        </w:rPr>
        <w:t>Exchangeable Notes</w:t>
      </w:r>
      <w:r>
        <w:rPr>
          <w:rFonts w:ascii="Times New Roman" w:hAnsi="Times New Roman"/>
          <w:sz w:val="20"/>
        </w:rPr>
        <w:t xml:space="preserve">” means the Borrower’s 7.00% Senior Exchangeable Notes due 2031 and any related guarantees. </w:t>
      </w:r>
    </w:p>
    <w:p>
      <w:pPr>
        <w:pStyle w:val="TextBody"/>
        <w:bidi w:val="0"/>
        <w:spacing w:before="240" w:after="0"/>
        <w:jc w:val="left"/>
        <w:rPr/>
      </w:pPr>
      <w:r>
        <w:rPr/>
        <w:t>“</w:t>
      </w:r>
      <w:r>
        <w:rPr>
          <w:rFonts w:ascii="Times New Roman" w:hAnsi="Times New Roman"/>
          <w:i/>
          <w:sz w:val="20"/>
        </w:rPr>
        <w:t>Excluded Contribution</w:t>
      </w:r>
      <w:r>
        <w:rPr>
          <w:rFonts w:ascii="Times New Roman" w:hAnsi="Times New Roman"/>
          <w:sz w:val="20"/>
        </w:rPr>
        <w:t xml:space="preserve">” means net cash proceeds, marketable securities or Qualified Proceeds received by the Borrower from: </w:t>
      </w:r>
    </w:p>
    <w:p>
      <w:pPr>
        <w:pStyle w:val="TextBody"/>
        <w:bidi w:val="0"/>
        <w:spacing w:before="120" w:after="0"/>
        <w:jc w:val="left"/>
        <w:rPr>
          <w:rFonts w:ascii="Times New Roman" w:hAnsi="Times New Roman"/>
          <w:sz w:val="20"/>
        </w:rPr>
      </w:pPr>
      <w:r>
        <w:rPr>
          <w:rFonts w:ascii="Times New Roman" w:hAnsi="Times New Roman"/>
          <w:sz w:val="20"/>
        </w:rPr>
        <w:t xml:space="preserve">(1) contributions to its common equity capital; and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Subsidiary of the Borrower or to any management equity plan or stock option plan or any other management or employee benefit plan or agreement of the Borrower) of Capital Stock (other than Disqualified Stock and Designated Preferred Stock)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by a financial officer of the Borrower within 30 days of the date such capital contributions are made or the date such Equity Interests are sold, as the case may be, which are excluded from the calculation set forth in clause (3) of Section 4.07(a) hereof.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means, with respect to any asset or liability, the fair market value of such asset or liability as determined by the Borrower in good faith</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pPr>
      <w:r>
        <w:rPr/>
        <w:t>“</w:t>
      </w:r>
      <w:r>
        <w:rPr>
          <w:rFonts w:ascii="Times New Roman" w:hAnsi="Times New Roman"/>
          <w:i/>
          <w:sz w:val="20"/>
        </w:rPr>
        <w:t>Federal Funds Rate</w:t>
      </w:r>
      <w:r>
        <w:rPr>
          <w:rFonts w:ascii="Times New Roman" w:hAnsi="Times New Roman"/>
          <w:sz w:val="20"/>
        </w:rPr>
        <w:t xml:space="preserve">” means, for any day, the rate per annum equal to the weighted average of the rates on overnight federal funds transactions, as published by the Federal Reserve Bank of New York on the Business Day next succeeding such day; </w:t>
      </w:r>
      <w:r>
        <w:rPr>
          <w:rFonts w:ascii="Times New Roman" w:hAnsi="Times New Roman"/>
          <w:i/>
          <w:sz w:val="20"/>
        </w:rPr>
        <w:t>provided</w:t>
      </w:r>
      <w:r>
        <w:rPr>
          <w:rFonts w:ascii="Times New Roman" w:hAnsi="Times New Roman"/>
          <w:sz w:val="20"/>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of the quotations (rounded upward, if necessary, to a whole multiple of 1/100 of 1%) for the day of such transactions received by the Administrative Agent from three commercial of recognized standing selected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First Lien Obligations</w:t>
      </w:r>
      <w:r>
        <w:rPr>
          <w:rFonts w:ascii="Times New Roman" w:hAnsi="Times New Roman"/>
          <w:sz w:val="20"/>
        </w:rPr>
        <w:t xml:space="preserve">” means, collectively, (a) all Senior Credit Facilities Obligations, (b) the Notes Obligations, (c) the Loan Obligations and (d) any other Series of Additional First Lien Obligations. </w:t>
      </w:r>
    </w:p>
    <w:p>
      <w:pPr>
        <w:pStyle w:val="TextBody"/>
        <w:bidi w:val="0"/>
        <w:spacing w:before="240" w:after="0"/>
        <w:jc w:val="left"/>
        <w:rPr/>
      </w:pPr>
      <w:r>
        <w:rPr/>
        <w:t>“</w:t>
      </w:r>
      <w:r>
        <w:rPr>
          <w:rFonts w:ascii="Times New Roman" w:hAnsi="Times New Roman"/>
          <w:i/>
          <w:sz w:val="20"/>
        </w:rPr>
        <w:t>First Lien Secured Parties</w:t>
      </w:r>
      <w:r>
        <w:rPr>
          <w:rFonts w:ascii="Times New Roman" w:hAnsi="Times New Roman"/>
          <w:sz w:val="20"/>
        </w:rPr>
        <w:t>” means (a) the Administrative Agent and each co-agent or sub-agent appointed by the Administrative Agent from time to time pursuant to Section 7.02, (b) the Lender, (c) the “</w:t>
      </w:r>
      <w:r>
        <w:rPr>
          <w:rFonts w:ascii="Times New Roman" w:hAnsi="Times New Roman"/>
          <w:i/>
          <w:sz w:val="20"/>
        </w:rPr>
        <w:t>Secured Parties</w:t>
      </w:r>
      <w:r>
        <w:rPr>
          <w:rFonts w:ascii="Times New Roman" w:hAnsi="Times New Roman"/>
          <w:sz w:val="20"/>
        </w:rPr>
        <w:t>,” as defined in the Senior Credit Facilities, (d) the “</w:t>
      </w:r>
      <w:r>
        <w:rPr>
          <w:rFonts w:ascii="Times New Roman" w:hAnsi="Times New Roman"/>
          <w:i/>
          <w:sz w:val="20"/>
        </w:rPr>
        <w:t>Secured Parties</w:t>
      </w:r>
      <w:r>
        <w:rPr>
          <w:rFonts w:ascii="Times New Roman" w:hAnsi="Times New Roman"/>
          <w:sz w:val="20"/>
        </w:rPr>
        <w:t xml:space="preserve">,” as defined in the Security Documents and (e) any Additional First Lien Secured Parties. </w:t>
      </w:r>
    </w:p>
    <w:p>
      <w:pPr>
        <w:pStyle w:val="TextBody"/>
        <w:bidi w:val="0"/>
        <w:spacing w:before="240" w:after="0"/>
        <w:jc w:val="left"/>
        <w:rPr/>
      </w:pPr>
      <w:r>
        <w:rPr/>
        <w:t>“</w:t>
      </w:r>
      <w:r>
        <w:rPr>
          <w:rFonts w:ascii="Times New Roman" w:hAnsi="Times New Roman"/>
          <w:i/>
          <w:sz w:val="20"/>
        </w:rPr>
        <w:t>Fiscal Year</w:t>
      </w:r>
      <w:r>
        <w:rPr>
          <w:rFonts w:ascii="Times New Roman" w:hAnsi="Times New Roman"/>
          <w:sz w:val="20"/>
        </w:rPr>
        <w:t xml:space="preserve">” means a fiscal year of Borrower or Holdings (as the context may require), ending on December 31 of each calendar year.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Inc., or any successor to its rating agency business. </w:t>
      </w:r>
    </w:p>
    <w:p>
      <w:pPr>
        <w:pStyle w:val="TextBody"/>
        <w:bidi w:val="0"/>
        <w:spacing w:before="240" w:after="0"/>
        <w:jc w:val="left"/>
        <w:rPr/>
      </w:pPr>
      <w:r>
        <w:rPr/>
        <w:t>“</w:t>
      </w:r>
      <w:r>
        <w:rPr>
          <w:rFonts w:ascii="Times New Roman" w:hAnsi="Times New Roman"/>
          <w:i/>
          <w:sz w:val="20"/>
        </w:rPr>
        <w:t>Fixed Charge Coverage Ratio</w:t>
      </w:r>
      <w:r>
        <w:rPr>
          <w:rFonts w:ascii="Times New Roman" w:hAnsi="Times New Roman"/>
          <w:sz w:val="20"/>
        </w:rPr>
        <w:t>” means, with respect to any Person for any period, the ratio of EBITDA of such Person for such period to the Fixed Charges of such Person for such period. In the event that Holdings, the Borrower or any Restricted Subsidiary (or such other Person for which the Fixed Charge Coverage Ratio is being calculated (together with its Restricted Subsidiaries, a “</w:t>
      </w:r>
      <w:r>
        <w:rPr>
          <w:rFonts w:ascii="Times New Roman" w:hAnsi="Times New Roman"/>
          <w:i/>
          <w:sz w:val="20"/>
        </w:rPr>
        <w:t>Specified Person</w:t>
      </w:r>
      <w:r>
        <w:rPr>
          <w:rFonts w:ascii="Times New Roman" w:hAnsi="Times New Roman"/>
          <w:sz w:val="20"/>
        </w:rPr>
        <w:t>”)) incurs, assumes, guarantees, redeems, repays, retires or extinguishes any Indebtedness (other than Indebtedness incurred or repaid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Times New Roman" w:hAnsi="Times New Roman"/>
          <w:i/>
          <w:sz w:val="20"/>
        </w:rPr>
        <w:t>Fixed Charge Coverage Ratio Calculation Date</w:t>
      </w:r>
      <w:r>
        <w:rPr>
          <w:rFonts w:ascii="Times New Roman" w:hAnsi="Times New Roman"/>
          <w:sz w:val="20"/>
        </w:rPr>
        <w:t xml:space="preserve">”), then the Fixed Charge Coverage Ratio shall be calculated giving pro forma effect to such incurrence, assumption, guarantee, redemption, repayment, retirement or extinguishment of Indebtedness, or such issuance or redemption of Disqualified Stock or Preferred Stock, as if the same had occurred at the beginning of the applicable four-quarter period. </w:t>
      </w:r>
    </w:p>
    <w:p>
      <w:pPr>
        <w:pStyle w:val="TextBody"/>
        <w:bidi w:val="0"/>
        <w:spacing w:before="240" w:after="0"/>
        <w:jc w:val="left"/>
        <w:rPr>
          <w:rFonts w:ascii="Times New Roman" w:hAnsi="Times New Roman"/>
          <w:sz w:val="20"/>
        </w:rPr>
      </w:pPr>
      <w:r>
        <w:rPr>
          <w:rFonts w:ascii="Times New Roman" w:hAnsi="Times New Roman"/>
          <w:sz w:val="20"/>
        </w:rPr>
        <w:t xml:space="preserve">The Fixed Charge Coverage Ratio shall be calculated assuming the Reserved Indebtedness Amount as of the Fixed Charge Coverage Ratio Calculation Date were outstanding throughout the four-quarter reference period and calculated on a pro forma basis assuming that each Specified Transaction engaged in by Holdings, the Borrower or any of its Restricted Subsidiaries (or such other Specified Person) during the four-quarter reference period or subsequent to such reference period and on or prior to or simultaneously with the Fixed Charge Coverage Ratio Calculation Date assuming that each such Specified Transaction (and the change in any associated fixed charge obligations and the change in EBITDA resulting therefrom) had occurred on the first day of the four-quarter reference period. If since the beginning of such period any Person that subsequently became a Restricted Subsidiary or was merged, amalgamated or consolidated with or into Holdings, the Borrower or any of its Restricted Subsidiaries (or such other Specified Person) since the beginning of such period shall have engaged in any Specified Transaction, then the Fixed Charge Coverage Ratio shall be calculated giving pro forma effect thereto for such period as if such Specified Transaction had occurred at the beginning of the applicable four-quarter period. Notwithstanding the foregoing, at the election of the Borrower, pro forma effect need not be given to any Specified Transaction referred to in clause (a), (c), (d) or (e) of the definition thereof involving consideration of $50,000,000 or less or any Specified Transaction referred to in clause (b) or (f) of the definition thereof involving fair value of $50,000,000 or less as determined in good faith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definition, whenever pro forma effect is to be given to a Specified Transaction, the pro forma calculations shall be made in good faith by a responsible financial or accounting officer of Holdings or the Borrower (or such other Specified Person) (and may include, for the avoidance of doubt, reasonably identifiable and factually supportable cost savings, operating improvements, synergies and operating expense reductions resulting from such Specified Transaction that have been or are expected to be realized).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Holdings or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 </w:t>
      </w:r>
    </w:p>
    <w:p>
      <w:pPr>
        <w:pStyle w:val="TextBody"/>
        <w:bidi w:val="0"/>
        <w:spacing w:before="240" w:after="0"/>
        <w:jc w:val="left"/>
        <w:rPr/>
      </w:pPr>
      <w:r>
        <w:rPr/>
        <w:t>“</w:t>
      </w:r>
      <w:r>
        <w:rPr>
          <w:rFonts w:ascii="Times New Roman" w:hAnsi="Times New Roman"/>
          <w:i/>
          <w:sz w:val="20"/>
        </w:rPr>
        <w:t>Fixed Charges</w:t>
      </w:r>
      <w:r>
        <w:rPr>
          <w:rFonts w:ascii="Times New Roman" w:hAnsi="Times New Roman"/>
          <w:sz w:val="20"/>
        </w:rPr>
        <w:t xml:space="preserve">” means, with respect to any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(2) all dividends or other distributions paid to any Person other than such Person or any of its Restricted Subsidiaries (excluding items eliminated in consolidation) on any series of Preferred Stock of Holdings, the Borrower or a Restricted Subsidiary (or such other Specified Person or any of its Restricted Subsidiaries) during such period, excluding distributions in the form of additional Preferred Stock of Holdings; and </w:t>
      </w:r>
    </w:p>
    <w:p>
      <w:pPr>
        <w:pStyle w:val="TextBody"/>
        <w:bidi w:val="0"/>
        <w:spacing w:before="120" w:after="0"/>
        <w:jc w:val="left"/>
        <w:rPr>
          <w:rFonts w:ascii="Times New Roman" w:hAnsi="Times New Roman"/>
          <w:sz w:val="20"/>
        </w:rPr>
      </w:pPr>
      <w:r>
        <w:rPr>
          <w:rFonts w:ascii="Times New Roman" w:hAnsi="Times New Roman"/>
          <w:sz w:val="20"/>
        </w:rPr>
        <w:t xml:space="preserve">(3) all dividends or other distributions paid to any Person other than such Person or any of its Restricted Subsidiaries (excluding items eliminated in consolidation) on any series of Disqualified Stock of Holdings, the Borrower or a Restricted Subsidiary (or such other Specified Person or any of its Restricted Subsidiaries) during such period, excluding distributions in the form of additional Preferred Stock of Holdings.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with respect to any Person, any Restricted Subsidiary of such Person that is not organized or existing under the laws of the United States, any state thereof or the District of Columbia and any Restricted Subsidiary of such Foreign Subsidiary. </w:t>
      </w:r>
    </w:p>
    <w:p>
      <w:pPr>
        <w:pStyle w:val="TextBody"/>
        <w:bidi w:val="0"/>
        <w:spacing w:before="240" w:after="0"/>
        <w:jc w:val="left"/>
        <w:rPr/>
      </w:pPr>
      <w:r>
        <w:rPr/>
        <w:t>“</w:t>
      </w:r>
      <w:r>
        <w:rPr>
          <w:rFonts w:ascii="Times New Roman" w:hAnsi="Times New Roman"/>
          <w:i/>
          <w:sz w:val="20"/>
        </w:rPr>
        <w:t>Former 2019 Notes Indenture</w:t>
      </w:r>
      <w:r>
        <w:rPr>
          <w:rFonts w:ascii="Times New Roman" w:hAnsi="Times New Roman"/>
          <w:sz w:val="20"/>
        </w:rPr>
        <w:t xml:space="preserve">” means that certain indenture, dated as of May 9, 2012, with Wells Fargo Bank, National Association, as trustee, as modified by the first supplemental indenture dated as of December 31, 2012, with Wells Fargo Bank, National Association, as trustee, and as the same may have been amended, supplemented or otherwise modified, renewed, refunded, replaced or refinanced, in whole or in part,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Former April 2023 Notes</w:t>
      </w:r>
      <w:r>
        <w:rPr>
          <w:rFonts w:ascii="Times New Roman" w:hAnsi="Times New Roman"/>
          <w:sz w:val="20"/>
        </w:rPr>
        <w:t xml:space="preserve">” means the Borrower’s 5.375% Senior Secured Notes due 2023, issued pursuant to the Former April 2023 Notes Indenture, in an original principal amount of $530,000,000, no amount of which is outstanding as of the Closing Date. </w:t>
      </w:r>
    </w:p>
    <w:p>
      <w:pPr>
        <w:pStyle w:val="TextBody"/>
        <w:bidi w:val="0"/>
        <w:spacing w:before="240" w:after="0"/>
        <w:jc w:val="left"/>
        <w:rPr/>
      </w:pPr>
      <w:r>
        <w:rPr/>
        <w:t>“</w:t>
      </w:r>
      <w:r>
        <w:rPr>
          <w:rFonts w:ascii="Times New Roman" w:hAnsi="Times New Roman"/>
          <w:i/>
          <w:sz w:val="20"/>
        </w:rPr>
        <w:t>Former April 2023 Notes Indenture</w:t>
      </w:r>
      <w:r>
        <w:rPr>
          <w:rFonts w:ascii="Times New Roman" w:hAnsi="Times New Roman"/>
          <w:sz w:val="20"/>
        </w:rPr>
        <w:t xml:space="preserve">” means that certain indenture, dated as of April 14, 2015, with Wells Fargo Bank, National Association, as trustee and collateral agent, as the same may have been amended, supplemented or otherwise modified, renewed, refunded, replaced or refinanced, in whole or in part, from time to time. </w:t>
      </w:r>
    </w:p>
    <w:p>
      <w:pPr>
        <w:pStyle w:val="TextBody"/>
        <w:bidi w:val="0"/>
        <w:spacing w:before="240" w:after="0"/>
        <w:jc w:val="left"/>
        <w:rPr/>
      </w:pPr>
      <w:r>
        <w:rPr/>
        <w:t>“</w:t>
      </w:r>
      <w:r>
        <w:rPr>
          <w:rFonts w:ascii="Times New Roman" w:hAnsi="Times New Roman"/>
          <w:i/>
          <w:sz w:val="20"/>
        </w:rPr>
        <w:t>Former November 2023 Notes</w:t>
      </w:r>
      <w:r>
        <w:rPr>
          <w:rFonts w:ascii="Times New Roman" w:hAnsi="Times New Roman"/>
          <w:sz w:val="20"/>
        </w:rPr>
        <w:t xml:space="preserve">” means the Borrower’s 5.250% Senior Secured Notes due 2023, issued pursuant to the Former November 2023 Notes Indenture, in an original principal amount of $500,000,000, no amount of which is outstanding as of the Closing Date. </w:t>
      </w:r>
    </w:p>
    <w:p>
      <w:pPr>
        <w:pStyle w:val="TextBody"/>
        <w:bidi w:val="0"/>
        <w:spacing w:before="240" w:after="0"/>
        <w:jc w:val="left"/>
        <w:rPr/>
      </w:pPr>
      <w:r>
        <w:rPr/>
        <w:t>“</w:t>
      </w:r>
      <w:r>
        <w:rPr>
          <w:rFonts w:ascii="Times New Roman" w:hAnsi="Times New Roman"/>
          <w:i/>
          <w:sz w:val="20"/>
        </w:rPr>
        <w:t>Former November 2023 Notes Indenture</w:t>
      </w:r>
      <w:r>
        <w:rPr>
          <w:rFonts w:ascii="Times New Roman" w:hAnsi="Times New Roman"/>
          <w:sz w:val="20"/>
        </w:rPr>
        <w:t xml:space="preserve">” means that certain indenture, dated as of November 9, 2015, with Wells Fargo Bank, National Association, as trustee and collateral agent, as the same may have been amended, supplemented or otherwise modified, renewed, refunded, replaced or refinanced, in whole or in part, from time to time. </w:t>
      </w:r>
    </w:p>
    <w:p>
      <w:pPr>
        <w:pStyle w:val="TextBody"/>
        <w:bidi w:val="0"/>
        <w:spacing w:before="240" w:after="0"/>
        <w:jc w:val="left"/>
        <w:rPr/>
      </w:pPr>
      <w:r>
        <w:rPr/>
        <w:t>“</w:t>
      </w:r>
      <w:r>
        <w:rPr>
          <w:rFonts w:ascii="Times New Roman" w:hAnsi="Times New Roman"/>
          <w:i/>
          <w:sz w:val="20"/>
        </w:rPr>
        <w:t>Former</w:t>
      </w:r>
      <w:r>
        <w:rPr>
          <w:rFonts w:ascii="Times New Roman" w:hAnsi="Times New Roman"/>
          <w:sz w:val="20"/>
        </w:rPr>
        <w:t xml:space="preserve"> </w:t>
      </w:r>
      <w:r>
        <w:rPr>
          <w:rFonts w:ascii="Times New Roman" w:hAnsi="Times New Roman"/>
          <w:i/>
          <w:sz w:val="20"/>
        </w:rPr>
        <w:t>September 2025 Notes</w:t>
      </w:r>
      <w:r>
        <w:rPr>
          <w:rFonts w:ascii="Times New Roman" w:hAnsi="Times New Roman"/>
          <w:sz w:val="20"/>
        </w:rPr>
        <w:t xml:space="preserve">” means the Borrower’s 7.375% Senior Secured Notes due 2025 issued pursuant to the Former September 2025 Notes Indenture, no amount of which is outstanding as of the Closing Date. </w:t>
      </w:r>
    </w:p>
    <w:p>
      <w:pPr>
        <w:pStyle w:val="TextBody"/>
        <w:bidi w:val="0"/>
        <w:spacing w:before="240" w:after="0"/>
        <w:jc w:val="left"/>
        <w:rPr/>
      </w:pPr>
      <w:r>
        <w:rPr/>
        <w:t>“</w:t>
      </w:r>
      <w:r>
        <w:rPr>
          <w:rFonts w:ascii="Times New Roman" w:hAnsi="Times New Roman"/>
          <w:i/>
          <w:sz w:val="20"/>
        </w:rPr>
        <w:t>Former September 2025 Notes Indenture</w:t>
      </w:r>
      <w:r>
        <w:rPr>
          <w:rFonts w:ascii="Times New Roman" w:hAnsi="Times New Roman"/>
          <w:sz w:val="20"/>
        </w:rPr>
        <w:t xml:space="preserve">” means that certain indenture, dated as of August 27, 2020, with Wells Fargo Bank, National Association, as trustee and collateral agent, as the same may have been amended, supplemented or otherwise modified, renewed, refunded, replaced or refinanced, in whole or in part, from time to time.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as in effect from time to time, except for any change occurring after the Closing Date in GAAP, in the event the Borrower delivers notice to the Administrative Agent within 30 days of entry into effect of such change that such change will not apply for any determinations under this Agreement; provided that all calculations and determinations by the Borrower (other than in financial statements and related information filed, furnished or posted pursuant to Section 4.03 hereof) related to leases and lease expenses under this Agreement shall be made by application of applicable accounting principles immediately prior to the entry into effect of Accounting Standards Codification Topic 842, </w:t>
      </w:r>
      <w:r>
        <w:rPr>
          <w:rFonts w:ascii="Times New Roman" w:hAnsi="Times New Roman"/>
          <w:i/>
          <w:sz w:val="20"/>
        </w:rPr>
        <w:t>Leases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Governmental Authority</w:t>
      </w:r>
      <w:r>
        <w:rPr>
          <w:rFonts w:ascii="Times New Roman" w:hAnsi="Times New Roman"/>
          <w:sz w:val="20"/>
        </w:rPr>
        <w:t xml:space="preserve">”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w:t>
      </w:r>
    </w:p>
    <w:p>
      <w:pPr>
        <w:pStyle w:val="TextBody"/>
        <w:bidi w:val="0"/>
        <w:spacing w:before="240" w:after="0"/>
        <w:jc w:val="left"/>
        <w:rPr/>
      </w:pPr>
      <w:r>
        <w:rPr/>
        <w:t>“</w:t>
      </w:r>
      <w:r>
        <w:rPr>
          <w:rFonts w:ascii="Times New Roman" w:hAnsi="Times New Roman"/>
          <w:i/>
          <w:sz w:val="20"/>
        </w:rPr>
        <w:t>Government Securities</w:t>
      </w:r>
      <w:r>
        <w:rPr>
          <w:rFonts w:ascii="Times New Roman" w:hAnsi="Times New Roman"/>
          <w:sz w:val="20"/>
        </w:rPr>
        <w:t xml:space="preserve">” means securities that are: </w:t>
      </w:r>
    </w:p>
    <w:p>
      <w:pPr>
        <w:pStyle w:val="TextBody"/>
        <w:bidi w:val="0"/>
        <w:spacing w:before="120" w:after="0"/>
        <w:jc w:val="left"/>
        <w:rPr>
          <w:rFonts w:ascii="Times New Roman" w:hAnsi="Times New Roman"/>
          <w:sz w:val="20"/>
        </w:rPr>
      </w:pPr>
      <w:r>
        <w:rPr>
          <w:rFonts w:ascii="Times New Roman" w:hAnsi="Times New Roman"/>
          <w:sz w:val="20"/>
        </w:rPr>
        <w:t xml:space="preserve">(1) direct obligations of the United States of America for the timely payment of which its full faith and credit is pledged; or </w:t>
      </w:r>
    </w:p>
    <w:p>
      <w:pPr>
        <w:pStyle w:val="TextBody"/>
        <w:bidi w:val="0"/>
        <w:spacing w:before="120" w:after="0"/>
        <w:jc w:val="left"/>
        <w:rPr>
          <w:rFonts w:ascii="Times New Roman" w:hAnsi="Times New Roman"/>
          <w:sz w:val="20"/>
        </w:rPr>
      </w:pPr>
      <w:r>
        <w:rPr>
          <w:rFonts w:ascii="Times New Roman" w:hAnsi="Times New Roman"/>
          <w:sz w:val="20"/>
        </w:rPr>
        <w:t xml:space="preserve">(2) obligations of a Person controlled or supervised by and acting as an agency or instrumentality of the United States of America the timely payment of which is unconditionally guaranteed as a full faith and credit obligation by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 w:hAnsi="Times New Roman"/>
          <w:i/>
          <w:sz w:val="20"/>
        </w:rPr>
        <w:t xml:space="preserve">provided </w:t>
      </w:r>
      <w:r>
        <w:rPr>
          <w:rFonts w:ascii="Times New Roman" w:hAnsi="Times New Roman"/>
          <w:sz w:val="20"/>
        </w:rPr>
        <w:t xml:space="preserve">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letters of credit and reimbursement agreements in respect thereof), of all or any part of any Indebtedness or other monetary obligations.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means the guarantee by any Guarantor of the Borrower’s Obligations under this Agreement as evidenced by the guaranty (the “</w:t>
      </w:r>
      <w:r>
        <w:rPr>
          <w:rFonts w:ascii="Times New Roman" w:hAnsi="Times New Roman"/>
          <w:i/>
          <w:sz w:val="20"/>
        </w:rPr>
        <w:t>Guaranty</w:t>
      </w:r>
      <w:r>
        <w:rPr>
          <w:rFonts w:ascii="Times New Roman" w:hAnsi="Times New Roman"/>
          <w:sz w:val="20"/>
        </w:rPr>
        <w:t xml:space="preserve">”) made by each Guarantor in favor of the Administrative Agent on behalf of the Secured Parties pursuant to Article 11 hereof. </w:t>
      </w:r>
    </w:p>
    <w:p>
      <w:pPr>
        <w:pStyle w:val="TextBody"/>
        <w:bidi w:val="0"/>
        <w:spacing w:before="240" w:after="0"/>
        <w:jc w:val="left"/>
        <w:rPr/>
      </w:pPr>
      <w:r>
        <w:rPr/>
        <w:t>“</w:t>
      </w:r>
      <w:r>
        <w:rPr>
          <w:rFonts w:ascii="Times New Roman" w:hAnsi="Times New Roman"/>
          <w:i/>
          <w:sz w:val="20"/>
        </w:rPr>
        <w:t>Guarantor</w:t>
      </w:r>
      <w:r>
        <w:rPr>
          <w:rFonts w:ascii="Times New Roman" w:hAnsi="Times New Roman"/>
          <w:sz w:val="20"/>
        </w:rPr>
        <w:t xml:space="preserve">” means Holdings and each Subsidiary Guarantor. </w:t>
      </w:r>
    </w:p>
    <w:p>
      <w:pPr>
        <w:pStyle w:val="TextBody"/>
        <w:bidi w:val="0"/>
        <w:spacing w:before="240" w:after="0"/>
        <w:jc w:val="left"/>
        <w:rPr/>
      </w:pPr>
      <w:r>
        <w:rPr/>
        <w:t>“</w:t>
      </w:r>
      <w:r>
        <w:rPr>
          <w:rFonts w:ascii="Times New Roman" w:hAnsi="Times New Roman"/>
          <w:i/>
          <w:sz w:val="20"/>
        </w:rPr>
        <w:t>Hazardous Materials</w:t>
      </w:r>
      <w:r>
        <w:rPr>
          <w:rFonts w:ascii="Times New Roman" w:hAnsi="Times New Roman"/>
          <w:sz w:val="20"/>
        </w:rPr>
        <w:t xml:space="preserve">” means all explosive or radioactive substances or wastes, all hazardous or toxic substances, and all wastes or pollutants, including petroleum or petroleum distillates, asbestos or asbestos-containing materials, polychlorinated biphenyls, radon gas and infectious or medical wastes regulated pursuant to any Environmental Law. </w:t>
      </w:r>
    </w:p>
    <w:p>
      <w:pPr>
        <w:pStyle w:val="TextBody"/>
        <w:bidi w:val="0"/>
        <w:spacing w:before="240" w:after="0"/>
        <w:jc w:val="left"/>
        <w:rPr/>
      </w:pPr>
      <w:r>
        <w:rPr/>
        <w:t>“</w:t>
      </w:r>
      <w:r>
        <w:rPr>
          <w:rFonts w:ascii="Times New Roman" w:hAnsi="Times New Roman"/>
          <w:i/>
          <w:sz w:val="20"/>
        </w:rPr>
        <w:t>Headquarters</w:t>
      </w:r>
      <w:r>
        <w:rPr>
          <w:rFonts w:ascii="Times New Roman" w:hAnsi="Times New Roman"/>
          <w:sz w:val="20"/>
        </w:rPr>
        <w:t xml:space="preserve">” means the properties (including buildings and real property) located in Southland, Texas and comprising Holdings’ corporate headquarters. </w:t>
      </w:r>
    </w:p>
    <w:p>
      <w:pPr>
        <w:pStyle w:val="TextBody"/>
        <w:bidi w:val="0"/>
        <w:spacing w:before="240" w:after="0"/>
        <w:jc w:val="left"/>
        <w:rPr/>
      </w:pPr>
      <w:r>
        <w:rPr/>
        <w:t>“</w:t>
      </w:r>
      <w:r>
        <w:rPr>
          <w:rFonts w:ascii="Times New Roman" w:hAnsi="Times New Roman"/>
          <w:i/>
          <w:sz w:val="20"/>
        </w:rPr>
        <w:t>Headquarters Financing</w:t>
      </w:r>
      <w:r>
        <w:rPr>
          <w:rFonts w:ascii="Times New Roman" w:hAnsi="Times New Roman"/>
          <w:sz w:val="20"/>
        </w:rPr>
        <w:t xml:space="preserve">” means any financing transaction principally secured by or involving a sale and leaseback of the Headquarters. </w:t>
      </w:r>
    </w:p>
    <w:p>
      <w:pPr>
        <w:pStyle w:val="TextBody"/>
        <w:bidi w:val="0"/>
        <w:spacing w:before="240" w:after="0"/>
        <w:jc w:val="left"/>
        <w:rPr/>
      </w:pPr>
      <w:r>
        <w:rPr/>
        <w:t>“</w:t>
      </w:r>
      <w:r>
        <w:rPr>
          <w:rFonts w:ascii="Times New Roman" w:hAnsi="Times New Roman"/>
          <w:i/>
          <w:sz w:val="20"/>
        </w:rPr>
        <w:t>Headquarters SPV</w:t>
      </w:r>
      <w:r>
        <w:rPr>
          <w:rFonts w:ascii="Times New Roman" w:hAnsi="Times New Roman"/>
          <w:sz w:val="20"/>
        </w:rPr>
        <w:t xml:space="preserve">” means Sabre Headquarters, LLC, a Delaware limited liability company.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i/>
          <w:sz w:val="20"/>
        </w:rPr>
        <w:t>Master Agreement</w:t>
      </w:r>
      <w:r>
        <w:rPr>
          <w:rFonts w:ascii="Times New Roman" w:hAnsi="Times New Roman"/>
          <w:sz w:val="20"/>
        </w:rPr>
        <w:t xml:space="preserve">”), including any such obligations or liabilities under any Master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Holders of the Lender Notes</w:t>
      </w:r>
      <w:r>
        <w:rPr>
          <w:rFonts w:ascii="Times New Roman" w:hAnsi="Times New Roman"/>
          <w:sz w:val="20"/>
        </w:rPr>
        <w:t xml:space="preserve">” means each Person in whose name a Lender Note is registered on the Lender’s registrar’s books. </w:t>
      </w:r>
    </w:p>
    <w:p>
      <w:pPr>
        <w:pStyle w:val="TextBody"/>
        <w:bidi w:val="0"/>
        <w:spacing w:before="240" w:after="0"/>
        <w:jc w:val="left"/>
        <w:rPr/>
      </w:pPr>
      <w:r>
        <w:rPr/>
        <w:t>“</w:t>
      </w:r>
      <w:r>
        <w:rPr>
          <w:rFonts w:ascii="Times New Roman" w:hAnsi="Times New Roman"/>
          <w:i/>
          <w:sz w:val="20"/>
        </w:rPr>
        <w:t>Holdings</w:t>
      </w:r>
      <w:r>
        <w:rPr>
          <w:rFonts w:ascii="Times New Roman" w:hAnsi="Times New Roman"/>
          <w:sz w:val="20"/>
        </w:rPr>
        <w:t xml:space="preserve">” means Sabre Holdings Corporation, a Delaware corporation and the direct parent of the Borrower. </w:t>
      </w:r>
    </w:p>
    <w:p>
      <w:pPr>
        <w:pStyle w:val="TextBody"/>
        <w:bidi w:val="0"/>
        <w:spacing w:before="240" w:after="0"/>
        <w:jc w:val="left"/>
        <w:rPr/>
      </w:pPr>
      <w:r>
        <w:rPr/>
        <w:t>“</w:t>
      </w:r>
      <w:r>
        <w:rPr>
          <w:rFonts w:ascii="Times New Roman" w:hAnsi="Times New Roman"/>
          <w:i/>
          <w:sz w:val="20"/>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(including principal and premium)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(a)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(b) evidenced by bonds, notes, debentures or similar instruments or letters of credit or bankers’ acceptances (or, without duplication,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(c) representing the balance deferred and unpaid of the purchase price of any property (including Capitalized Lease Obligations) due more than twelve months after such property is acquired, except (i) any such balance that constitutes an obligation in respect of a commercial letter of credit, a trade payable or similar obligation to a trade creditor, in each case accrued in the ordinary course of business, (ii) any earn-out obligations until such obligation becomes a liability on the balance sheet of such Person in accordance with GAAP and if not paid after becoming due and payable and any purchase price holdbacks in respect of a portion of the purchase price of an asset to satisfy warranty or other unperformed obligations of the seller and (iii) accruals for payroll and other liabilities accrued in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(d) representing net obligations under any Hedging Obligation;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of the foregoing Indebtedness (other than letters of credit and Hedging Obligations) would appear as a liability upon a balance sheet (excluding the footnotes thereto) of such Person prepared in accordance with GAAP; </w:t>
      </w:r>
      <w:r>
        <w:rPr>
          <w:rFonts w:ascii="Times New Roman" w:hAnsi="Times New Roman"/>
          <w:i/>
          <w:sz w:val="20"/>
        </w:rPr>
        <w:t xml:space="preserve">provided </w:t>
      </w:r>
      <w:r>
        <w:rPr>
          <w:rFonts w:ascii="Times New Roman" w:hAnsi="Times New Roman"/>
          <w:sz w:val="20"/>
        </w:rPr>
        <w:t xml:space="preserve">that Indebtedness of any direct or indirect parent of such Person appearing upon the balance sheet of such Person solely by reason of push-down accounting under GAAP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not otherwise included, the obligations of the type referred to in clause (1) of a third Person secured by a Lien on any asset owned by such first Person, whether or not such Indebtedness is assumed by such first Person;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notwithstanding the foregoing, Indebtedness shall be deemed not to include (a) Contingent Obligations incurred in the ordinary course of business or (b) obligations under or in respect of a Qualified Securitization Financing. </w:t>
      </w:r>
    </w:p>
    <w:p>
      <w:pPr>
        <w:pStyle w:val="TextBody"/>
        <w:bidi w:val="0"/>
        <w:spacing w:before="240" w:after="0"/>
        <w:jc w:val="left"/>
        <w:rPr/>
      </w:pPr>
      <w:r>
        <w:rPr/>
        <w:t>“</w:t>
      </w:r>
      <w:r>
        <w:rPr>
          <w:rFonts w:ascii="Times New Roman" w:hAnsi="Times New Roman"/>
          <w:i/>
          <w:sz w:val="20"/>
        </w:rPr>
        <w:t>Independent Financial Advisor</w:t>
      </w:r>
      <w:r>
        <w:rPr>
          <w:rFonts w:ascii="Times New Roman" w:hAnsi="Times New Roman"/>
          <w:sz w:val="20"/>
        </w:rPr>
        <w:t xml:space="preserve">” means an accounting, appraisal, investment banking firm or consultant to Persons engaged in Similar Businesses of nationally recognized standing that is, in the good faith judgment of Holdings, qualified to perform the task for which it has been engaged. </w:t>
      </w:r>
    </w:p>
    <w:p>
      <w:pPr>
        <w:pStyle w:val="TextBody"/>
        <w:bidi w:val="0"/>
        <w:spacing w:before="240" w:after="0"/>
        <w:jc w:val="left"/>
        <w:rPr/>
      </w:pPr>
      <w:r>
        <w:rPr/>
        <w:t>“</w:t>
      </w:r>
      <w:r>
        <w:rPr>
          <w:rFonts w:ascii="Times New Roman" w:hAnsi="Times New Roman"/>
          <w:i/>
          <w:sz w:val="20"/>
        </w:rPr>
        <w:t>Initial Public Company Costs</w:t>
      </w:r>
      <w:r>
        <w:rPr>
          <w:rFonts w:ascii="Times New Roman" w:hAnsi="Times New Roman"/>
          <w:sz w:val="20"/>
        </w:rPr>
        <w:t xml:space="preserve">”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as applicable to companies with equity securities held by the public, the rules of national securities exchange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initial listing of such Person’s equity securities on a national securities exchange; provided that any such costs arising from the costs described above in respect of the ongoing operation of such Person as a listed equity or its listed debt securities following the initial listing of such Person’s equity securities or debt securities, respectively, on a national securities exchange shall not constitute Initial Public Company Costs. </w:t>
      </w:r>
    </w:p>
    <w:p>
      <w:pPr>
        <w:pStyle w:val="TextBody"/>
        <w:bidi w:val="0"/>
        <w:spacing w:before="240" w:after="0"/>
        <w:jc w:val="left"/>
        <w:rPr/>
      </w:pPr>
      <w:r>
        <w:rPr/>
        <w:t>“</w:t>
      </w:r>
      <w:r>
        <w:rPr>
          <w:rFonts w:ascii="Times New Roman" w:hAnsi="Times New Roman"/>
          <w:i/>
          <w:sz w:val="20"/>
        </w:rPr>
        <w:t>Intercreditor Agreement</w:t>
      </w:r>
      <w:r>
        <w:rPr>
          <w:rFonts w:ascii="Times New Roman" w:hAnsi="Times New Roman"/>
          <w:sz w:val="20"/>
        </w:rPr>
        <w:t xml:space="preserve">” means the Intercreditor Agreement by and among, </w:t>
      </w:r>
      <w:r>
        <w:rPr>
          <w:rFonts w:ascii="Times New Roman" w:hAnsi="Times New Roman"/>
          <w:i/>
          <w:sz w:val="20"/>
        </w:rPr>
        <w:t>inter alia</w:t>
      </w:r>
      <w:r>
        <w:rPr>
          <w:rFonts w:ascii="Times New Roman" w:hAnsi="Times New Roman"/>
          <w:sz w:val="20"/>
        </w:rPr>
        <w:t xml:space="preserve">, the Borrower, the administrative agent under the Senior Credit Facilities, the trustee under the Former 2019 Notes Indenture, the collateral agent under the Former 2019 Notes Indenture and the other grantors party thereto, dated as of May 9, 2012, as supplemented as of the Closing Date, and as the same has been and may be further amended, amended and restated, modified, renewed or replaced from time to time, including without limitation to add Additional First Lien Secured Parties.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higher than Baa3 (or the equivalent) by Moody’s and BBB- (or the equivalent) by S&amp;P, or if the Term Loan is not then rated by Moody’s or S&amp;P, an equivalent rating by any other Rating Agency. </w:t>
      </w:r>
    </w:p>
    <w:p>
      <w:pPr>
        <w:pStyle w:val="TextBody"/>
        <w:bidi w:val="0"/>
        <w:spacing w:before="240" w:after="0"/>
        <w:jc w:val="left"/>
        <w:rPr/>
      </w:pPr>
      <w:r>
        <w:rPr/>
        <w:t>“</w:t>
      </w:r>
      <w:r>
        <w:rPr>
          <w:rFonts w:ascii="Times New Roman" w:hAnsi="Times New Roman"/>
          <w:i/>
          <w:sz w:val="20"/>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United States government or any agency or instrumentality thereof (other than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debt securities or debt instruments with an Investment Grade Rating, but excluding any debt securities or instruments constituting loans or advances among Holdings,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any fund that invests exclusively in investments of the type described in clauses (1) and (2) which fund may also hold immaterial amounts of cash pending investment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(4) corresponding instruments in countries other than the United States customarily utilized for high-quality investments.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the Borrower and its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GAAP to be classified on the balance sheet (excluding the footnotes) of Holdings in the same manner as the other investments included in this definition to the extent such transactions involve the transfer of cash or other property. For purposes of the definition of “</w:t>
      </w:r>
      <w:r>
        <w:rPr>
          <w:rFonts w:ascii="Times New Roman" w:hAnsi="Times New Roman"/>
          <w:i/>
          <w:sz w:val="20"/>
        </w:rPr>
        <w:t>Unrestricted Subsidiary</w:t>
      </w:r>
      <w:r>
        <w:rPr>
          <w:rFonts w:ascii="Times New Roman" w:hAnsi="Times New Roman"/>
          <w:sz w:val="20"/>
        </w:rPr>
        <w:t xml:space="preserve">” and Section 4.07 hereof: </w:t>
      </w:r>
    </w:p>
    <w:p>
      <w:pPr>
        <w:pStyle w:val="TextBody"/>
        <w:bidi w:val="0"/>
        <w:spacing w:before="120" w:after="0"/>
        <w:jc w:val="left"/>
        <w:rPr>
          <w:rFonts w:ascii="Times New Roman" w:hAnsi="Times New Roman"/>
          <w:sz w:val="20"/>
        </w:rPr>
      </w:pPr>
      <w:r>
        <w:rPr>
          <w:rFonts w:ascii="Times New Roman" w:hAnsi="Times New Roman"/>
          <w:sz w:val="20"/>
        </w:rPr>
        <w:t xml:space="preserve">(1) “Investments” shall include the portion (proportionate to the Borrower’s direct or indirect equity interest in such Subsidiary) of the fair market value of the net assets of a Subsidiary of the Borrower at the time that such Subsidiary is designated an Unrestricted Subsidiary; </w:t>
      </w:r>
      <w:r>
        <w:rPr>
          <w:rFonts w:ascii="Times New Roman" w:hAnsi="Times New Roman"/>
          <w:i/>
          <w:sz w:val="20"/>
        </w:rPr>
        <w:t xml:space="preserve">provided </w:t>
      </w:r>
      <w:r>
        <w:rPr>
          <w:rFonts w:ascii="Times New Roman" w:hAnsi="Times New Roman"/>
          <w:sz w:val="20"/>
        </w:rPr>
        <w:t xml:space="preserve">that upon a redesignation of such Subsidiary as a Restricted Subsidiary, the Borrower or the applicable Restricted Subsidiary shall be deemed to continue to have a permanent “Investment” in an Unrestricted Subsidiary in an amount (if positive) equal to: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direct or indirect “Investment” in such Subsidiary at the time of such redesignation; less </w:t>
      </w:r>
    </w:p>
    <w:p>
      <w:pPr>
        <w:pStyle w:val="TextBody"/>
        <w:bidi w:val="0"/>
        <w:spacing w:before="120" w:after="0"/>
        <w:jc w:val="left"/>
        <w:rPr>
          <w:rFonts w:ascii="Times New Roman" w:hAnsi="Times New Roman"/>
          <w:sz w:val="20"/>
        </w:rPr>
      </w:pPr>
      <w:r>
        <w:rPr>
          <w:rFonts w:ascii="Times New Roman" w:hAnsi="Times New Roman"/>
          <w:sz w:val="20"/>
        </w:rPr>
        <w:t xml:space="preserve">(b) the portion (proportionate to the Borrower’s direct or indirect Equity Interest in such Subsidiary) of the fair market value of the net assets of such Subsidiary at the time of such redesignation; and </w:t>
      </w:r>
    </w:p>
    <w:p>
      <w:pPr>
        <w:pStyle w:val="TextBody"/>
        <w:bidi w:val="0"/>
        <w:spacing w:before="120" w:after="0"/>
        <w:jc w:val="left"/>
        <w:rPr>
          <w:rFonts w:ascii="Times New Roman" w:hAnsi="Times New Roman"/>
          <w:sz w:val="20"/>
        </w:rPr>
      </w:pPr>
      <w:r>
        <w:rPr>
          <w:rFonts w:ascii="Times New Roman" w:hAnsi="Times New Roman"/>
          <w:sz w:val="20"/>
        </w:rPr>
        <w:t xml:space="preserve">(2) any property transferred to or from an Unrestricted Subsidiary shall be valued at its fair market value at the time of such transfer, in each case as determined in good faith by the Borrower, including its board of directors if such fair market value is in excess of $100,000,000.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outstanding at any time shall be the original cost of such Investment, reduced by any dividend, distribution, interest payment, return of capital, repayment or other amount received in cash or other property by the Borrower or a Restricted Subsidiary in respect of such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July 2030 Notes</w:t>
      </w:r>
      <w:r>
        <w:rPr>
          <w:rFonts w:ascii="Times New Roman" w:hAnsi="Times New Roman"/>
          <w:sz w:val="20"/>
        </w:rPr>
        <w:t xml:space="preserve">” means the Borrower’s 11.125% Senior Secured Notes due 2030 issued on June 4, 2025. </w:t>
      </w:r>
    </w:p>
    <w:p>
      <w:pPr>
        <w:pStyle w:val="TextBody"/>
        <w:bidi w:val="0"/>
        <w:spacing w:before="240" w:after="0"/>
        <w:jc w:val="left"/>
        <w:rPr/>
      </w:pPr>
      <w:r>
        <w:rPr/>
        <w:t>“</w:t>
      </w:r>
      <w:r>
        <w:rPr>
          <w:rFonts w:ascii="Times New Roman" w:hAnsi="Times New Roman"/>
          <w:i/>
          <w:sz w:val="20"/>
        </w:rPr>
        <w:t>July 2030 Notes Indenture</w:t>
      </w:r>
      <w:r>
        <w:rPr>
          <w:rFonts w:ascii="Times New Roman" w:hAnsi="Times New Roman"/>
          <w:sz w:val="20"/>
        </w:rPr>
        <w:t xml:space="preserve">” means that certain indenture, dated as of June 4, 2025, by and among the Borrower, as issuer, each of the guarantors party thereto and Computershare Trust Company, N.A., as trustee and collateral agent, as amended, restated, supplemented, or otherwise modified from time to time. </w:t>
      </w:r>
    </w:p>
    <w:p>
      <w:pPr>
        <w:pStyle w:val="TextBody"/>
        <w:bidi w:val="0"/>
        <w:spacing w:before="240" w:after="0"/>
        <w:jc w:val="left"/>
        <w:rPr/>
      </w:pPr>
      <w:r>
        <w:rPr/>
        <w:t>“</w:t>
      </w:r>
      <w:r>
        <w:rPr>
          <w:rFonts w:ascii="Times New Roman" w:hAnsi="Times New Roman"/>
          <w:i/>
          <w:sz w:val="20"/>
        </w:rPr>
        <w:t>Junior Lien Intercreditor Agreement</w:t>
      </w:r>
      <w:r>
        <w:rPr>
          <w:rFonts w:ascii="Times New Roman" w:hAnsi="Times New Roman"/>
          <w:sz w:val="20"/>
        </w:rPr>
        <w:t xml:space="preserve">” means the Junior Lien Intercreditor Agreement substantially in the form of Exhibit I hereto by and among the Borrower, the other grantors party thereto, the Administrative Agent and the Authorized Representatives for any other First Lien Obligations (including the Senior Credit Facilities) and Junior Lien Obligations outstanding at the time it is executed, as the same may be further amended, amended and restated, modified, renewed or replaced from time to time, including without limitation, to add Additional First Lien Secured Parties and Junior Lien Secured Parties. </w:t>
      </w:r>
    </w:p>
    <w:p>
      <w:pPr>
        <w:pStyle w:val="TextBody"/>
        <w:bidi w:val="0"/>
        <w:spacing w:before="240" w:after="0"/>
        <w:jc w:val="left"/>
        <w:rPr/>
      </w:pPr>
      <w:r>
        <w:rPr/>
        <w:t>“</w:t>
      </w:r>
      <w:r>
        <w:rPr>
          <w:rFonts w:ascii="Times New Roman" w:hAnsi="Times New Roman"/>
          <w:i/>
          <w:sz w:val="20"/>
        </w:rPr>
        <w:t>Junior Lien Obligations</w:t>
      </w:r>
      <w:r>
        <w:rPr>
          <w:rFonts w:ascii="Times New Roman" w:hAnsi="Times New Roman"/>
          <w:sz w:val="20"/>
        </w:rPr>
        <w:t xml:space="preserve">” means any Series of Indebtedness secured by Collateral on a second priority basis pursuant to the relevant security documents. </w:t>
      </w:r>
    </w:p>
    <w:p>
      <w:pPr>
        <w:pStyle w:val="TextBody"/>
        <w:bidi w:val="0"/>
        <w:spacing w:before="240" w:after="0"/>
        <w:jc w:val="left"/>
        <w:rPr/>
      </w:pPr>
      <w:r>
        <w:rPr/>
        <w:t>“</w:t>
      </w:r>
      <w:r>
        <w:rPr>
          <w:rFonts w:ascii="Times New Roman" w:hAnsi="Times New Roman"/>
          <w:i/>
          <w:sz w:val="20"/>
        </w:rPr>
        <w:t>Junior Lien Secured Parties</w:t>
      </w:r>
      <w:r>
        <w:rPr>
          <w:rFonts w:ascii="Times New Roman" w:hAnsi="Times New Roman"/>
          <w:sz w:val="20"/>
        </w:rPr>
        <w:t xml:space="preserve">” means the holders of any Junior Lien Obligations and any Authorized Representative with respect thereto. </w:t>
      </w:r>
    </w:p>
    <w:p>
      <w:pPr>
        <w:pStyle w:val="TextBody"/>
        <w:bidi w:val="0"/>
        <w:spacing w:before="240" w:after="0"/>
        <w:jc w:val="left"/>
        <w:rPr/>
      </w:pPr>
      <w:r>
        <w:rPr/>
        <w:t>“</w:t>
      </w:r>
      <w:r>
        <w:rPr>
          <w:rFonts w:ascii="Times New Roman" w:hAnsi="Times New Roman"/>
          <w:i/>
          <w:sz w:val="20"/>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w:t>
      </w:r>
    </w:p>
    <w:p>
      <w:pPr>
        <w:pStyle w:val="TextBody"/>
        <w:bidi w:val="0"/>
        <w:spacing w:before="240" w:after="0"/>
        <w:jc w:val="left"/>
        <w:rPr/>
      </w:pPr>
      <w:r>
        <w:rPr/>
        <w:t>“</w:t>
      </w:r>
      <w:r>
        <w:rPr>
          <w:rFonts w:ascii="Times New Roman" w:hAnsi="Times New Roman"/>
          <w:i/>
          <w:sz w:val="20"/>
        </w:rPr>
        <w:t>LC Assets</w:t>
      </w:r>
      <w:r>
        <w:rPr>
          <w:rFonts w:ascii="Times New Roman" w:hAnsi="Times New Roman"/>
          <w:sz w:val="20"/>
        </w:rPr>
        <w:t xml:space="preserve">” means all deposit and securities accounts (including all funds held in or credited to such accounts, interest, dividends or other property distributed in respect of such accounts and any proceeds thereof) that may be opened from time to time with one or more banks or other financial institutions (including with a foreign branch of such banks or other financial institutions) securing letters of credit, demand guarantees, bankers’ acceptances or similar obligations and reimbursement obligations in respect thereof, other than those provided under the Senior Credit Facilities. </w:t>
      </w:r>
    </w:p>
    <w:p>
      <w:pPr>
        <w:pStyle w:val="TextBody"/>
        <w:bidi w:val="0"/>
        <w:spacing w:before="240" w:after="0"/>
        <w:jc w:val="left"/>
        <w:rPr/>
      </w:pPr>
      <w:r>
        <w:rPr/>
        <w:t>“</w:t>
      </w:r>
      <w:r>
        <w:rPr>
          <w:rFonts w:ascii="Times New Roman" w:hAnsi="Times New Roman"/>
          <w:i/>
          <w:sz w:val="20"/>
        </w:rPr>
        <w:t>Legal Holiday</w:t>
      </w:r>
      <w:r>
        <w:rPr>
          <w:rFonts w:ascii="Times New Roman" w:hAnsi="Times New Roman"/>
          <w:sz w:val="20"/>
        </w:rPr>
        <w:t xml:space="preserve">” means a Saturday, a Sunday or a day on which commercial banking institutions are not required to be open in the State of New York. </w:t>
      </w:r>
    </w:p>
    <w:p>
      <w:pPr>
        <w:pStyle w:val="TextBody"/>
        <w:bidi w:val="0"/>
        <w:spacing w:before="240" w:after="0"/>
        <w:jc w:val="left"/>
        <w:rPr/>
      </w:pPr>
      <w:r>
        <w:rPr/>
        <w:t>“</w:t>
      </w:r>
      <w:r>
        <w:rPr>
          <w:rFonts w:ascii="Times New Roman" w:hAnsi="Times New Roman"/>
          <w:i/>
          <w:sz w:val="20"/>
        </w:rPr>
        <w:t>Lender</w:t>
      </w:r>
      <w:r>
        <w:rPr>
          <w:rFonts w:ascii="Times New Roman" w:hAnsi="Times New Roman"/>
          <w:sz w:val="20"/>
        </w:rPr>
        <w:t>” has the meaning specified in the introductory paragraph to this Agreement and its successors and assigns as permitted hereunder, each of which is referred to herein as a “</w:t>
      </w:r>
      <w:r>
        <w:rPr>
          <w:rFonts w:ascii="Times New Roman" w:hAnsi="Times New Roman"/>
          <w:i/>
          <w:sz w:val="20"/>
        </w:rPr>
        <w:t>Lender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Lender’s Account</w:t>
      </w:r>
      <w:r>
        <w:rPr>
          <w:rFonts w:ascii="Times New Roman" w:hAnsi="Times New Roman"/>
          <w:sz w:val="20"/>
        </w:rPr>
        <w:t xml:space="preserve">” means the Lender’s account as the Lender may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provide in writing to the Borrower and the Administrative Agent. </w:t>
      </w:r>
    </w:p>
    <w:p>
      <w:pPr>
        <w:pStyle w:val="TextBody"/>
        <w:bidi w:val="0"/>
        <w:spacing w:before="240" w:after="0"/>
        <w:jc w:val="left"/>
        <w:rPr/>
      </w:pPr>
      <w:r>
        <w:rPr/>
        <w:t>“</w:t>
      </w:r>
      <w:r>
        <w:rPr>
          <w:rFonts w:ascii="Times New Roman" w:hAnsi="Times New Roman"/>
          <w:i/>
          <w:sz w:val="20"/>
        </w:rPr>
        <w:t>Lender Indenture</w:t>
      </w:r>
      <w:r>
        <w:rPr>
          <w:rFonts w:ascii="Times New Roman" w:hAnsi="Times New Roman"/>
          <w:sz w:val="20"/>
        </w:rPr>
        <w:t xml:space="preserve">” means that certain indenture, dated as of September 28, 2026, by and among the Lender, as issuer, each of the guarantors party thereto and Wilmington Trust, National Association, as trustee and collateral agent, as amended, restated, supplemented,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Lender Notes</w:t>
      </w:r>
      <w:r>
        <w:rPr>
          <w:rFonts w:ascii="Times New Roman" w:hAnsi="Times New Roman"/>
          <w:sz w:val="20"/>
        </w:rPr>
        <w:t xml:space="preserve">” means the $1,350,000,000 in aggregate principal amount of the Lender’s 9.875% Senior Secured Notes due 2032 issued under the Lender Indenture on September 28, 2026. </w:t>
      </w:r>
    </w:p>
    <w:p>
      <w:pPr>
        <w:pStyle w:val="TextBody"/>
        <w:bidi w:val="0"/>
        <w:spacing w:before="240" w:after="0"/>
        <w:jc w:val="left"/>
        <w:rPr/>
      </w:pPr>
      <w:r>
        <w:rPr/>
        <w:t>“</w:t>
      </w:r>
      <w:r>
        <w:rPr>
          <w:rFonts w:ascii="Times New Roman" w:hAnsi="Times New Roman"/>
          <w:i/>
          <w:sz w:val="20"/>
        </w:rPr>
        <w:t>Lender Notes Collateral Agent</w:t>
      </w:r>
      <w:r>
        <w:rPr>
          <w:rFonts w:ascii="Times New Roman" w:hAnsi="Times New Roman"/>
          <w:sz w:val="20"/>
        </w:rPr>
        <w:t xml:space="preserve">” means Wilmington Trust, National Association, in its capacity as collateral agent under the Lender Indenture, until a successor collateral agent replaces it in accordance with the applicable provisions of the Lender Indenture and thereafter means the successor serving in such capacity thereunder. </w:t>
      </w:r>
    </w:p>
    <w:p>
      <w:pPr>
        <w:pStyle w:val="TextBody"/>
        <w:bidi w:val="0"/>
        <w:spacing w:before="240" w:after="0"/>
        <w:jc w:val="left"/>
        <w:rPr/>
      </w:pPr>
      <w:r>
        <w:rPr/>
        <w:t>“</w:t>
      </w:r>
      <w:r>
        <w:rPr>
          <w:rFonts w:ascii="Times New Roman" w:hAnsi="Times New Roman"/>
          <w:i/>
          <w:sz w:val="20"/>
        </w:rPr>
        <w:t>Lender Notes Trustee</w:t>
      </w:r>
      <w:r>
        <w:rPr>
          <w:rFonts w:ascii="Times New Roman" w:hAnsi="Times New Roman"/>
          <w:sz w:val="20"/>
        </w:rPr>
        <w:t xml:space="preserve">” means Wilmington Trust, National Association, in its capacity as trustee under the Lender Indenture, until a successor trustee replaces it in accordance with the applicable provisions of the Lender Indenture and thereafter means the successor serving in such capacity thereunder. </w:t>
      </w:r>
    </w:p>
    <w:p>
      <w:pPr>
        <w:pStyle w:val="TextBody"/>
        <w:bidi w:val="0"/>
        <w:spacing w:before="240" w:after="0"/>
        <w:jc w:val="left"/>
        <w:rPr/>
      </w:pPr>
      <w:r>
        <w:rPr/>
        <w:t>“</w:t>
      </w:r>
      <w:r>
        <w:rPr>
          <w:rFonts w:ascii="Times New Roman" w:hAnsi="Times New Roman"/>
          <w:i/>
          <w:sz w:val="20"/>
        </w:rPr>
        <w:t>Lender Notes Trustee Direction</w:t>
      </w:r>
      <w:r>
        <w:rPr>
          <w:rFonts w:ascii="Times New Roman" w:hAnsi="Times New Roman"/>
          <w:sz w:val="20"/>
        </w:rPr>
        <w:t xml:space="preserve">” means, in respect of any agreement, document, instrument, matter or other item that (1) is required under the terms of this Agreement or any other Loan Document to be consented or agreed to or approved by any of the Lender Notes Trustee, any Holders of the Lender Notes, and/or the Lender Notes Collateral Agent, or (2) pursuant to the terms of this Agreement, may be directed by the holders of a majority in aggregate principal amount of the then outstanding Lender Notes, through the Lender Notes Trustee (any of the foregoing, a “Lender Notes Direction Item”), in each case, a written direction in respect of such Lender Notes Direction Item from the Lender Notes Trustee (x) certifying that (i) it is the Lender Notes Trustee and (ii) providing such direction at the direction and with the consent of Holders of the Lender Notes that hold of a majority in principal amount of the Lender Notes then outstanding (or such other number or percentage of the Holders of the Lender Notes as shall be provided for herein or in the other applicable Loan Documents) (and, if expressly required hereby, at the direction and with the consent of the Lender Notes Collateral Agent), (y) providing its and the applicable Holders of the Lender Notes’ consent, agreement or approval (and, if applicable, the Lender Notes Collateral Agent’s consent, agreement or approval) to such Lender Notes Direction Item and (z) directing the Administrative Agent to (i) if applicable, consent or agree to or approve, such Lender Notes Direction Item and (y) if applicable, take any other applicable action with respect to such Lender Notes Direction Item. </w:t>
      </w:r>
    </w:p>
    <w:p>
      <w:pPr>
        <w:pStyle w:val="TextBody"/>
        <w:bidi w:val="0"/>
        <w:spacing w:before="240" w:after="0"/>
        <w:jc w:val="left"/>
        <w:rPr/>
      </w:pPr>
      <w:r>
        <w:rPr/>
        <w:t>“</w:t>
      </w:r>
      <w:r>
        <w:rPr>
          <w:rFonts w:ascii="Times New Roman" w:hAnsi="Times New Roman"/>
          <w:i/>
          <w:sz w:val="20"/>
        </w:rPr>
        <w:t>Lending Office</w:t>
      </w:r>
      <w:r>
        <w:rPr>
          <w:rFonts w:ascii="Times New Roman" w:hAnsi="Times New Roman"/>
          <w:sz w:val="20"/>
        </w:rPr>
        <w:t xml:space="preserve">” means, as to the Lender, the office or offices of the Lender described as such in the Lender’s Administrative Questionnaire, or such other office or offices as the Lender may from time to time notify the Borrower and the Administrative Agent.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 economic effect as any of the foregoing); </w:t>
      </w:r>
      <w:r>
        <w:rPr>
          <w:rFonts w:ascii="Times New Roman" w:hAnsi="Times New Roman"/>
          <w:i/>
          <w:sz w:val="20"/>
        </w:rPr>
        <w:t xml:space="preserve">provided </w:t>
      </w:r>
      <w:r>
        <w:rPr>
          <w:rFonts w:ascii="Times New Roman" w:hAnsi="Times New Roman"/>
          <w:sz w:val="20"/>
        </w:rPr>
        <w:t xml:space="preserve">that in no event shall an operating lease be deemed to constitute a Lien. </w:t>
      </w:r>
    </w:p>
    <w:p>
      <w:pPr>
        <w:pStyle w:val="TextBody"/>
        <w:bidi w:val="0"/>
        <w:spacing w:before="240" w:after="0"/>
        <w:jc w:val="left"/>
        <w:rPr/>
      </w:pPr>
      <w:r>
        <w:rPr/>
        <w:t>“</w:t>
      </w:r>
      <w:r>
        <w:rPr>
          <w:rFonts w:ascii="Times New Roman" w:hAnsi="Times New Roman"/>
          <w:i/>
          <w:sz w:val="20"/>
        </w:rPr>
        <w:t>Loan Documents</w:t>
      </w:r>
      <w:r>
        <w:rPr>
          <w:rFonts w:ascii="Times New Roman" w:hAnsi="Times New Roman"/>
          <w:sz w:val="20"/>
        </w:rPr>
        <w:t xml:space="preserve">” means, collectively, (i) this Agreement, (ii) the Intercreditor Joinder Agreement, (iii) the Term Notes, (iv) the Guaranty, (v) the Security Documents, (vi) the Administrative Agent Fee Letter, and (vii) on and after the execution and delivery thereof, each Intercreditor Agreement, and any amendments to, and/or amendments and restatements of, any of the foregoing and any other document designated as such by the Administrative Agent (acting at the direction of the Lender) and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Loan Obligations</w:t>
      </w:r>
      <w:r>
        <w:rPr>
          <w:rFonts w:ascii="Times New Roman" w:hAnsi="Times New Roman"/>
          <w:sz w:val="20"/>
        </w:rPr>
        <w:t xml:space="preserve">” means Obligations arising under this Agreement and the other Loan Documents, including for the avoidance of doubt, Obligations in respect of guarantees thereof. </w:t>
      </w:r>
    </w:p>
    <w:p>
      <w:pPr>
        <w:pStyle w:val="TextBody"/>
        <w:bidi w:val="0"/>
        <w:spacing w:before="240" w:after="0"/>
        <w:jc w:val="left"/>
        <w:rPr/>
      </w:pPr>
      <w:r>
        <w:rPr/>
        <w:t>“</w:t>
      </w:r>
      <w:r>
        <w:rPr>
          <w:rFonts w:ascii="Times New Roman" w:hAnsi="Times New Roman"/>
          <w:i/>
          <w:sz w:val="20"/>
        </w:rPr>
        <w:t>Loan Parties</w:t>
      </w:r>
      <w:r>
        <w:rPr>
          <w:rFonts w:ascii="Times New Roman" w:hAnsi="Times New Roman"/>
          <w:sz w:val="20"/>
        </w:rPr>
        <w:t xml:space="preserve">” means, collectively, (i) the Borrower, (ii) Holdings and (iii) each other Person that is or is required to become a Guarantor under this Agreement, the Loan Documents or the Security Documents. </w:t>
      </w:r>
    </w:p>
    <w:p>
      <w:pPr>
        <w:pStyle w:val="TextBody"/>
        <w:bidi w:val="0"/>
        <w:spacing w:before="240" w:after="0"/>
        <w:jc w:val="left"/>
        <w:rPr/>
      </w:pPr>
      <w:r>
        <w:rPr/>
        <w:t>“</w:t>
      </w:r>
      <w:r>
        <w:rPr>
          <w:rFonts w:ascii="Times New Roman" w:hAnsi="Times New Roman"/>
          <w:i/>
          <w:sz w:val="20"/>
        </w:rPr>
        <w:t>Management Stockholders</w:t>
      </w:r>
      <w:r>
        <w:rPr>
          <w:rFonts w:ascii="Times New Roman" w:hAnsi="Times New Roman"/>
          <w:sz w:val="20"/>
        </w:rPr>
        <w:t xml:space="preserve">” means the members of management (and their Controlled Investment Affiliates and Immediate Family Members) of Holdings or any of its Subsidiaries who are investors in Holdings or any direct or indirect parent thereof (other than any Management Stockholders (or their Controlled Investment Affiliates or Immediate Family Members) who are not members of management as described in this definition on the Closing Date to the extent their beneficial ownership of Voting Stock (including that of their Controlled Investment Affiliates or Immediate Family Members), individually or collectively, would constitute a Change of Control were they not considered Management Stockholders). </w:t>
      </w:r>
    </w:p>
    <w:p>
      <w:pPr>
        <w:pStyle w:val="TextBody"/>
        <w:bidi w:val="0"/>
        <w:spacing w:before="240" w:after="0"/>
        <w:jc w:val="left"/>
        <w:rPr/>
      </w:pPr>
      <w:r>
        <w:rPr/>
        <w:t>“</w:t>
      </w:r>
      <w:r>
        <w:rPr>
          <w:rFonts w:ascii="Times New Roman" w:hAnsi="Times New Roman"/>
          <w:i/>
          <w:sz w:val="20"/>
        </w:rPr>
        <w:t>Market Capitalization</w:t>
      </w:r>
      <w:r>
        <w:rPr>
          <w:rFonts w:ascii="Times New Roman" w:hAnsi="Times New Roman"/>
          <w:sz w:val="20"/>
        </w:rPr>
        <w:t xml:space="preserve">” means an amount equal to (i) the total number of issued and outstanding shares of common stock or common equity interests of the Borrower or any applicable direct or indirect parent company of the Borrower on the date of the declaration of the relevant dividend multiplied by (ii) the arithmetic mean of the closing prices per share of such common stock or common equity interests for the 30 consecutive trading days immediately preceding the date of declaration of such dividend. </w:t>
      </w:r>
    </w:p>
    <w:p>
      <w:pPr>
        <w:pStyle w:val="TextBody"/>
        <w:bidi w:val="0"/>
        <w:spacing w:before="240" w:after="0"/>
        <w:jc w:val="left"/>
        <w:rPr/>
      </w:pPr>
      <w:r>
        <w:rPr/>
        <w:t>“</w:t>
      </w:r>
      <w:r>
        <w:rPr>
          <w:rFonts w:ascii="Times New Roman" w:hAnsi="Times New Roman"/>
          <w:i/>
          <w:sz w:val="20"/>
        </w:rPr>
        <w:t>March 2030 Notes</w:t>
      </w:r>
      <w:r>
        <w:rPr>
          <w:rFonts w:ascii="Times New Roman" w:hAnsi="Times New Roman"/>
          <w:sz w:val="20"/>
        </w:rPr>
        <w:t xml:space="preserve">” means the Borrower’s 10.750% Senior Secured Notes due 2030 issued on December 8, 2025. </w:t>
      </w:r>
    </w:p>
    <w:p>
      <w:pPr>
        <w:pStyle w:val="TextBody"/>
        <w:bidi w:val="0"/>
        <w:spacing w:before="240" w:after="0"/>
        <w:jc w:val="left"/>
        <w:rPr/>
      </w:pPr>
      <w:r>
        <w:rPr/>
        <w:t>“</w:t>
      </w:r>
      <w:r>
        <w:rPr>
          <w:rFonts w:ascii="Times New Roman" w:hAnsi="Times New Roman"/>
          <w:i/>
          <w:sz w:val="20"/>
        </w:rPr>
        <w:t>Maturity Date</w:t>
      </w:r>
      <w:r>
        <w:rPr>
          <w:rFonts w:ascii="Times New Roman" w:hAnsi="Times New Roman"/>
          <w:sz w:val="20"/>
        </w:rPr>
        <w:t xml:space="preserve">” means October 15, 2032.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with respect to any Person, the net income (loss) of such Person, determined in accordance with GAAP and before any reduction in respect of Preferred Stock dividends. </w:t>
      </w:r>
    </w:p>
    <w:p>
      <w:pPr>
        <w:pStyle w:val="TextBody"/>
        <w:bidi w:val="0"/>
        <w:spacing w:before="240" w:after="0"/>
        <w:jc w:val="left"/>
        <w:rPr/>
      </w:pPr>
      <w:r>
        <w:rPr/>
        <w:t>“</w:t>
      </w:r>
      <w:r>
        <w:rPr>
          <w:rFonts w:ascii="Times New Roman" w:hAnsi="Times New Roman"/>
          <w:i/>
          <w:sz w:val="20"/>
        </w:rPr>
        <w:t>Net Proceeds</w:t>
      </w:r>
      <w:r>
        <w:rPr>
          <w:rFonts w:ascii="Times New Roman" w:hAnsi="Times New Roman"/>
          <w:sz w:val="20"/>
        </w:rPr>
        <w:t xml:space="preserve">” means the aggregate cash or Cash Equivalents proceeds received by the Borrower or any of its Restricted Subsidiaries in respect of any Asset Sale, including any cash or Cash Equivalents received upon the sale or other disposition of any Designated Non-Cash Consideration received in any Asset Sale, net of the direct costs relating to such Asset Sale and the sale or disposition of such Designated Non-Cash Consideration, including legal, accounting and investment banking fees, payments made in order to obtain a necessary consent or required by applicable law, and brokerage and sales commissions, any relocation expenses incurred as a result thereof, other fees and expenses, including title and recordation expenses, taxes paid or estimated to be payable as a result thereof, amounts required to be applied to the repayment of principal, premium, if any, and interest on Indebtedness secured by a Lien (other than Liens on the Collateral securing the Senior Credit Facilities) on such assets and required (other than required by clause (1) of Section 4.10(b) hereof) to be paid as a result of such transaction (or in the case of Asset Sales of Collateral, which Senior Indebtedness shall be secured by a Lien on such Collateral that has priority over the Lien securing the Loan Obligations) and any deduction of appropriate amounts to be provided by the Borrower or any of its Restricted Subsidiaries as a reserve in accordance with GAAP against any liabilities associated with the asset disposed of in such transaction and retained by the Borrower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Restricted Subsidiaries after such sale or other disposition thereof, including pension and other post-employment benefit liabilities and liabilities related to environmental matters or against any indemnification obligations associated with such transaction and of a pro rata portion of the Net Proceeds attributable to minority interests in a Restricted Subsidiary in connection with a disposition by, or of Capital Stock of, a Restricted Subsidiary that is not a Wholly-Owned Subsidiary to the extent such Net Proceeds are not available for application by the Borrower. </w:t>
      </w:r>
    </w:p>
    <w:p>
      <w:pPr>
        <w:pStyle w:val="TextBody"/>
        <w:bidi w:val="0"/>
        <w:spacing w:before="240" w:after="0"/>
        <w:jc w:val="left"/>
        <w:rPr/>
      </w:pPr>
      <w:r>
        <w:rPr/>
        <w:t>“</w:t>
      </w:r>
      <w:r>
        <w:rPr>
          <w:rFonts w:ascii="Times New Roman" w:hAnsi="Times New Roman"/>
          <w:i/>
          <w:sz w:val="20"/>
        </w:rPr>
        <w:t>Notes Obligations</w:t>
      </w:r>
      <w:r>
        <w:rPr>
          <w:rFonts w:ascii="Times New Roman" w:hAnsi="Times New Roman"/>
          <w:sz w:val="20"/>
        </w:rPr>
        <w:t xml:space="preserve">” means Obligations in respect of the Secured Notes, including for the avoidance of doubt, Obligations in respect of guarantees thereof. </w:t>
      </w:r>
    </w:p>
    <w:p>
      <w:pPr>
        <w:pStyle w:val="TextBody"/>
        <w:bidi w:val="0"/>
        <w:spacing w:before="240" w:after="0"/>
        <w:jc w:val="left"/>
        <w:rPr/>
      </w:pPr>
      <w:r>
        <w:rPr/>
        <w:t>“</w:t>
      </w:r>
      <w:r>
        <w:rPr>
          <w:rFonts w:ascii="Times New Roman" w:hAnsi="Times New Roman"/>
          <w:i/>
          <w:sz w:val="20"/>
        </w:rPr>
        <w:t>November 2029 Notes</w:t>
      </w:r>
      <w:r>
        <w:rPr>
          <w:rFonts w:ascii="Times New Roman" w:hAnsi="Times New Roman"/>
          <w:sz w:val="20"/>
        </w:rPr>
        <w:t xml:space="preserve">” means the Borrower’s 10.750% Senior Secured Notes due 2029 issued on November 25, 2024.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Chairman of the board of directors, the Chief Executive Officer, the Chief Financial Officer, the President, any Executive Vice President, Senior Vice President or Vice President, the Treasurer or the Secretary of a Person.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on behalf of a Person by an Officer of such Person, who must be an executive officer, a financial officer, the treasurer or an accounting officer of such Person that meets the requirements of Section 13.04 hereof.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from legal counsel who is reasonably acceptable to the Administrative Agent (acting at the direction of the Lender), that meets the requirements of Section 13.04 hereof. The counsel may be an employee of or counsel to the Borrower. </w:t>
      </w:r>
    </w:p>
    <w:p>
      <w:pPr>
        <w:pStyle w:val="TextBody"/>
        <w:bidi w:val="0"/>
        <w:spacing w:before="240" w:after="0"/>
        <w:jc w:val="left"/>
        <w:rPr/>
      </w:pPr>
      <w:r>
        <w:rPr/>
        <w:t>“</w:t>
      </w:r>
      <w:r>
        <w:rPr>
          <w:rFonts w:ascii="Times New Roman" w:hAnsi="Times New Roman"/>
          <w:i/>
          <w:sz w:val="20"/>
        </w:rPr>
        <w:t>Permitted Acquisition</w:t>
      </w:r>
      <w:r>
        <w:rPr>
          <w:rFonts w:ascii="Times New Roman" w:hAnsi="Times New Roman"/>
          <w:sz w:val="20"/>
        </w:rPr>
        <w:t xml:space="preserve">” has the meaning set forth in the definition of Specified Transaction. </w:t>
      </w:r>
    </w:p>
    <w:p>
      <w:pPr>
        <w:pStyle w:val="TextBody"/>
        <w:bidi w:val="0"/>
        <w:spacing w:before="240" w:after="0"/>
        <w:jc w:val="left"/>
        <w:rPr/>
      </w:pPr>
      <w:r>
        <w:rPr/>
        <w:t>“</w:t>
      </w:r>
      <w:r>
        <w:rPr>
          <w:rFonts w:ascii="Times New Roman" w:hAnsi="Times New Roman"/>
          <w:i/>
          <w:sz w:val="20"/>
        </w:rPr>
        <w:t>Permitted Asset Swap</w:t>
      </w:r>
      <w:r>
        <w:rPr>
          <w:rFonts w:ascii="Times New Roman" w:hAnsi="Times New Roman"/>
          <w:sz w:val="20"/>
        </w:rPr>
        <w:t xml:space="preserve">” means the substantially concurrent purchase and sale or exchange of Related Business Assets or a combination of Related Business Assets and Cash Equivalents between the Borrower or any of its Restricted Subsidiaries and another Person; </w:t>
      </w:r>
      <w:r>
        <w:rPr>
          <w:rFonts w:ascii="Times New Roman" w:hAnsi="Times New Roman"/>
          <w:i/>
          <w:sz w:val="20"/>
        </w:rPr>
        <w:t xml:space="preserve">provided </w:t>
      </w:r>
      <w:r>
        <w:rPr>
          <w:rFonts w:ascii="Times New Roman" w:hAnsi="Times New Roman"/>
          <w:sz w:val="20"/>
        </w:rPr>
        <w:t xml:space="preserve">that any Cash Equivalents received must be applied in accordance with Section 4.10 hereof; </w:t>
      </w:r>
      <w:r>
        <w:rPr>
          <w:rFonts w:ascii="Times New Roman" w:hAnsi="Times New Roman"/>
          <w:i/>
          <w:sz w:val="20"/>
        </w:rPr>
        <w:t xml:space="preserve">provided further </w:t>
      </w:r>
      <w:r>
        <w:rPr>
          <w:rFonts w:ascii="Times New Roman" w:hAnsi="Times New Roman"/>
          <w:sz w:val="20"/>
        </w:rPr>
        <w:t xml:space="preserve">that the assets received are pledged as Collateral to the extent required by the Security Documents (except to the extent the Lien thereon is released by the lenders under the Senior Credit Facilities) to the extent that the assets disposed of constituted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Holders</w:t>
      </w:r>
      <w:r>
        <w:rPr>
          <w:rFonts w:ascii="Times New Roman" w:hAnsi="Times New Roman"/>
          <w:sz w:val="20"/>
        </w:rPr>
        <w:t xml:space="preserve">” means any direct or indirect holding company for Equity Interests of the Borrower, the beneficial owners of whose Voting Stock would not have caused a Change of Control if such beneficial owners had directly held the Voting Stock of the Borrower. Any Person or group whose acquisition of beneficial ownership constitutes a Change of Control in respect of which a Change of Control Offer is made in accordance with the requirements of this Agreement will thereafter, together with its Affiliates, constitute an additional Permitted Holder. </w:t>
      </w:r>
    </w:p>
    <w:p>
      <w:pPr>
        <w:pStyle w:val="TextBody"/>
        <w:bidi w:val="0"/>
        <w:spacing w:before="240" w:after="0"/>
        <w:jc w:val="left"/>
        <w:rPr/>
      </w:pPr>
      <w:r>
        <w:rPr/>
        <w:t>“</w:t>
      </w:r>
      <w:r>
        <w:rPr>
          <w:rFonts w:ascii="Times New Roman" w:hAnsi="Times New Roman"/>
          <w:i/>
          <w:sz w:val="20"/>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Holdings, the Borrower or any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by the Borrower or any of its Restricted Subsidiaries in a Person (including, to the extent constituting an Investment, in assets of a Person that represent substantially all of its assets or a division, business unit or product line, including research and development and related assets in respect of any product) that is engaged directly or through entities that will be Restricted Subsidiaries in a Similar Business if as a result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(a) such Person becomes a Restricted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the Borrower or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any Investment held by such Person; </w:t>
      </w:r>
      <w:r>
        <w:rPr>
          <w:rFonts w:ascii="Times New Roman" w:hAnsi="Times New Roman"/>
          <w:i/>
          <w:sz w:val="20"/>
        </w:rPr>
        <w:t xml:space="preserve">provided </w:t>
      </w:r>
      <w:r>
        <w:rPr>
          <w:rFonts w:ascii="Times New Roman" w:hAnsi="Times New Roman"/>
          <w:sz w:val="20"/>
        </w:rPr>
        <w:t xml:space="preserve">that such Investment was not acquired by such Person in contemplation of such acquisition, merger, amalgamation, consolidation or transfer; </w:t>
      </w:r>
    </w:p>
    <w:p>
      <w:pPr>
        <w:pStyle w:val="TextBody"/>
        <w:bidi w:val="0"/>
        <w:spacing w:before="120" w:after="0"/>
        <w:jc w:val="left"/>
        <w:rPr>
          <w:rFonts w:ascii="Times New Roman" w:hAnsi="Times New Roman"/>
          <w:sz w:val="20"/>
        </w:rPr>
      </w:pPr>
      <w:r>
        <w:rPr>
          <w:rFonts w:ascii="Times New Roman" w:hAnsi="Times New Roman"/>
          <w:sz w:val="20"/>
        </w:rPr>
        <w:t xml:space="preserve">(4) any Investment in securities or other assets not constituting Cash Equivalents or Investment Grade Securities and received in connection with an Asset Sale made pursuant to Section 4.10(a) hereof or any other disposition of assets not constituting an Asset Sale; </w:t>
      </w:r>
    </w:p>
    <w:p>
      <w:pPr>
        <w:pStyle w:val="TextBody"/>
        <w:bidi w:val="0"/>
        <w:spacing w:before="120" w:after="0"/>
        <w:jc w:val="left"/>
        <w:rPr>
          <w:rFonts w:ascii="Times New Roman" w:hAnsi="Times New Roman"/>
          <w:sz w:val="20"/>
        </w:rPr>
      </w:pPr>
      <w:r>
        <w:rPr>
          <w:rFonts w:ascii="Times New Roman" w:hAnsi="Times New Roman"/>
          <w:sz w:val="20"/>
        </w:rPr>
        <w:t xml:space="preserve">(5) any Investment existing on the Closing Date or made pursuant to binding commitments in effect on the Closing Date or an Investment consisting of any extension, modification or renewal of any such Investment or binding commitment existing on the Closing Date; </w:t>
      </w:r>
      <w:r>
        <w:rPr>
          <w:rFonts w:ascii="Times New Roman" w:hAnsi="Times New Roman"/>
          <w:i/>
          <w:sz w:val="20"/>
        </w:rPr>
        <w:t xml:space="preserve">provided </w:t>
      </w:r>
      <w:r>
        <w:rPr>
          <w:rFonts w:ascii="Times New Roman" w:hAnsi="Times New Roman"/>
          <w:sz w:val="20"/>
        </w:rPr>
        <w:t xml:space="preserve">that the amount of any such Investment may be increased in such extension, modification or renewal only (a) as required by the terms of such Investment or binding commitment as in existence on the Closing Date (including as a result of the accrual or accretion of interest or original issue discount or the issuance of pay-in-kind securities) or (b) as otherwise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any Investment: </w:t>
      </w:r>
    </w:p>
    <w:p>
      <w:pPr>
        <w:pStyle w:val="TextBody"/>
        <w:bidi w:val="0"/>
        <w:spacing w:before="120" w:after="0"/>
        <w:jc w:val="left"/>
        <w:rPr>
          <w:rFonts w:ascii="Times New Roman" w:hAnsi="Times New Roman"/>
          <w:sz w:val="20"/>
        </w:rPr>
      </w:pPr>
      <w:r>
        <w:rPr>
          <w:rFonts w:ascii="Times New Roman" w:hAnsi="Times New Roman"/>
          <w:sz w:val="20"/>
        </w:rPr>
        <w:t xml:space="preserve">(a) consisting of extensions of credit in the nature of accounts receivable or notes receivable arising from the grant of trade credit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in exchange for any other Investment or accounts receivable held by the Borrower or any such Restricted Subsidiary in connection with or as a result of a bankruptcy, workout, reorganization or recapitalization of the Borrower of such other Investment or accounts receivable (including any trade creditor or customer); or </w:t>
      </w:r>
    </w:p>
    <w:p>
      <w:pPr>
        <w:pStyle w:val="TextBody"/>
        <w:bidi w:val="0"/>
        <w:spacing w:before="120" w:after="0"/>
        <w:jc w:val="left"/>
        <w:rPr>
          <w:rFonts w:ascii="Times New Roman" w:hAnsi="Times New Roman"/>
          <w:sz w:val="20"/>
        </w:rPr>
      </w:pPr>
      <w:r>
        <w:rPr>
          <w:rFonts w:ascii="Times New Roman" w:hAnsi="Times New Roman"/>
          <w:sz w:val="20"/>
        </w:rPr>
        <w:t xml:space="preserve">(c) in satisfaction of judgments against other Persons; or </w:t>
      </w:r>
    </w:p>
    <w:p>
      <w:pPr>
        <w:pStyle w:val="TextBody"/>
        <w:bidi w:val="0"/>
        <w:spacing w:before="120" w:after="0"/>
        <w:jc w:val="left"/>
        <w:rPr>
          <w:rFonts w:ascii="Times New Roman" w:hAnsi="Times New Roman"/>
          <w:sz w:val="20"/>
        </w:rPr>
      </w:pPr>
      <w:r>
        <w:rPr>
          <w:rFonts w:ascii="Times New Roman" w:hAnsi="Times New Roman"/>
          <w:sz w:val="20"/>
        </w:rPr>
        <w:t xml:space="preserve">(d) as a result of a foreclosure by the Borrower or any of its Restricted Subsidiaries with respect to any secured Investment or other transfer of title with respect to any secured Investment in default; </w:t>
      </w:r>
    </w:p>
    <w:p>
      <w:pPr>
        <w:pStyle w:val="TextBody"/>
        <w:bidi w:val="0"/>
        <w:spacing w:before="120" w:after="0"/>
        <w:jc w:val="left"/>
        <w:rPr>
          <w:rFonts w:ascii="Times New Roman" w:hAnsi="Times New Roman"/>
          <w:sz w:val="20"/>
        </w:rPr>
      </w:pPr>
      <w:r>
        <w:rPr>
          <w:rFonts w:ascii="Times New Roman" w:hAnsi="Times New Roman"/>
          <w:sz w:val="20"/>
        </w:rPr>
        <w:t xml:space="preserve">(7) Hedging Obligations permitted under clause (10) of Section 4.09(b) hereof; </w:t>
      </w:r>
    </w:p>
    <w:p>
      <w:pPr>
        <w:pStyle w:val="TextBody"/>
        <w:bidi w:val="0"/>
        <w:spacing w:before="120" w:after="0"/>
        <w:jc w:val="left"/>
        <w:rPr>
          <w:rFonts w:ascii="Times New Roman" w:hAnsi="Times New Roman"/>
          <w:sz w:val="20"/>
        </w:rPr>
      </w:pPr>
      <w:r>
        <w:rPr>
          <w:rFonts w:ascii="Times New Roman" w:hAnsi="Times New Roman"/>
          <w:sz w:val="20"/>
        </w:rPr>
        <w:t xml:space="preserve">(8) any Investment in a Similar Business taken together with all other Investments made pursuant to this clause (8) that are at that time outstanding, not to exceed the greater of (a) $200,000,000 and (b) 4.0% of Total Assets; </w:t>
      </w:r>
    </w:p>
    <w:p>
      <w:pPr>
        <w:pStyle w:val="TextBody"/>
        <w:bidi w:val="0"/>
        <w:spacing w:before="120" w:after="0"/>
        <w:jc w:val="left"/>
        <w:rPr>
          <w:rFonts w:ascii="Times New Roman" w:hAnsi="Times New Roman"/>
          <w:sz w:val="20"/>
        </w:rPr>
      </w:pPr>
      <w:r>
        <w:rPr>
          <w:rFonts w:ascii="Times New Roman" w:hAnsi="Times New Roman"/>
          <w:sz w:val="20"/>
        </w:rPr>
        <w:t xml:space="preserve">(9) Investments the payment for which consists of Equity Interests (other than Disqualified Stock) of the Borrower, or any of its direct or indirect parent companies; </w:t>
      </w:r>
      <w:r>
        <w:rPr>
          <w:rFonts w:ascii="Times New Roman" w:hAnsi="Times New Roman"/>
          <w:i/>
          <w:sz w:val="20"/>
        </w:rPr>
        <w:t xml:space="preserve">provided </w:t>
      </w:r>
      <w:r>
        <w:rPr>
          <w:rFonts w:ascii="Times New Roman" w:hAnsi="Times New Roman"/>
          <w:sz w:val="20"/>
        </w:rPr>
        <w:t xml:space="preserve">that such Equity Interests will not increase the amount available for Restricted Payments under clause (3) of Section 4.07(a) hereof; </w:t>
      </w:r>
    </w:p>
    <w:p>
      <w:pPr>
        <w:pStyle w:val="TextBody"/>
        <w:bidi w:val="0"/>
        <w:spacing w:before="120" w:after="0"/>
        <w:jc w:val="left"/>
        <w:rPr>
          <w:rFonts w:ascii="Times New Roman" w:hAnsi="Times New Roman"/>
          <w:sz w:val="20"/>
        </w:rPr>
      </w:pPr>
      <w:r>
        <w:rPr>
          <w:rFonts w:ascii="Times New Roman" w:hAnsi="Times New Roman"/>
          <w:sz w:val="20"/>
        </w:rPr>
        <w:t xml:space="preserve">(10) guarantees of Indebtedness permitted under Section 4.09 hereof and the creation of Liens on the assets of the Borrower or any Restricted Subsidiary in compliance with Section 4.12 hereof;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to the extent it constitutes an Investment that is permitted by and made in accordance with the provisions of Section 4.11(b) hereof (except transactions described in clauses (2) and (5) of Section 4.11(b) hereof); </w:t>
      </w:r>
    </w:p>
    <w:p>
      <w:pPr>
        <w:pStyle w:val="TextBody"/>
        <w:bidi w:val="0"/>
        <w:spacing w:before="120" w:after="0"/>
        <w:jc w:val="left"/>
        <w:rPr>
          <w:rFonts w:ascii="Times New Roman" w:hAnsi="Times New Roman"/>
          <w:sz w:val="20"/>
        </w:rPr>
      </w:pPr>
      <w:r>
        <w:rPr>
          <w:rFonts w:ascii="Times New Roman" w:hAnsi="Times New Roman"/>
          <w:sz w:val="20"/>
        </w:rPr>
        <w:t xml:space="preserve">(12) Investments consisting of purchases or other acquisitions of inventory, supplies, material or equipment or the licensing or contribution of intellectual property pursuant to joint marketing arrangements with other Persons; </w:t>
      </w:r>
    </w:p>
    <w:p>
      <w:pPr>
        <w:pStyle w:val="TextBody"/>
        <w:bidi w:val="0"/>
        <w:spacing w:before="120" w:after="0"/>
        <w:jc w:val="left"/>
        <w:rPr>
          <w:rFonts w:ascii="Times New Roman" w:hAnsi="Times New Roman"/>
          <w:sz w:val="20"/>
        </w:rPr>
      </w:pPr>
      <w:r>
        <w:rPr>
          <w:rFonts w:ascii="Times New Roman" w:hAnsi="Times New Roman"/>
          <w:sz w:val="20"/>
        </w:rPr>
        <w:t xml:space="preserve">(13) additional Investments, taken together with all other Investments made pursuant to this clause (13) that are at that time outstanding (without giving effect to the sale of an Unrestricted Subsidiary to the extent the proceeds of such sale do not consist of cash or have not been subsequently sold or transferred for cash or marketable securities), not to exceed the greater of (a) $400,000,000 and (b) 5.0% of Total Assets; </w:t>
      </w:r>
    </w:p>
    <w:p>
      <w:pPr>
        <w:pStyle w:val="TextBody"/>
        <w:bidi w:val="0"/>
        <w:spacing w:before="120" w:after="0"/>
        <w:jc w:val="left"/>
        <w:rPr>
          <w:rFonts w:ascii="Times New Roman" w:hAnsi="Times New Roman"/>
          <w:sz w:val="20"/>
        </w:rPr>
      </w:pPr>
      <w:r>
        <w:rPr>
          <w:rFonts w:ascii="Times New Roman" w:hAnsi="Times New Roman"/>
          <w:sz w:val="20"/>
        </w:rPr>
        <w:t xml:space="preserve">(14) (a) Investments in or relating to a Securitization Subsidiary that, in the good faith determination of the Borrower, are necessary or advisable to effect any Qualified Securitization Financing or any repurchase obligation in connection therewith and (b) distributions or payments of Securitization Fees and purchases of Securitization Assets pursuant to a Securitization Repurchase Obligation in connection with a Qualified Securitization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advances to, or guarantees of Indebtedness of, employees not in excess of $15,000,000 outstanding at any one time,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(16) loans and advances to employees, directors, officers, managers, distributors and consultants of the Borrower and its Restricted Subsidiaries for business-related travel, entertainment, moving and analogous ordinary business purposes or payroll advances, in each case incurred in the ordinary course of business or consistent with past practices or to fund such Person’s purchase of Equity Interests of the Borrower or any direct or indirect parent company thereof; </w:t>
      </w:r>
    </w:p>
    <w:p>
      <w:pPr>
        <w:pStyle w:val="TextBody"/>
        <w:bidi w:val="0"/>
        <w:spacing w:before="120" w:after="0"/>
        <w:jc w:val="left"/>
        <w:rPr>
          <w:rFonts w:ascii="Times New Roman" w:hAnsi="Times New Roman"/>
          <w:sz w:val="20"/>
        </w:rPr>
      </w:pPr>
      <w:r>
        <w:rPr>
          <w:rFonts w:ascii="Times New Roman" w:hAnsi="Times New Roman"/>
          <w:sz w:val="20"/>
        </w:rPr>
        <w:t xml:space="preserve">(17) advances, loans or extensions of trade credit in the ordinary course of business by the Borrower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(18) any Investment in any Subsidiary or any joint venture in connection with intercompany cash management arrangements or related activities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(19) Investments consisting of purchases and acquisitions of assets or services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(20) Investments made in the ordinary course of business in connection with obtaining, maintaining or renewing client contacts and loans or advances made to distributors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(21) Investments in prepaid expenses, negotiable instruments held for collection and lease, utility and workers’ compensation, performance and similar deposits entered into as a result of the operations of the business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in the ordinary course of business consisting of Uniform Commercial Code Article 3 endorsements for collection of deposit and Article 4 customary trade arrangements with customers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(23) any Investment in Headquarters SPV, the proceeds of which are applied to repay, redeem or repurchase a Headquarters Financing;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to the extent that payment for such Investments is made solely with Equity Interests of the Borrower or Holdings or any other direct or indirect parent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(25) Investments made in the ordinary course of business in connection with obtaining, maintaining or renewing client contracts; and </w:t>
      </w:r>
    </w:p>
    <w:p>
      <w:pPr>
        <w:pStyle w:val="TextBody"/>
        <w:bidi w:val="0"/>
        <w:spacing w:before="120" w:after="0"/>
        <w:jc w:val="left"/>
        <w:rPr>
          <w:rFonts w:ascii="Times New Roman" w:hAnsi="Times New Roman"/>
          <w:sz w:val="20"/>
        </w:rPr>
      </w:pPr>
      <w:r>
        <w:rPr>
          <w:rFonts w:ascii="Times New Roman" w:hAnsi="Times New Roman"/>
          <w:sz w:val="20"/>
        </w:rPr>
        <w:t xml:space="preserve">(26) Investments in any Subsidiary or joint venture having an aggregate fair market value, taken together with all other Investments made pursuant to this clause (26) that are at the time outstanding, not to exceed in the aggregate at any time outstanding the greater of $75,000,000 and 1.0% of Total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Liens</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pledges, deposits or security by such Person under workers’ compensation laws, unemployment insurance, employers’ health tax, and other social security laws or similar legislation or other insurance related obligations (including, but not limited to, in respect of deductibles, self-insured retention amounts and premiums and adjustments thereto) or indemnification obligations of (including obligations in respect of letters of credit or bank guarantees for the benefit of) insurance carriers providing property, casualty or liability insurance,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 Liens imposed by law, such as landlords’, carriers’, warehousemen’s, materialmen’s, repairmen’s, construction contractors’, mechanics’ Liens or other like Liens, so long as, in each case, such Liens arise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other governmental charges not yet overdue for a period of more than 30 days or not yet payable or subject to penalties for nonpayment or which are being contested in good faith by appropriate proceedings for which appropriate reserves have been established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(4) Liens in favor of issuers of performance, surety, bid, indemnity, warranty, release, appeal or similar bonds or with respect to other regulatory requirements or letters of credit or bankers’ acceptances issued, and completion guarantees provided for, in each case, issued pursuant to the request of and for the account of such Person in the ordinary course of its business or consistent with past practice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(5) survey exceptions, encumbrances, ground leases, easements, covenants, encroachments, protrusions or reservations of, or rights of others for, licenses, rights-of-way, servitudes, sewers, electric lines, drains, telegraph, telephone and cable television lines, gas and oil pipelines and other similar purposes, or zoning, building codes or other restrictions (including defects and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and adversely impair their use in the operation of the business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(6) Liens securing Obligations relating to any Indebtedness permitted to be incurred pursuant to clause (4), (12)(b), (13), (23) or (24) of Section 4.09(b) hereof; </w:t>
      </w:r>
      <w:r>
        <w:rPr>
          <w:rFonts w:ascii="Times New Roman" w:hAnsi="Times New Roman"/>
          <w:i/>
          <w:sz w:val="20"/>
        </w:rPr>
        <w:t xml:space="preserve">provided </w:t>
      </w:r>
      <w:r>
        <w:rPr>
          <w:rFonts w:ascii="Times New Roman" w:hAnsi="Times New Roman"/>
          <w:sz w:val="20"/>
        </w:rPr>
        <w:t xml:space="preserve">that (a) Liens securing Obligations relating to any Indebtedness, Disqualified Stock or Preferred Stock permitted to be incurred pursuant to clause (13) relate only to Obligations relating to Refinancing Indebtedness that (x) is secured by Liens on the same assets as the assets securing the Refinancing Indebtedness or (y) extends, replaces, refunds, refinances, renews or defeases Indebtedness incurred or Disqualified Stock or Preferred Stock issued under clause (4) or (12)(b) of Section 4.09(b) hereof, (b) Liens securing Obligations relating to Indebtedness permitted to be incurred pursuant to clause (23) extend only to the assets of Foreign Subsidiaries, (c) Liens securing Obligations relating to any Indebtedness permitted to be incurred pursuant to clause (24) are solely on acquired property or the assets of the acquired entity and (d) Liens securing Obligations relating to any Indebtedness, Disqualified Stock or Preferred Stock to be incurred pursuant to clause (4) of Section 4.09(b) hereof extend only to the assets so purchased, leased or improved;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Liens existing on the Closing Date (other than Liens securing the Senior Credit Facilities and the Secured Notes, but including Liens securing Indebtedness incurred on July 12, 2021, the net proceeds of which were used to repurchase, redeem or refinance any Refinancing Indebtedness in respect of the Former November 2023 Notes); </w:t>
      </w:r>
    </w:p>
    <w:p>
      <w:pPr>
        <w:pStyle w:val="TextBody"/>
        <w:bidi w:val="0"/>
        <w:spacing w:before="120" w:after="0"/>
        <w:jc w:val="left"/>
        <w:rPr>
          <w:rFonts w:ascii="Times New Roman" w:hAnsi="Times New Roman"/>
          <w:sz w:val="20"/>
        </w:rPr>
      </w:pPr>
      <w:r>
        <w:rPr>
          <w:rFonts w:ascii="Times New Roman" w:hAnsi="Times New Roman"/>
          <w:sz w:val="20"/>
        </w:rPr>
        <w:t xml:space="preserve">(8) Liens on property or shares of stock or other assets of a Person at the time such Person becomes a Subsidiary; </w:t>
      </w:r>
      <w:r>
        <w:rPr>
          <w:rFonts w:ascii="Times New Roman" w:hAnsi="Times New Roman"/>
          <w:i/>
          <w:sz w:val="20"/>
        </w:rPr>
        <w:t xml:space="preserve">provided </w:t>
      </w:r>
      <w:r>
        <w:rPr>
          <w:rFonts w:ascii="Times New Roman" w:hAnsi="Times New Roman"/>
          <w:sz w:val="20"/>
        </w:rPr>
        <w:t xml:space="preserve">that such Liens are not created or incurred in connection with, or in contemplation of, such other Person becoming such a Subsidiary; provided further that such Liens may not extend to any other property or other assets owned by the Borrower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(9) Liens on property or other assets at the time the Borrower or a Restricted Subsidiary acquired the property or such other assets, including any acquisition by means of a merger, amalgamation or consolidation with or into the Borrower or any of its Restricted Subsidiaries; </w:t>
      </w:r>
      <w:r>
        <w:rPr>
          <w:rFonts w:ascii="Times New Roman" w:hAnsi="Times New Roman"/>
          <w:i/>
          <w:sz w:val="20"/>
        </w:rPr>
        <w:t xml:space="preserve">provided </w:t>
      </w:r>
      <w:r>
        <w:rPr>
          <w:rFonts w:ascii="Times New Roman" w:hAnsi="Times New Roman"/>
          <w:sz w:val="20"/>
        </w:rPr>
        <w:t xml:space="preserve">that such Liens are not created or incurred in connection with, or in contemplation of, such acquisition, amalgamation, merger or consolidation; provided further that the Liens may not extend to any other property owned by the Borrower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(10) Liens securing Obligations relating to any Indebtedness or other obligations of a Restricted Subsidiary owing to the Borrower or another Restricted Subsidiary permitted to be incurred in accordance with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(11) Liens securing Hedging Obligations; provided that, with respect to Hedging Obligations relating to Indebtedness, such Indebtedness is, and is permitted to be under this Agreement, secured by a Lien on the same property securing such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(12) Liens on specific items of inventory or other goods and proceeds of any Person securing such Person’s accounts payable or similar trade obligations in respect of bankers’ acceptances or trade letters of credit issued or created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(13) leases, subleases, licenses or sublicenses granted to others in the ordinary course of business (including the provision of software under an open-source license) which do not (a) materially interfere with the operation of the business of the Borrower or any of its Restricted Subsidiaries, taken as a whole, or (b)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(14) Liens arising from Uniform Commercial Code (or equivalent statute) financing statement filings regarding operating leases or consignments entered into by the Borrower and its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(15) Liens in favor of the Borrower or any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Liens on equipment of the Borrower or any of its Restricted Subsidiaries granted in the ordinary course of business to the Borrower’s clients; </w:t>
      </w:r>
    </w:p>
    <w:p>
      <w:pPr>
        <w:pStyle w:val="TextBody"/>
        <w:bidi w:val="0"/>
        <w:spacing w:before="120" w:after="0"/>
        <w:jc w:val="left"/>
        <w:rPr>
          <w:rFonts w:ascii="Times New Roman" w:hAnsi="Times New Roman"/>
          <w:sz w:val="20"/>
        </w:rPr>
      </w:pPr>
      <w:r>
        <w:rPr>
          <w:rFonts w:ascii="Times New Roman" w:hAnsi="Times New Roman"/>
          <w:sz w:val="20"/>
        </w:rPr>
        <w:t xml:space="preserve">(17) Liens on accounts receivable, Securitization Assets and related assets incurred in connection with a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(7), (8) and (9); </w:t>
      </w:r>
      <w:r>
        <w:rPr>
          <w:rFonts w:ascii="Times New Roman" w:hAnsi="Times New Roman"/>
          <w:i/>
          <w:sz w:val="20"/>
        </w:rPr>
        <w:t xml:space="preserve">provided </w:t>
      </w:r>
      <w:r>
        <w:rPr>
          <w:rFonts w:ascii="Times New Roman" w:hAnsi="Times New Roman"/>
          <w:sz w:val="20"/>
        </w:rPr>
        <w:t xml:space="preserve">that (a) such new Lien shall be limited to all or part of the same property that secured the original Lien (plus improvements on such property) and proceeds and products thereof and (b) the Indebtedness secured by such Lien at such time is not increased to any amount greater than the sum of (i) the outstanding principal amount of the Indebtedness described under clauses (7), (8) and (9) at the time the original Lien became a Permitted Lien under this Agreement and (ii) an amount necessary to pay any fees and expenses, including premiums and accrued and unpaid interest, related to such modification, refinancing, refunding, extension, renewal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(19) deposits made or other security provided in the ordinary course of business to secure liability to insurance carriers; </w:t>
      </w:r>
    </w:p>
    <w:p>
      <w:pPr>
        <w:pStyle w:val="TextBody"/>
        <w:bidi w:val="0"/>
        <w:spacing w:before="120" w:after="0"/>
        <w:jc w:val="left"/>
        <w:rPr>
          <w:rFonts w:ascii="Times New Roman" w:hAnsi="Times New Roman"/>
          <w:sz w:val="20"/>
        </w:rPr>
      </w:pPr>
      <w:r>
        <w:rPr>
          <w:rFonts w:ascii="Times New Roman" w:hAnsi="Times New Roman"/>
          <w:sz w:val="20"/>
        </w:rPr>
        <w:t xml:space="preserve">(20) other Liens securing obligations in an aggregate amount at any one time outstanding not to exceed the greater of (a) $200,000,000 and (b) 3.0% of Total Assets determined as of the date of incurrence; </w:t>
      </w:r>
    </w:p>
    <w:p>
      <w:pPr>
        <w:pStyle w:val="TextBody"/>
        <w:bidi w:val="0"/>
        <w:spacing w:before="120" w:after="0"/>
        <w:jc w:val="left"/>
        <w:rPr>
          <w:rFonts w:ascii="Times New Roman" w:hAnsi="Times New Roman"/>
          <w:sz w:val="20"/>
        </w:rPr>
      </w:pPr>
      <w:r>
        <w:rPr>
          <w:rFonts w:ascii="Times New Roman" w:hAnsi="Times New Roman"/>
          <w:sz w:val="20"/>
        </w:rPr>
        <w:t xml:space="preserve">(21) Liens arising from judgments or orders for the payment of money not constituting an Event of Default under clause (5) of Section 6.01 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(23) Liens (a) of a collection bank arising under applicable law, including the Uniform Commercial Code on items in the course of collection, (b) attaching to commodity or securities trading accounts or other commodity or securities brokerage accounts incurred in the ordinary course of business and (c)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or financial institution’s general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(24) Liens deemed to exist in connection with Investments in repurchase agreements permitted under Section 4.09 hereof; </w:t>
      </w:r>
      <w:r>
        <w:rPr>
          <w:rFonts w:ascii="Times New Roman" w:hAnsi="Times New Roman"/>
          <w:i/>
          <w:sz w:val="20"/>
        </w:rPr>
        <w:t xml:space="preserve">provided </w:t>
      </w:r>
      <w:r>
        <w:rPr>
          <w:rFonts w:ascii="Times New Roman" w:hAnsi="Times New Roman"/>
          <w:sz w:val="20"/>
        </w:rPr>
        <w:t xml:space="preserve">that such Liens do not extend to any assets other than those that are the subject of such repurchase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(25) Liens encumbering reasonable customary deposits and margin deposits and similar Liens attaching to commodity trading accounts or other brokerage accounts incurred in the ordinary course of business and not for speculative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Liens that are contractual rights of set-off (a) relating to the establishment of depository relations with banks or other financial institutions not given in connection with the issuance of Indebtedness, (b) relating to pooled deposit or sweep accounts of the Borrower or any of its Restricted Subsidiaries to permit satisfaction of overdraft or similar obligations incurred in the ordinary course of business of the Borrower and its Restricted Subsidiaries or (c) relating to purchase orders and other agreements entered into with customers of the Borrower or any of its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Liens securing obligations owed by the Borrower or any Restricted Subsidiary in respect of any overdraft and related liabilities arising from treasury, depository and cash management services or any automated clearing house transfers of funds; </w:t>
      </w:r>
    </w:p>
    <w:p>
      <w:pPr>
        <w:pStyle w:val="TextBody"/>
        <w:bidi w:val="0"/>
        <w:spacing w:before="120" w:after="0"/>
        <w:jc w:val="left"/>
        <w:rPr>
          <w:rFonts w:ascii="Times New Roman" w:hAnsi="Times New Roman"/>
          <w:sz w:val="20"/>
        </w:rPr>
      </w:pPr>
      <w:r>
        <w:rPr>
          <w:rFonts w:ascii="Times New Roman" w:hAnsi="Times New Roman"/>
          <w:sz w:val="20"/>
        </w:rPr>
        <w:t xml:space="preserve">(28) any encumbrance or restriction (including put and call arrangements) with respect to capital stock of any joint venture or similar arrangement pursuant to any joint venture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(29) Liens arising out of conditional sale, title retention, consignment or similar arrangements for the sale or purchase of goods entered into by the Borrower or any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(30) Liens solely on any cash earnest money deposits made by the Borrower or any of its Restricted Subsidiaries in connection with any letter of intent or purchase agreement permitted; </w:t>
      </w:r>
    </w:p>
    <w:p>
      <w:pPr>
        <w:pStyle w:val="TextBody"/>
        <w:bidi w:val="0"/>
        <w:spacing w:before="120" w:after="0"/>
        <w:jc w:val="left"/>
        <w:rPr>
          <w:rFonts w:ascii="Times New Roman" w:hAnsi="Times New Roman"/>
          <w:sz w:val="20"/>
        </w:rPr>
      </w:pPr>
      <w:r>
        <w:rPr>
          <w:rFonts w:ascii="Times New Roman" w:hAnsi="Times New Roman"/>
          <w:sz w:val="20"/>
        </w:rPr>
        <w:t xml:space="preserve">(31) ground leases in respect of real property on which facilities owned or leased by the Borrower or any of its Subsidiaries are located; </w:t>
      </w:r>
    </w:p>
    <w:p>
      <w:pPr>
        <w:pStyle w:val="TextBody"/>
        <w:bidi w:val="0"/>
        <w:spacing w:before="120" w:after="0"/>
        <w:jc w:val="left"/>
        <w:rPr>
          <w:rFonts w:ascii="Times New Roman" w:hAnsi="Times New Roman"/>
          <w:sz w:val="20"/>
        </w:rPr>
      </w:pPr>
      <w:r>
        <w:rPr>
          <w:rFonts w:ascii="Times New Roman" w:hAnsi="Times New Roman"/>
          <w:sz w:val="20"/>
        </w:rPr>
        <w:t xml:space="preserve">(32) Liens on insurance policies and the proceeds thereof securing the financing of the premiums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(33) Liens on Capital Stock of an Unrestricted Subsidiary that secure Indebtedness or other obligations of such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(34) Liens on the assets of non-Guarantor Subsidiaries securing Indebtedness of such Subsidiaries that were permitted by the terms of this Agreement to be incurred; </w:t>
      </w:r>
    </w:p>
    <w:p>
      <w:pPr>
        <w:pStyle w:val="TextBody"/>
        <w:bidi w:val="0"/>
        <w:spacing w:before="120" w:after="0"/>
        <w:jc w:val="left"/>
        <w:rPr>
          <w:rFonts w:ascii="Times New Roman" w:hAnsi="Times New Roman"/>
          <w:sz w:val="20"/>
        </w:rPr>
      </w:pPr>
      <w:r>
        <w:rPr>
          <w:rFonts w:ascii="Times New Roman" w:hAnsi="Times New Roman"/>
          <w:sz w:val="20"/>
        </w:rPr>
        <w:t xml:space="preserve">(35) Liens arising solely from precautionary UCC financing statements or similar filings; </w:t>
      </w:r>
    </w:p>
    <w:p>
      <w:pPr>
        <w:pStyle w:val="TextBody"/>
        <w:bidi w:val="0"/>
        <w:spacing w:before="120" w:after="0"/>
        <w:jc w:val="left"/>
        <w:rPr>
          <w:rFonts w:ascii="Times New Roman" w:hAnsi="Times New Roman"/>
          <w:sz w:val="20"/>
        </w:rPr>
      </w:pPr>
      <w:r>
        <w:rPr>
          <w:rFonts w:ascii="Times New Roman" w:hAnsi="Times New Roman"/>
          <w:sz w:val="20"/>
        </w:rPr>
        <w:t xml:space="preserve">(36) Liens (including Liens on cash collateral) securing letters of credit in a currency other than dollars permitted under clause (5) of Section 4.09(b) hereof in an aggregate amount at any time outstanding not to exceed $50,000,000; </w:t>
      </w:r>
    </w:p>
    <w:p>
      <w:pPr>
        <w:pStyle w:val="TextBody"/>
        <w:bidi w:val="0"/>
        <w:spacing w:before="120" w:after="0"/>
        <w:jc w:val="left"/>
        <w:rPr>
          <w:rFonts w:ascii="Times New Roman" w:hAnsi="Times New Roman"/>
          <w:sz w:val="20"/>
        </w:rPr>
      </w:pPr>
      <w:r>
        <w:rPr>
          <w:rFonts w:ascii="Times New Roman" w:hAnsi="Times New Roman"/>
          <w:sz w:val="20"/>
        </w:rPr>
        <w:t xml:space="preserve">(37) the rights reserved or vested in any Person by the terms of any lease, license, franchise, grant or permit held by the Borrower or any Restricted Subsidiary thereof or by a statutory provision, to terminate any such lease, license, franchise, grant or permit, or to require annual or periodic payments as a condition to the continuance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security given to a public utility or any municipality or governmental authority when required by such utility or authority in connection with the operations of that Person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(39) Liens on LC Assets securing letters of credit, demand guarantees, bankers’ acceptances or similar obligations and reimbursement obligations in respect thereof; and </w:t>
      </w:r>
    </w:p>
    <w:p>
      <w:pPr>
        <w:pStyle w:val="TextBody"/>
        <w:bidi w:val="0"/>
        <w:spacing w:before="120" w:after="0"/>
        <w:jc w:val="left"/>
        <w:rPr>
          <w:rFonts w:ascii="Times New Roman" w:hAnsi="Times New Roman"/>
          <w:sz w:val="20"/>
        </w:rPr>
      </w:pPr>
      <w:r>
        <w:rPr>
          <w:rFonts w:ascii="Times New Roman" w:hAnsi="Times New Roman"/>
          <w:sz w:val="20"/>
        </w:rPr>
        <w:t xml:space="preserve">(40) (a) Liens securing (x) Indebtedness and other Obligations permitted to be incurred under Credit Facilities, including any letter of credit facility relating thereto, that was incurred pursuant to clause (1) of Section 4.09(b) hereof and (y) obligations of the Borrower or any Subsidiary in respect of any Bank Products provided by any lender party to any Senior Credit Facilities or any Affiliate of such lender (or any Person that was a lender or an Affiliate of a lender at the time the applicable agreements pursuant to which such Bank Products are provided were entered into); </w:t>
      </w:r>
    </w:p>
    <w:p>
      <w:pPr>
        <w:pStyle w:val="TextBody"/>
        <w:bidi w:val="0"/>
        <w:spacing w:before="120" w:after="0"/>
        <w:jc w:val="left"/>
        <w:rPr>
          <w:rFonts w:ascii="Times New Roman" w:hAnsi="Times New Roman"/>
          <w:sz w:val="20"/>
        </w:rPr>
      </w:pPr>
      <w:r>
        <w:rPr>
          <w:rFonts w:ascii="Times New Roman" w:hAnsi="Times New Roman"/>
          <w:sz w:val="20"/>
        </w:rPr>
        <w:t xml:space="preserve">(b) Liens securing the Secured Notes outstanding on the Closing Date and replacement notes therefor (including any guarantees related to the foregoing), other than Indebtedness secured pursuant to clause (a); </w:t>
      </w:r>
    </w:p>
    <w:p>
      <w:pPr>
        <w:pStyle w:val="TextBody"/>
        <w:bidi w:val="0"/>
        <w:spacing w:before="120" w:after="0"/>
        <w:jc w:val="left"/>
        <w:rPr>
          <w:rFonts w:ascii="Times New Roman" w:hAnsi="Times New Roman"/>
          <w:sz w:val="20"/>
        </w:rPr>
      </w:pPr>
      <w:r>
        <w:rPr>
          <w:rFonts w:ascii="Times New Roman" w:hAnsi="Times New Roman"/>
          <w:sz w:val="20"/>
        </w:rPr>
        <w:t xml:space="preserve">(c) Liens securing the Term Loan on the Closing Date and replacement notes therefor (including any guarantees related to the foregoing); </w:t>
      </w:r>
    </w:p>
    <w:p>
      <w:pPr>
        <w:pStyle w:val="TextBody"/>
        <w:bidi w:val="0"/>
        <w:spacing w:before="120" w:after="0"/>
        <w:jc w:val="left"/>
        <w:rPr>
          <w:rFonts w:ascii="Times New Roman" w:hAnsi="Times New Roman"/>
          <w:sz w:val="20"/>
        </w:rPr>
      </w:pPr>
      <w:r>
        <w:rPr>
          <w:rFonts w:ascii="Times New Roman" w:hAnsi="Times New Roman"/>
          <w:sz w:val="20"/>
        </w:rPr>
        <w:t xml:space="preserve">(d) Liens securing Additional First Lien Obligations or Junior Lien Obligations permitted to be incurred under Section 4.09 hereof; </w:t>
      </w:r>
      <w:r>
        <w:rPr>
          <w:rFonts w:ascii="Times New Roman" w:hAnsi="Times New Roman"/>
          <w:i/>
          <w:sz w:val="20"/>
        </w:rPr>
        <w:t xml:space="preserve">provided </w:t>
      </w:r>
      <w:r>
        <w:rPr>
          <w:rFonts w:ascii="Times New Roman" w:hAnsi="Times New Roman"/>
          <w:sz w:val="20"/>
        </w:rPr>
        <w:t xml:space="preserve">that, with respect to Liens securing Indebtedness permitted under this subclause (d), at the time of incurrence and after giving pro forma effect thereto, the Senior Secured Leverage Ratio would be no greater than 5.0 to 1.0; and </w:t>
      </w:r>
    </w:p>
    <w:p>
      <w:pPr>
        <w:pStyle w:val="TextBody"/>
        <w:bidi w:val="0"/>
        <w:spacing w:before="120" w:after="0"/>
        <w:jc w:val="left"/>
        <w:rPr>
          <w:rFonts w:ascii="Times New Roman" w:hAnsi="Times New Roman"/>
          <w:sz w:val="20"/>
        </w:rPr>
      </w:pPr>
      <w:r>
        <w:rPr>
          <w:rFonts w:ascii="Times New Roman" w:hAnsi="Times New Roman"/>
          <w:sz w:val="20"/>
        </w:rPr>
        <w:t xml:space="preserve">(e) Liens securing Additional First Lien Obligations or Junior Lien Obligations permitted to be incurred under clause (13) of Section 4.09(b) hereof, to the extent that such Additional First Lien Obligations or Junior Lien Obligations serve to extend, replace, refund, refinance, renew or defease First Lien Obligations or Junior Lien Obligations secured with a Lien incurred pursuant to subclause (b), (c), (d) or (e) of this clause (40);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that, in each case, on or before any such Indebtedness or other Obligations are incurred and secured with a Lien pursuant to this clause (40), such Indebtedness or other Obligations are designated, as the case may be, as “</w:t>
      </w:r>
      <w:r>
        <w:rPr>
          <w:rFonts w:ascii="Times New Roman" w:hAnsi="Times New Roman"/>
          <w:i/>
          <w:sz w:val="20"/>
        </w:rPr>
        <w:t>First Lien Obligations</w:t>
      </w:r>
      <w:r>
        <w:rPr>
          <w:rFonts w:ascii="Times New Roman" w:hAnsi="Times New Roman"/>
          <w:sz w:val="20"/>
        </w:rPr>
        <w:t>” under the Intercreditor Agreement and the applicable First Lien Secured Parties with respect to such First Lien Obligations enter into the Intercreditor Agreement or as “</w:t>
      </w:r>
      <w:r>
        <w:rPr>
          <w:rFonts w:ascii="Times New Roman" w:hAnsi="Times New Roman"/>
          <w:i/>
          <w:sz w:val="20"/>
        </w:rPr>
        <w:t>Junior Lien Obligations</w:t>
      </w:r>
      <w:r>
        <w:rPr>
          <w:rFonts w:ascii="Times New Roman" w:hAnsi="Times New Roman"/>
          <w:sz w:val="20"/>
        </w:rPr>
        <w:t xml:space="preserve">” and the applicable Junior Lien Secured Parties enter into the Junior Lien Intercreditor Agreement with respect to such Junior Lien Obligations. </w:t>
      </w:r>
    </w:p>
    <w:p>
      <w:pPr>
        <w:pStyle w:val="TextBody"/>
        <w:bidi w:val="0"/>
        <w:spacing w:before="240" w:after="0"/>
        <w:jc w:val="left"/>
        <w:rPr>
          <w:rFonts w:ascii="Times New Roman" w:hAnsi="Times New Roman"/>
          <w:sz w:val="20"/>
        </w:rPr>
      </w:pPr>
      <w:r>
        <w:rPr>
          <w:rFonts w:ascii="Times New Roman" w:hAnsi="Times New Roman"/>
          <w:sz w:val="20"/>
        </w:rPr>
        <w:t>For purposes of this definition, the term “</w:t>
      </w:r>
      <w:r>
        <w:rPr>
          <w:rFonts w:ascii="Times New Roman" w:hAnsi="Times New Roman"/>
          <w:i/>
          <w:sz w:val="20"/>
        </w:rPr>
        <w:t>Indebtedness</w:t>
      </w:r>
      <w:r>
        <w:rPr>
          <w:rFonts w:ascii="Times New Roman" w:hAnsi="Times New Roman"/>
          <w:sz w:val="20"/>
        </w:rPr>
        <w:t xml:space="preserve">” shall be deemed to include interest on such Indebtedness.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240" w:after="0"/>
        <w:jc w:val="left"/>
        <w:rPr/>
      </w:pPr>
      <w:r>
        <w:rPr/>
        <w:t>“</w:t>
      </w:r>
      <w:r>
        <w:rPr>
          <w:rFonts w:ascii="Times New Roman" w:hAnsi="Times New Roman"/>
          <w:i/>
          <w:sz w:val="20"/>
        </w:rPr>
        <w:t>Qualified Holding Company Debt</w:t>
      </w:r>
      <w:r>
        <w:rPr>
          <w:rFonts w:ascii="Times New Roman" w:hAnsi="Times New Roman"/>
          <w:sz w:val="20"/>
        </w:rPr>
        <w:t xml:space="preserve">” shall mean unsecured Indebtedness of Holdings (or any direct or indirect parent thereof), (a) the terms of which do not provide for any scheduled repayment, mandatory prepayment or sinking fund obligation prior to the final maturity of Term Loan (other than customary offers to purchase upon a change of control, asset sale or event of loss and customary acceleration rights after an event of default), (b) that does not require any payments in cash of interest or other amounts in respect of the principal thereof prior to the earlier to occur of (i) the date that is five years from the date of the issuance or incurrence thereof and (ii) the date that is ninety one days after the final maturity of the Term Loan (it being understood that this clause (b) shall not prohibit Indebtedness, the terms of which permit the Borrower thereof to elect, at its option, to make payments in cash of interest or other amounts in respect of the principal thereof prior to the date determined in accordance with clauses (i) and (ii) of this clause (b)) and (c) that is not Guaranteed by the Borrower or any Restricted Subsidiary. </w:t>
      </w:r>
    </w:p>
    <w:p>
      <w:pPr>
        <w:pStyle w:val="TextBody"/>
        <w:bidi w:val="0"/>
        <w:spacing w:before="240" w:after="0"/>
        <w:jc w:val="left"/>
        <w:rPr/>
      </w:pPr>
      <w:r>
        <w:rPr/>
        <w:t>“</w:t>
      </w:r>
      <w:r>
        <w:rPr>
          <w:rFonts w:ascii="Times New Roman" w:hAnsi="Times New Roman"/>
          <w:i/>
          <w:sz w:val="20"/>
        </w:rPr>
        <w:t>Qualified Proceeds</w:t>
      </w:r>
      <w:r>
        <w:rPr>
          <w:rFonts w:ascii="Times New Roman" w:hAnsi="Times New Roman"/>
          <w:sz w:val="20"/>
        </w:rPr>
        <w:t xml:space="preserve">” means the fair market value of assets that are used or useful in, or Capital Stock of any Person engaged in, a Similar Business. </w:t>
      </w:r>
    </w:p>
    <w:p>
      <w:pPr>
        <w:pStyle w:val="TextBody"/>
        <w:bidi w:val="0"/>
        <w:spacing w:before="240" w:after="0"/>
        <w:jc w:val="left"/>
        <w:rPr/>
      </w:pPr>
      <w:r>
        <w:rPr/>
        <w:t>“</w:t>
      </w:r>
      <w:r>
        <w:rPr>
          <w:rFonts w:ascii="Times New Roman" w:hAnsi="Times New Roman"/>
          <w:i/>
          <w:sz w:val="20"/>
        </w:rPr>
        <w:t>Qualified Securitization Financing</w:t>
      </w:r>
      <w:r>
        <w:rPr>
          <w:rFonts w:ascii="Times New Roman" w:hAnsi="Times New Roman"/>
          <w:sz w:val="20"/>
        </w:rPr>
        <w:t xml:space="preserve">” means (a) the Securitization Facility and (b) any other Securitization Financing of a Securitization Subsidiary that in the case of this clause (b) meets the following conditions: (a) the board of directors of the Borrower shall have determined in good faith that such Qualified Securitization Financing (including financing terms, covenants, termination events and other provisions) is in the aggregate economically fair and reasonable to the Borrower and the Securitization Subsidiary, (b) all sales and/or contributions of Securitization Assets and related assets to the Securitization Subsidiary are made at fair market value (as determined in good faith by the Borrower) and (c) the financing terms, covenants, termination events and other provisions thereof, including any Standard Securitization Undertakings, shall be market terms (as determined in good faith by the Borrower). The grant of a security interest in any Securitization Assets of the Borrower or any of the Restricted Subsidiaries (other than a Securitization Subsidiary) to secure Indebtedness under this Agreement prior to engaging in any Securitization Financing shall not be deemed a Qualified Securitization Financing.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Moody’s and S&amp;P, or if Moody’s and S&amp;P or both shall not make a rating on the Term Loan publicly available, a nationally recognized statistical rating agency or agencies, as the case may be, selected by the Borrower which shall be substituted for Moody’s or S&amp;P or both, as the case may be. </w:t>
      </w:r>
    </w:p>
    <w:p>
      <w:pPr>
        <w:pStyle w:val="TextBody"/>
        <w:bidi w:val="0"/>
        <w:spacing w:before="240" w:after="0"/>
        <w:jc w:val="left"/>
        <w:rPr/>
      </w:pPr>
      <w:r>
        <w:rPr/>
        <w:t>“</w:t>
      </w:r>
      <w:r>
        <w:rPr>
          <w:rFonts w:ascii="Times New Roman" w:hAnsi="Times New Roman"/>
          <w:i/>
          <w:sz w:val="20"/>
        </w:rPr>
        <w:t>Related Business Assets</w:t>
      </w:r>
      <w:r>
        <w:rPr>
          <w:rFonts w:ascii="Times New Roman" w:hAnsi="Times New Roman"/>
          <w:sz w:val="20"/>
        </w:rPr>
        <w:t xml:space="preserve">” means assets (other than Cash Equivalents) used or useful in a Similar Business, provided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 </w:t>
      </w:r>
    </w:p>
    <w:p>
      <w:pPr>
        <w:pStyle w:val="TextBody"/>
        <w:bidi w:val="0"/>
        <w:spacing w:before="240" w:after="0"/>
        <w:jc w:val="left"/>
        <w:rPr/>
      </w:pPr>
      <w:r>
        <w:rPr/>
        <w:t>“</w:t>
      </w:r>
      <w:r>
        <w:rPr>
          <w:rFonts w:ascii="Times New Roman" w:hAnsi="Times New Roman"/>
          <w:i/>
          <w:sz w:val="20"/>
        </w:rPr>
        <w:t>Related Indemnified Person</w:t>
      </w:r>
      <w:r>
        <w:rPr>
          <w:rFonts w:ascii="Times New Roman" w:hAnsi="Times New Roman"/>
          <w:sz w:val="20"/>
        </w:rPr>
        <w:t xml:space="preserve">” means, with respect to an Indemnitee, (i) any controlling person or controlled affiliate of such Indemnitee, (ii) the respective partners, directors, officers, employees or other representatives of such Indemnitee or any of its controlling persons or controlled affiliates and (iii) the respective agents, counsel and advisors of such Indemnitee or any of its controlling persons or controlled affiliates, in the case of this clause (iii), acting in its capacity as such; </w:t>
      </w:r>
      <w:r>
        <w:rPr>
          <w:rFonts w:ascii="Times New Roman" w:hAnsi="Times New Roman"/>
          <w:i/>
          <w:sz w:val="20"/>
        </w:rPr>
        <w:t xml:space="preserve">provided </w:t>
      </w:r>
      <w:r>
        <w:rPr>
          <w:rFonts w:ascii="Times New Roman" w:hAnsi="Times New Roman"/>
          <w:sz w:val="20"/>
        </w:rPr>
        <w:t xml:space="preserve">that each reference to a controlled affiliate or controlling person in this sentence pertains to a controlled affiliate or controlling person involved in the negotiation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Reserved Indebtedness Amount</w:t>
      </w:r>
      <w:r>
        <w:rPr>
          <w:rFonts w:ascii="Times New Roman" w:hAnsi="Times New Roman"/>
          <w:sz w:val="20"/>
        </w:rPr>
        <w:t>” has the meaning set forth in Section 4.09 hereof or in the definition of “</w:t>
      </w:r>
      <w:r>
        <w:rPr>
          <w:rFonts w:ascii="Times New Roman" w:hAnsi="Times New Roman"/>
          <w:i/>
          <w:sz w:val="20"/>
        </w:rPr>
        <w:t>Senior Secured Leverage Ratio</w:t>
      </w:r>
      <w:r>
        <w:rPr>
          <w:rFonts w:ascii="Times New Roman" w:hAnsi="Times New Roman"/>
          <w:sz w:val="20"/>
        </w:rPr>
        <w:t xml:space="preserve">,” as applicable.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with respect to any Loan Party, the chief executive officer, president, vice president, chief financial officer, treasurer or assistant treasurer or other similar officer or Person performing similar functions of a Loan Party and, as to any document delivered on the Closing Date, any secretary or assistant secretary of a Loan Party and, solely for purposes of notices given under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means an Investment other than a Permitted Investment.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at any time, any direct or indirect Subsidiary of the Borrower (including any Foreign Subsidiary) that is not then an Unrestricted Subsidiary; </w:t>
      </w:r>
      <w:r>
        <w:rPr>
          <w:rFonts w:ascii="Times New Roman" w:hAnsi="Times New Roman"/>
          <w:i/>
          <w:sz w:val="20"/>
        </w:rPr>
        <w:t xml:space="preserve">provided </w:t>
      </w:r>
      <w:r>
        <w:rPr>
          <w:rFonts w:ascii="Times New Roman" w:hAnsi="Times New Roman"/>
          <w:sz w:val="20"/>
        </w:rPr>
        <w:t>that upon an Unrestricted Subsidiary ceasing to be an Unrestricted Subsidiary, such Subsidiary shall be included in the definition of “</w:t>
      </w:r>
      <w:r>
        <w:rPr>
          <w:rFonts w:ascii="Times New Roman" w:hAnsi="Times New Roman"/>
          <w:i/>
          <w:sz w:val="20"/>
        </w:rPr>
        <w:t>Restricted Subsidiary</w:t>
      </w:r>
      <w:r>
        <w:rPr>
          <w:rFonts w:ascii="Times New Roman" w:hAnsi="Times New Roman"/>
          <w:sz w:val="20"/>
        </w:rPr>
        <w:t>.” Unless otherwise specified or the context otherwise requires, a reference to a “</w:t>
      </w:r>
      <w:r>
        <w:rPr>
          <w:rFonts w:ascii="Times New Roman" w:hAnsi="Times New Roman"/>
          <w:i/>
          <w:sz w:val="20"/>
        </w:rPr>
        <w:t>Restricted Subsidiary</w:t>
      </w:r>
      <w:r>
        <w:rPr>
          <w:rFonts w:ascii="Times New Roman" w:hAnsi="Times New Roman"/>
          <w:sz w:val="20"/>
        </w:rPr>
        <w:t xml:space="preserve">” shall be a reference to a Restricted Subsidiary of the Borrower.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a division of The McGraw-Hill Companies, Inc., and any successor to its rating agency business. </w:t>
      </w:r>
    </w:p>
    <w:p>
      <w:pPr>
        <w:pStyle w:val="TextBody"/>
        <w:bidi w:val="0"/>
        <w:spacing w:before="240" w:after="0"/>
        <w:jc w:val="left"/>
        <w:rPr/>
      </w:pPr>
      <w:r>
        <w:rPr/>
        <w:t>“</w:t>
      </w:r>
      <w:r>
        <w:rPr>
          <w:rFonts w:ascii="Times New Roman" w:hAnsi="Times New Roman"/>
          <w:i/>
          <w:sz w:val="20"/>
        </w:rPr>
        <w:t>Sale and Lease</w:t>
      </w:r>
      <w:r>
        <w:rPr>
          <w:rFonts w:ascii="Times New Roman" w:hAnsi="Times New Roman"/>
          <w:sz w:val="20"/>
        </w:rPr>
        <w:t>-</w:t>
      </w:r>
      <w:r>
        <w:rPr>
          <w:rFonts w:ascii="Times New Roman" w:hAnsi="Times New Roman"/>
          <w:i/>
          <w:sz w:val="20"/>
        </w:rPr>
        <w:t>Back Transaction</w:t>
      </w:r>
      <w:r>
        <w:rPr>
          <w:rFonts w:ascii="Times New Roman" w:hAnsi="Times New Roman"/>
          <w:sz w:val="20"/>
        </w:rPr>
        <w:t xml:space="preserve">” means any arrangement providing for the leasing by the Borrower or any of its Restricted Subsidiaries of any real or tangible personal property, which property has been or is to be sold or transferred by the Borrower or such Restricted Subsidiary to a third Person in contemplation of such leasing. </w:t>
      </w:r>
    </w:p>
    <w:p>
      <w:pPr>
        <w:pStyle w:val="TextBody"/>
        <w:bidi w:val="0"/>
        <w:spacing w:before="240" w:after="0"/>
        <w:jc w:val="left"/>
        <w:rPr/>
      </w:pPr>
      <w:r>
        <w:rPr/>
        <w:t>“</w:t>
      </w:r>
      <w:r>
        <w:rPr>
          <w:rFonts w:ascii="Times New Roman" w:hAnsi="Times New Roman"/>
          <w:i/>
          <w:sz w:val="20"/>
        </w:rPr>
        <w:t>Same Day Funds</w:t>
      </w:r>
      <w:r>
        <w:rPr>
          <w:rFonts w:ascii="Times New Roman" w:hAnsi="Times New Roman"/>
          <w:sz w:val="20"/>
        </w:rPr>
        <w:t xml:space="preserve">” means payments in U.S. dollars immediately available funds.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i/>
          <w:sz w:val="20"/>
        </w:rPr>
        <w:t>Secured Indebtedness</w:t>
      </w:r>
      <w:r>
        <w:rPr>
          <w:rFonts w:ascii="Times New Roman" w:hAnsi="Times New Roman"/>
          <w:sz w:val="20"/>
        </w:rPr>
        <w:t xml:space="preserve">” means any Indebtedness of the Borrower or any of its Restricted Subsidiaries secured by a Lien. </w:t>
      </w:r>
    </w:p>
    <w:p>
      <w:pPr>
        <w:pStyle w:val="TextBody"/>
        <w:bidi w:val="0"/>
        <w:spacing w:before="240" w:after="0"/>
        <w:jc w:val="left"/>
        <w:rPr/>
      </w:pPr>
      <w:r>
        <w:rPr/>
        <w:t>“</w:t>
      </w:r>
      <w:r>
        <w:rPr>
          <w:rFonts w:ascii="Times New Roman" w:hAnsi="Times New Roman"/>
          <w:i/>
          <w:sz w:val="20"/>
        </w:rPr>
        <w:t>Secured Notes</w:t>
      </w:r>
      <w:r>
        <w:rPr>
          <w:rFonts w:ascii="Times New Roman" w:hAnsi="Times New Roman"/>
          <w:sz w:val="20"/>
        </w:rPr>
        <w:t xml:space="preserve">” means the November 2029 Notes, the March 2030 Notes and the July 2030 Notes, and any guarantees of any of the foregoing. </w:t>
      </w:r>
    </w:p>
    <w:p>
      <w:pPr>
        <w:pStyle w:val="TextBody"/>
        <w:bidi w:val="0"/>
        <w:spacing w:before="240" w:after="0"/>
        <w:jc w:val="left"/>
        <w:rPr/>
      </w:pPr>
      <w:r>
        <w:rPr/>
        <w:t>“</w:t>
      </w:r>
      <w:r>
        <w:rPr>
          <w:rFonts w:ascii="Times New Roman" w:hAnsi="Times New Roman"/>
          <w:i/>
          <w:sz w:val="20"/>
        </w:rPr>
        <w:t>Secured Obligation</w:t>
      </w:r>
      <w:r>
        <w:rPr>
          <w:rFonts w:ascii="Times New Roman" w:hAnsi="Times New Roman"/>
          <w:sz w:val="20"/>
        </w:rPr>
        <w:t xml:space="preserve">” has the meaning specified in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Secured Parties</w:t>
      </w:r>
      <w:r>
        <w:rPr>
          <w:rFonts w:ascii="Times New Roman" w:hAnsi="Times New Roman"/>
          <w:sz w:val="20"/>
        </w:rPr>
        <w:t xml:space="preserve">” means, collectively, the Administrative Agent, the Lender and each co-agent or sub-agent appointed by the Administrative Agent from time to time pursuant to Section 7.02.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of the SEC promulgated thereunder. </w:t>
      </w:r>
    </w:p>
    <w:p>
      <w:pPr>
        <w:pStyle w:val="TextBody"/>
        <w:bidi w:val="0"/>
        <w:spacing w:before="240" w:after="0"/>
        <w:jc w:val="left"/>
        <w:rPr/>
      </w:pPr>
      <w:r>
        <w:rPr/>
        <w:t>“</w:t>
      </w:r>
      <w:r>
        <w:rPr>
          <w:rFonts w:ascii="Times New Roman" w:hAnsi="Times New Roman"/>
          <w:i/>
          <w:sz w:val="20"/>
        </w:rPr>
        <w:t>Securitization Assets</w:t>
      </w:r>
      <w:r>
        <w:rPr>
          <w:rFonts w:ascii="Times New Roman" w:hAnsi="Times New Roman"/>
          <w:sz w:val="20"/>
        </w:rPr>
        <w:t xml:space="preserve">” means the accounts receivable, royalty or other revenue streams and other rights to payment subject to a Qualified Securitization Financing and the proceeds thereof. </w:t>
      </w:r>
    </w:p>
    <w:p>
      <w:pPr>
        <w:pStyle w:val="TextBody"/>
        <w:bidi w:val="0"/>
        <w:spacing w:before="240" w:after="0"/>
        <w:jc w:val="left"/>
        <w:rPr/>
      </w:pPr>
      <w:r>
        <w:rPr/>
        <w:t>“</w:t>
      </w:r>
      <w:r>
        <w:rPr>
          <w:rFonts w:ascii="Times New Roman" w:hAnsi="Times New Roman"/>
          <w:i/>
          <w:sz w:val="20"/>
        </w:rPr>
        <w:t>Securitization Facility</w:t>
      </w:r>
      <w:r>
        <w:rPr>
          <w:rFonts w:ascii="Times New Roman" w:hAnsi="Times New Roman"/>
          <w:sz w:val="20"/>
        </w:rPr>
        <w:t xml:space="preserve">” means, collectively, (a) the Receivables Financing Agreement, dated as of February 14, 2023, as amended as of March 29, 2024, by and among Sabre Securitization, LLC, Sabre GLBL Inc., Sabre Global Technologies Limited, Sabre Corporation, and PNC Bank, N.A., as administrative agent, PNC Capital Markets LLC, as structuring agent, and the lenders and other parties thereto, including entities advised by affiliates of Centerbridge Partners, L.P., (b) the Sale and Contribution Agreement, dated as of March 30, 2023, by and among Sabre Securitization, LLC, Sabre GLBL Inc., GetThere L.P., Radixx Solutions International, Inc. and Prism Group, Inc. and (c) the English Sale Agreement, dated as of March 30, 2023, by and among Sabre Securitization, LLC and Sabre Global Technologies Limited, in each case, including any guarantees, collateral documents, instruments and agreements executed in connection therewith, and any amendments, supplements, modifications, extensions, renewals, restatements, refundings or refinancings thereof and any indentures, guarantees, credit facilities or commercial paper facilities that replace, refund, exchange or refinance (or successively replace, refund, exchange or refinance) any part of the loans, notes, guarantees, other credit facilities or commitments thereunder, including any such replacement, refunding or refinancing facility or indenture (or successive replacement, refunding, exchange or refinancing facility or indenture) that increases the amount borrowable thereunder or alters the maturity thereof. </w:t>
      </w:r>
    </w:p>
    <w:p>
      <w:pPr>
        <w:pStyle w:val="TextBody"/>
        <w:bidi w:val="0"/>
        <w:spacing w:before="240" w:after="0"/>
        <w:jc w:val="left"/>
        <w:rPr/>
      </w:pPr>
      <w:r>
        <w:rPr/>
        <w:t>“</w:t>
      </w:r>
      <w:r>
        <w:rPr>
          <w:rFonts w:ascii="Times New Roman" w:hAnsi="Times New Roman"/>
          <w:i/>
          <w:sz w:val="20"/>
        </w:rPr>
        <w:t>Securitization Fees</w:t>
      </w:r>
      <w:r>
        <w:rPr>
          <w:rFonts w:ascii="Times New Roman" w:hAnsi="Times New Roman"/>
          <w:sz w:val="20"/>
        </w:rPr>
        <w:t xml:space="preserve">” means distributions or payments made directly or by means of discounts with respect to any participation interest issued or sold in connection with, and other fees paid to a Person that is not a Securitization Subsidiary in connection with any Qualified Securitization Financing. </w:t>
      </w:r>
    </w:p>
    <w:p>
      <w:pPr>
        <w:pStyle w:val="TextBody"/>
        <w:bidi w:val="0"/>
        <w:spacing w:before="240" w:after="0"/>
        <w:jc w:val="left"/>
        <w:rPr/>
      </w:pPr>
      <w:r>
        <w:rPr/>
        <w:t>“</w:t>
      </w:r>
      <w:r>
        <w:rPr>
          <w:rFonts w:ascii="Times New Roman" w:hAnsi="Times New Roman"/>
          <w:i/>
          <w:sz w:val="20"/>
        </w:rPr>
        <w:t>Securitization Financing</w:t>
      </w:r>
      <w:r>
        <w:rPr>
          <w:rFonts w:ascii="Times New Roman" w:hAnsi="Times New Roman"/>
          <w:sz w:val="20"/>
        </w:rPr>
        <w:t xml:space="preserve">”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w:t>
      </w:r>
    </w:p>
    <w:p>
      <w:pPr>
        <w:pStyle w:val="TextBody"/>
        <w:bidi w:val="0"/>
        <w:spacing w:before="240" w:after="0"/>
        <w:jc w:val="left"/>
        <w:rPr/>
      </w:pPr>
      <w:r>
        <w:rPr/>
        <w:t>“</w:t>
      </w:r>
      <w:r>
        <w:rPr>
          <w:rFonts w:ascii="Times New Roman" w:hAnsi="Times New Roman"/>
          <w:i/>
          <w:sz w:val="20"/>
        </w:rPr>
        <w:t>Securitization Repurchase Obligation</w:t>
      </w:r>
      <w:r>
        <w:rPr>
          <w:rFonts w:ascii="Times New Roman" w:hAnsi="Times New Roman"/>
          <w:sz w:val="20"/>
        </w:rPr>
        <w:t xml:space="preserve">” means any obligation of a seller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Securitization Subsidiary</w:t>
      </w:r>
      <w:r>
        <w:rPr>
          <w:rFonts w:ascii="Times New Roman" w:hAnsi="Times New Roman"/>
          <w:sz w:val="20"/>
        </w:rPr>
        <w:t xml:space="preserve">” means a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(a) no portion of the Indebtedness or any other obligations (contingent or otherwise) of which (i) is guaranteed by Holdings, the Borrower or any other Subsidiary of the Borrower, other than another Securitization Subsidiary (excluding guarantees of obligations (other than the principal of, and interest on, Indebtedness) pursuant to Standard Securitization Undertakings), (ii) is recourse to or obligates Holdings, the Borrower or any other Subsidiary of the Borrower, other than another Securitization Subsidiary, in any way other than pursuant to Standard Securitization Undertakings or (iii) subjects any property or asset of Holdings, the Borrower or any other Subsidiary of the Borrower, other than another Securitization Subsidiary, directly or indirectly, contingently or otherwise, to the satisfaction thereof, other than pursuant to Standard Securitization Undertakings, (b) with which none of Holdings, the Borrower or any other Subsidiary of the Borrower, other than another Securitization Subsidiary, has any material contract, agreement, arrangement or understanding other than on terms which the Borrower reasonably believes to be no less favorable to Holdings, the Borrower or such Subsidiary than those that might be obtained at the time from Persons that are not Affiliates of the Borrower and (c) to which none of Holdings, the Borrower or any other Subsidiary of the Borrower, other than another Securitization Subsidiary, has any obligation to maintain or preserve such entity’s financial condition or cause such entity to achieve certain levels of operating results. </w:t>
      </w:r>
    </w:p>
    <w:p>
      <w:pPr>
        <w:pStyle w:val="TextBody"/>
        <w:bidi w:val="0"/>
        <w:spacing w:before="240" w:after="0"/>
        <w:jc w:val="left"/>
        <w:rPr/>
      </w:pPr>
      <w:r>
        <w:rPr/>
        <w:t>“</w:t>
      </w:r>
      <w:r>
        <w:rPr>
          <w:rFonts w:ascii="Times New Roman" w:hAnsi="Times New Roman"/>
          <w:i/>
          <w:sz w:val="20"/>
        </w:rPr>
        <w:t>Security Documents</w:t>
      </w:r>
      <w:r>
        <w:rPr>
          <w:rFonts w:ascii="Times New Roman" w:hAnsi="Times New Roman"/>
          <w:sz w:val="20"/>
        </w:rPr>
        <w:t xml:space="preserve">” means collectively, the security agreement, the intellectual property security agreement, any mortgages, the security agreement supplements and each other agreement, instrument or other document entered into in favor of the Administrative Agent for purposes of securing the Loan Obligations, the Intercreditor Agreement and, upon its entry into effect, the Junior Lien Intercreditor Agreement. </w:t>
      </w:r>
    </w:p>
    <w:p>
      <w:pPr>
        <w:pStyle w:val="TextBody"/>
        <w:bidi w:val="0"/>
        <w:spacing w:before="240" w:after="0"/>
        <w:jc w:val="left"/>
        <w:rPr/>
      </w:pPr>
      <w:r>
        <w:rPr/>
        <w:t>“</w:t>
      </w:r>
      <w:r>
        <w:rPr>
          <w:rFonts w:ascii="Times New Roman" w:hAnsi="Times New Roman"/>
          <w:i/>
          <w:sz w:val="20"/>
        </w:rPr>
        <w:t>Senior Credit Facilities</w:t>
      </w:r>
      <w:r>
        <w:rPr>
          <w:rFonts w:ascii="Times New Roman" w:hAnsi="Times New Roman"/>
          <w:sz w:val="20"/>
        </w:rPr>
        <w:t xml:space="preserve">” means the term and revolving credit facilities under the Amended and Restated Credit Agreement, dated as of February 19, 2013, among the Borrower, Holdings, Bank of America, N.A., as administrative agent, swing line lender and a letter of credit issuer, Deutsche Bank, AG New York Branch, as a letter of credit issuer, and the lenders party thereto in their capacities as lenders thereunder, including any guarantees, collateral documents, instruments and agreements executed in connection therewith, and any amendments, supplements, modifications, extensions, renewals, restatements, refundings or refinancings thereof and any indentures, guarantees, credit facilities or commercial paper facilities that replace, refund, exchange or refinance (or successively replace, refund, exchange or refinance) any part of the loans, notes, guarantees, other credit facilities or commitments thereunder, including any such replacement, refunding or refinancing facility or indenture (or successive replacement, refunding, exchange or refinancing facility or indenture) that increases the amount borrowable thereunder or alters the maturity thereof; </w:t>
      </w:r>
      <w:r>
        <w:rPr>
          <w:rFonts w:ascii="Times New Roman" w:hAnsi="Times New Roman"/>
          <w:i/>
          <w:sz w:val="20"/>
        </w:rPr>
        <w:t xml:space="preserve">provided </w:t>
      </w:r>
      <w:r>
        <w:rPr>
          <w:rFonts w:ascii="Times New Roman" w:hAnsi="Times New Roman"/>
          <w:sz w:val="20"/>
        </w:rPr>
        <w:t xml:space="preserve">that such increase in borrowings is permitted under Section 4.09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Senior Credit Facilities Obligations</w:t>
      </w:r>
      <w:r>
        <w:rPr>
          <w:rFonts w:ascii="Times New Roman" w:hAnsi="Times New Roman"/>
          <w:sz w:val="20"/>
        </w:rPr>
        <w:t>” means “</w:t>
      </w:r>
      <w:r>
        <w:rPr>
          <w:rFonts w:ascii="Times New Roman" w:hAnsi="Times New Roman"/>
          <w:i/>
          <w:sz w:val="20"/>
        </w:rPr>
        <w:t>Obligations</w:t>
      </w:r>
      <w:r>
        <w:rPr>
          <w:rFonts w:ascii="Times New Roman" w:hAnsi="Times New Roman"/>
          <w:sz w:val="20"/>
        </w:rPr>
        <w:t xml:space="preserve">” as defined in the Senior Credit Facilities. </w:t>
      </w:r>
    </w:p>
    <w:p>
      <w:pPr>
        <w:pStyle w:val="TextBody"/>
        <w:bidi w:val="0"/>
        <w:spacing w:before="240" w:after="0"/>
        <w:jc w:val="left"/>
        <w:rPr/>
      </w:pPr>
      <w:r>
        <w:rPr/>
        <w:t>“</w:t>
      </w:r>
      <w:r>
        <w:rPr>
          <w:rFonts w:ascii="Times New Roman" w:hAnsi="Times New Roman"/>
          <w:i/>
          <w:sz w:val="20"/>
        </w:rPr>
        <w:t>Senior Indebtedness</w:t>
      </w:r>
      <w:r>
        <w:rPr>
          <w:rFonts w:ascii="Times New Roman" w:hAnsi="Times New Roman"/>
          <w:sz w:val="20"/>
        </w:rPr>
        <w:t xml:space="preserve">” means Indebtedness of the Borrower or any Subsidiary Guarantor unless the instrument under which such Indebtedness is incurred expressly provides that it is subordinated in right of payment to the Secured Notes or any related Guarantee. </w:t>
      </w:r>
    </w:p>
    <w:p>
      <w:pPr>
        <w:pStyle w:val="TextBody"/>
        <w:bidi w:val="0"/>
        <w:spacing w:before="240" w:after="0"/>
        <w:jc w:val="left"/>
        <w:rPr/>
      </w:pPr>
      <w:r>
        <w:rPr/>
        <w:t>“</w:t>
      </w:r>
      <w:r>
        <w:rPr>
          <w:rFonts w:ascii="Times New Roman" w:hAnsi="Times New Roman"/>
          <w:i/>
          <w:sz w:val="20"/>
        </w:rPr>
        <w:t>Senior Secured Leverage Ratio</w:t>
      </w:r>
      <w:r>
        <w:rPr>
          <w:rFonts w:ascii="Times New Roman" w:hAnsi="Times New Roman"/>
          <w:sz w:val="20"/>
        </w:rPr>
        <w:t>” means, as of the date of determination (the “</w:t>
      </w:r>
      <w:r>
        <w:rPr>
          <w:rFonts w:ascii="Times New Roman" w:hAnsi="Times New Roman"/>
          <w:i/>
          <w:sz w:val="20"/>
        </w:rPr>
        <w:t>Senior Secured Leverage Ratio Calculation Date</w:t>
      </w:r>
      <w:r>
        <w:rPr>
          <w:rFonts w:ascii="Times New Roman" w:hAnsi="Times New Roman"/>
          <w:sz w:val="20"/>
        </w:rPr>
        <w:t xml:space="preserve">”), the ratio of (a) the sum of (i) the Consolidated Total Indebtedness of Holdings, the Borrower and its Restricted Subsidiaries as of such date that is secured by Liens (other than Liens permitted under this Agreement on assets not constituting Collateral) and (ii) the Reserved Indebtedness Amount (whether relating to existing revolving commitments or newly created commitments) described below as of such date to (b) EBITDA of Holdings, the Borrower and its Restricted Subsidiaries for the most recently ended four fiscal quarters ending immediately prior to such date for which internal financial statements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Holdings, the Borrower or any Restricted Subsidiary incurs, assumes, guarantees, redeems, repays, retires or extinguishes any Indebtedness (other than Indebtedness incurred or repaid under any revolving credit facility unless such Indebtedness has been permanently repaid and has not been replaced) or issues or redeems Disqualified Stock or Preferred Stock subsequent to the commencement of the period for which the Senior Secured Leverage Ratio is being calculated but prior to or simultaneously with the event for which the calculation of the Senior Secured Leverage Ratio is made, then the Senior Secured Leverage Ratio shall be calculated giving pro forma effect to such incurrence, assumption, guarantee, redemption, repayment, retirement or extinguishment of Indebtedness, or such issuance or redemption of Disqualified Stock or Preferred Stock, as if the same had occurred immediately prior to the end of such most recent fiscal quarter end. </w:t>
      </w:r>
    </w:p>
    <w:p>
      <w:pPr>
        <w:pStyle w:val="TextBody"/>
        <w:bidi w:val="0"/>
        <w:spacing w:before="240" w:after="0"/>
        <w:jc w:val="left"/>
        <w:rPr>
          <w:rFonts w:ascii="Times New Roman" w:hAnsi="Times New Roman"/>
          <w:sz w:val="20"/>
        </w:rPr>
      </w:pPr>
      <w:r>
        <w:rPr>
          <w:rFonts w:ascii="Times New Roman" w:hAnsi="Times New Roman"/>
          <w:sz w:val="20"/>
        </w:rPr>
        <w:t xml:space="preserve">The Senior Secured Leverage Ratio will be calculated on a pro forma basis assuming that each Specified Transaction engaged in by Holdings, the Borrower or any of its Restricted Subsidiaries during the four-quarter reference period or subsequent to such reference period and on or prior to or simultaneously with the Senior Secured Leverage Ratio Calculation Date (and the change in EBITDA resulting therefrom) had occurred on the first day of the four-quarter reference period. If since the beginning of such period any Person that subsequently became a Restricted Subsidiary or was merged, amalgamated or consolidated with or into Holdings, the Borrower or any of its Restricted Subsidiaries since the beginning of such period shall have engaged in any Specified Transaction that would have required adjustment pursuant to this definition, then the Senior Secured Leverage Ratio shall be calculated giving pro forma effect thereto for such period as if such Specified Transaction had occurred at the beginning of the applicable four-quarter period. For purposes of this definition, whenever pro forma effect is to be given to a Specified Transaction, the pro forma calculations shall be made in good faith by a responsible financial or accounting officer of Holdings or the Borrower (and may include, for the avoidance of doubt, reasonably identifiable and factually supportable cost savings, operating improvements, synergies and operating expense reductions resulting from such Specified Transaction that have been or are expected to be realized). Notwithstanding the foregoing, at the election of the Borrower, pro forma effect need not be given to any Specified Transaction referred to in clause (a), (c), (d) or (e) of the definition thereof involving consideration of $50,000,000 or less or any Specified Transaction referred to in clause (b) or (f) of the definition thereof involving fair value of $50,000,000 or less as determined in good faith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that Holdings, the Borrower or a Restricted Subsidiary enters into or increases commitments under a revolving credit facility for which it elects to incur the Liens securing such revolving credit facility under clause (40)(d) of the definition of “</w:t>
      </w:r>
      <w:r>
        <w:rPr>
          <w:rFonts w:ascii="Times New Roman" w:hAnsi="Times New Roman"/>
          <w:i/>
          <w:sz w:val="20"/>
        </w:rPr>
        <w:t>Permitted Liens</w:t>
      </w:r>
      <w:r>
        <w:rPr>
          <w:rFonts w:ascii="Times New Roman" w:hAnsi="Times New Roman"/>
          <w:sz w:val="20"/>
        </w:rPr>
        <w:t>,” the Senior Secured Leverage Ratio for Liens securing borrowings and reborrowings thereunder (including the issuance of letters of credit) will be determined on the date of such revolving credit facility or such increase in commitments (assuming that the full amount thereof has been borrowed as of such date), and, if such Senior Secured Leverage Ratio test is satisfied with respect thereto at such time, any borrowing or reborrowing thereunder will be permitted irrespective of the Senior Secured Leverage Ratio at the time of any borrowing or reborrowing (the committed amount permitted to be borrowed or reborrowed on a date pursuant to the operation of this paragraph shall be the “</w:t>
      </w:r>
      <w:r>
        <w:rPr>
          <w:rFonts w:ascii="Times New Roman" w:hAnsi="Times New Roman"/>
          <w:i/>
          <w:sz w:val="20"/>
        </w:rPr>
        <w:t>Reserved Indebtedness Amount</w:t>
      </w:r>
      <w:r>
        <w:rPr>
          <w:rFonts w:ascii="Times New Roman" w:hAnsi="Times New Roman"/>
          <w:sz w:val="20"/>
        </w:rPr>
        <w:t xml:space="preserve">” as of such date for purposes of this definition of Senior Secured Leverage Ratio).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xml:space="preserve">” means (a) with respect to the First Lien Secured Parties, each of (i) the Senior Credit Facilities Secured Parties (in their capacities as such), (ii) the Administrative Agent and the Lender (each in their capacity as such) and (iii) any other Additional First Lien Secured Parties that become subject to the Intercreditor Agreement prior to or after the date hereof that are represented by a common Authorized Representative (in its capacity as such for such Additional First Lien Secured Parties), (b) with respect to any First Lien Obligations, each of (i) the Senior Credit Facilities Obligations, (ii) the Notes Obligations, (iii) the Loan Obligations and (iv) any other Additional First Lien Obligations incurred pursuant to any applicable agreement, which, pursuant to any joinder agreement, are to be represented under the Intercreditor Agreement by a common Authorized Representative (in its capacity as such for such Additional First Lien Obligations), (c) with respect to the Junior Lien Secured Parties, each Junior Lien Secured Parties that become subject to the Junior Lien Intercreditor Agreement after the date hereof that are represented by a common Authorized Representative (in its capacity as such for such Junior Lien Secured Parties) and (d) with respect to any Junior Lien Obligations, the Junior Lien Obligations incurred pursuant to any applicable agreement, which, pursuant to any joinder agreement, are to be represented under the Junior Lien Intercreditor Agreement by a common Authorized Representative (in its capacity as such for such Junior Lien Obligations).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means any Restricted Subsidiary that would be a “significant subsidiary” as defined in Article 1, Rule 1-02 of Regulation S-X, promulgated pursuant to the Securities Act, as such regulation is in effect on the Closing Date. </w:t>
      </w:r>
    </w:p>
    <w:p>
      <w:pPr>
        <w:pStyle w:val="TextBody"/>
        <w:bidi w:val="0"/>
        <w:spacing w:before="240" w:after="0"/>
        <w:jc w:val="left"/>
        <w:rPr/>
      </w:pPr>
      <w:r>
        <w:rPr/>
        <w:t>“</w:t>
      </w:r>
      <w:r>
        <w:rPr>
          <w:rFonts w:ascii="Times New Roman" w:hAnsi="Times New Roman"/>
          <w:i/>
          <w:sz w:val="20"/>
        </w:rPr>
        <w:t>Similar Business</w:t>
      </w:r>
      <w:r>
        <w:rPr>
          <w:rFonts w:ascii="Times New Roman" w:hAnsi="Times New Roman"/>
          <w:sz w:val="20"/>
        </w:rPr>
        <w:t xml:space="preserve">” means (1) any business conducted or proposed to be conducted by the Borrower or any of its Subsidiaries on the Closing Date or (2) any business or other activities that are reasonably similar, incidental, ancillary, complementary or related to, or a reasonable extension, development or expansion of, the businesses in which the Borrower and any of its Subsidiaries were engaged on the Closing Date. </w:t>
      </w:r>
    </w:p>
    <w:p>
      <w:pPr>
        <w:pStyle w:val="TextBody"/>
        <w:bidi w:val="0"/>
        <w:spacing w:before="240" w:after="0"/>
        <w:jc w:val="left"/>
        <w:rPr/>
      </w:pPr>
      <w:r>
        <w:rPr/>
        <w:t>“</w:t>
      </w:r>
      <w:r>
        <w:rPr>
          <w:rFonts w:ascii="Times New Roman" w:hAnsi="Times New Roman"/>
          <w:i/>
          <w:sz w:val="20"/>
        </w:rPr>
        <w:t>Specified Transaction</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(a) any Investment that results in a Person becoming a Restricted Subsidiary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(b) any designation by such Person of any Subsidiary to be an Unrestricted Subsidiary of such Person or of an Unrestricted Subsidiary to be a Restricted Subsidiary of such Person, in each case,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issuance or disposition by such Person or any of its Restricted Subsidiaries of Equity Interests such that any of such Person’s Restricted Subsidiaries ceases to be a Restricted Subsidiary; </w:t>
      </w:r>
    </w:p>
    <w:p>
      <w:pPr>
        <w:pStyle w:val="TextBody"/>
        <w:bidi w:val="0"/>
        <w:spacing w:before="120" w:after="0"/>
        <w:jc w:val="left"/>
        <w:rPr>
          <w:rFonts w:ascii="Times New Roman" w:hAnsi="Times New Roman"/>
          <w:sz w:val="20"/>
        </w:rPr>
      </w:pPr>
      <w:r>
        <w:rPr>
          <w:rFonts w:ascii="Times New Roman" w:hAnsi="Times New Roman"/>
          <w:sz w:val="20"/>
        </w:rPr>
        <w:t>(d) any acquisition or disposition by such Person or any of its Restricted Subsidiaries of property or assets constituting a business unit, line of business or division from or to any Person other than such Person or any of its Restricted Subsidiaries (each, a “</w:t>
      </w:r>
      <w:r>
        <w:rPr>
          <w:rFonts w:ascii="Times New Roman" w:hAnsi="Times New Roman"/>
          <w:i/>
          <w:sz w:val="20"/>
        </w:rPr>
        <w:t>Permitted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merger, consolidation or amalgamation involving such Person or any of its Restricted Subsidiaries (other than with or into such Person or any of its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(f) any closure of a business unit, line of business or division by such Person or any of its Restricted Subsidiaries. </w:t>
      </w:r>
    </w:p>
    <w:p>
      <w:pPr>
        <w:pStyle w:val="TextBody"/>
        <w:bidi w:val="0"/>
        <w:spacing w:before="240" w:after="0"/>
        <w:jc w:val="left"/>
        <w:rPr/>
      </w:pPr>
      <w:r>
        <w:rPr/>
        <w:t>“</w:t>
      </w:r>
      <w:r>
        <w:rPr>
          <w:rFonts w:ascii="Times New Roman" w:hAnsi="Times New Roman"/>
          <w:i/>
          <w:sz w:val="20"/>
        </w:rPr>
        <w:t>Standard Securitization Undertakings</w:t>
      </w:r>
      <w:r>
        <w:rPr>
          <w:rFonts w:ascii="Times New Roman" w:hAnsi="Times New Roman"/>
          <w:sz w:val="20"/>
        </w:rPr>
        <w:t xml:space="preserve">” means representations, warranties, covenants and indemnities entered into by the Borrower or any Subsidiary of the Borrower in a Securitization Financing. </w:t>
      </w:r>
    </w:p>
    <w:p>
      <w:pPr>
        <w:pStyle w:val="TextBody"/>
        <w:bidi w:val="0"/>
        <w:spacing w:before="240" w:after="0"/>
        <w:jc w:val="left"/>
        <w:rPr/>
      </w:pPr>
      <w:r>
        <w:rPr/>
        <w:t>“</w:t>
      </w:r>
      <w:r>
        <w:rPr>
          <w:rFonts w:ascii="Times New Roman" w:hAnsi="Times New Roman"/>
          <w:i/>
          <w:sz w:val="20"/>
        </w:rPr>
        <w:t>Subordinated Indebtedness</w:t>
      </w:r>
      <w:r>
        <w:rPr>
          <w:rFonts w:ascii="Times New Roman" w:hAnsi="Times New Roman"/>
          <w:sz w:val="20"/>
        </w:rPr>
        <w:t xml:space="preserve">” means, with respect to the Term Loan,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of the Borrower which is by its terms subordinated in right of payment to the Term Loan; and </w:t>
      </w:r>
    </w:p>
    <w:p>
      <w:pPr>
        <w:pStyle w:val="TextBody"/>
        <w:bidi w:val="0"/>
        <w:spacing w:before="120" w:after="0"/>
        <w:jc w:val="left"/>
        <w:rPr>
          <w:rFonts w:ascii="Times New Roman" w:hAnsi="Times New Roman"/>
          <w:sz w:val="20"/>
        </w:rPr>
      </w:pPr>
      <w:r>
        <w:rPr>
          <w:rFonts w:ascii="Times New Roman" w:hAnsi="Times New Roman"/>
          <w:sz w:val="20"/>
        </w:rPr>
        <w:t xml:space="preserve">(2) any Indebtedness of any Guarantor which is by its terms subordinated in right of payment to the Guarantee of such entity of the Term Loan. </w:t>
      </w:r>
    </w:p>
    <w:p>
      <w:pPr>
        <w:pStyle w:val="TextBody"/>
        <w:bidi w:val="0"/>
        <w:spacing w:before="240" w:after="0"/>
        <w:jc w:val="left"/>
        <w:rPr/>
      </w:pPr>
      <w:r>
        <w:rPr/>
        <w:t>“</w:t>
      </w:r>
      <w:r>
        <w:rPr>
          <w:rFonts w:ascii="Times New Roman" w:hAnsi="Times New Roman"/>
          <w:i/>
          <w:sz w:val="20"/>
        </w:rPr>
        <w:t>Subsequent Equity Offering</w:t>
      </w:r>
      <w:r>
        <w:rPr>
          <w:rFonts w:ascii="Times New Roman" w:hAnsi="Times New Roman"/>
          <w:sz w:val="20"/>
        </w:rPr>
        <w:t xml:space="preserve">” means any public or private sale of common stock or Preferred Stock of the Borrower or any of its direct or indirect parent companies (excluding Disqualified Stock), other than: </w:t>
      </w:r>
    </w:p>
    <w:p>
      <w:pPr>
        <w:pStyle w:val="TextBody"/>
        <w:bidi w:val="0"/>
        <w:spacing w:before="120" w:after="0"/>
        <w:jc w:val="left"/>
        <w:rPr>
          <w:rFonts w:ascii="Times New Roman" w:hAnsi="Times New Roman"/>
          <w:sz w:val="20"/>
        </w:rPr>
      </w:pPr>
      <w:r>
        <w:rPr>
          <w:rFonts w:ascii="Times New Roman" w:hAnsi="Times New Roman"/>
          <w:sz w:val="20"/>
        </w:rPr>
        <w:t xml:space="preserve">(1) public offerings with respect to the Borrower’s or any direct or indirect parent company’s common stock registered on Form S-4 or Form S-8; </w:t>
      </w:r>
    </w:p>
    <w:p>
      <w:pPr>
        <w:pStyle w:val="TextBody"/>
        <w:bidi w:val="0"/>
        <w:spacing w:before="120" w:after="0"/>
        <w:jc w:val="left"/>
        <w:rPr>
          <w:rFonts w:ascii="Times New Roman" w:hAnsi="Times New Roman"/>
          <w:sz w:val="20"/>
        </w:rPr>
      </w:pPr>
      <w:r>
        <w:rPr>
          <w:rFonts w:ascii="Times New Roman" w:hAnsi="Times New Roman"/>
          <w:sz w:val="20"/>
        </w:rPr>
        <w:t xml:space="preserve">(2) issuances to any Subsidiary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(3) any such public or private sale that constitutes an Excluded Contribution or a Contributed Holdings Investment; and </w:t>
      </w:r>
    </w:p>
    <w:p>
      <w:pPr>
        <w:pStyle w:val="TextBody"/>
        <w:bidi w:val="0"/>
        <w:spacing w:before="120" w:after="0"/>
        <w:jc w:val="left"/>
        <w:rPr>
          <w:rFonts w:ascii="Times New Roman" w:hAnsi="Times New Roman"/>
          <w:sz w:val="20"/>
        </w:rPr>
      </w:pPr>
      <w:r>
        <w:rPr>
          <w:rFonts w:ascii="Times New Roman" w:hAnsi="Times New Roman"/>
          <w:sz w:val="20"/>
        </w:rPr>
        <w:t xml:space="preserve">(4) offerings or issuances by the Borrower or any of its direct or indirect parent companies (to the extent cash proceeds thereof are contributed to the common equity capital of the Borrower or used to purchase Capital Stock (other than Disqualified Stock) of the Borrower from it, whether or not such subsequent contribution or purchase occurs prior to or after the Closing Date) pursuant to agreements entered into prior to the Closing Date (including issuances directly or indirectly resulting from the issuances of common stock and 6.50% mandatory convertible preferred stock of Sabre Corporation that priced on August 19, 2020 (including the underwriters’ options to purchase additional shares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Subsidiary</w:t>
      </w:r>
      <w:r>
        <w:rPr>
          <w:rFonts w:ascii="Times New Roman" w:hAnsi="Times New Roman"/>
          <w:sz w:val="20"/>
        </w:rPr>
        <w:t xml:space="preserve">” means, with respect to any Person, a corporation, partnership, joint venture, limited liability company or other business entity (excluding, for the avoidance of doubt, charitable foundations)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p>
    <w:p>
      <w:pPr>
        <w:pStyle w:val="TextBody"/>
        <w:bidi w:val="0"/>
        <w:spacing w:before="240" w:after="0"/>
        <w:jc w:val="left"/>
        <w:rPr/>
      </w:pPr>
      <w:r>
        <w:rPr/>
        <w:t>“</w:t>
      </w:r>
      <w:r>
        <w:rPr>
          <w:rFonts w:ascii="Times New Roman" w:hAnsi="Times New Roman"/>
          <w:i/>
          <w:sz w:val="20"/>
        </w:rPr>
        <w:t>Subsidiary Guarantor</w:t>
      </w:r>
      <w:r>
        <w:rPr>
          <w:rFonts w:ascii="Times New Roman" w:hAnsi="Times New Roman"/>
          <w:sz w:val="20"/>
        </w:rPr>
        <w:t xml:space="preserve">” means each Subsidiary of the Borrower, if any, that Guarantees the Term Loan in accordance with the terms of this Agreement. </w:t>
      </w:r>
    </w:p>
    <w:p>
      <w:pPr>
        <w:pStyle w:val="TextBody"/>
        <w:bidi w:val="0"/>
        <w:spacing w:before="240" w:after="0"/>
        <w:jc w:val="left"/>
        <w:rPr/>
      </w:pPr>
      <w:r>
        <w:rPr/>
        <w:t>“</w:t>
      </w:r>
      <w:r>
        <w:rPr>
          <w:rFonts w:ascii="Times New Roman" w:hAnsi="Times New Roman"/>
          <w:i/>
          <w:sz w:val="20"/>
        </w:rPr>
        <w:t>Term Note</w:t>
      </w:r>
      <w:r>
        <w:rPr>
          <w:rFonts w:ascii="Times New Roman" w:hAnsi="Times New Roman"/>
          <w:sz w:val="20"/>
        </w:rPr>
        <w:t xml:space="preserve">” means a promissory note of the Borrower payable to the Lender or its registered assigns, in substantially the form of Exhibit B hereto, evidencing the aggregate Indebtedness of the Borrower to Lender resulting from the Term Loans. </w:t>
      </w:r>
    </w:p>
    <w:p>
      <w:pPr>
        <w:pStyle w:val="TextBody"/>
        <w:bidi w:val="0"/>
        <w:spacing w:before="240" w:after="0"/>
        <w:jc w:val="left"/>
        <w:rPr/>
      </w:pPr>
      <w:r>
        <w:rPr/>
        <w:t>“</w:t>
      </w:r>
      <w:r>
        <w:rPr>
          <w:rFonts w:ascii="Times New Roman" w:hAnsi="Times New Roman"/>
          <w:i/>
          <w:sz w:val="20"/>
        </w:rPr>
        <w:t>Total Assets</w:t>
      </w:r>
      <w:r>
        <w:rPr>
          <w:rFonts w:ascii="Times New Roman" w:hAnsi="Times New Roman"/>
          <w:sz w:val="20"/>
        </w:rPr>
        <w:t xml:space="preserve">” means the total assets of Holdings, the Borrower and its Restricted Subsidiaries, determined on a consolidated basis in accordance with GAAP, as shown on the most recent balance sheet of Holdings or such other Person as may be expressly stated. </w:t>
      </w:r>
    </w:p>
    <w:p>
      <w:pPr>
        <w:pStyle w:val="TextBody"/>
        <w:bidi w:val="0"/>
        <w:spacing w:before="240" w:after="0"/>
        <w:jc w:val="left"/>
        <w:rPr/>
      </w:pPr>
      <w:r>
        <w:rPr/>
        <w:t>“</w:t>
      </w:r>
      <w:r>
        <w:rPr>
          <w:rFonts w:ascii="Times New Roman" w:hAnsi="Times New Roman"/>
          <w:i/>
          <w:sz w:val="20"/>
        </w:rPr>
        <w:t>Transaction Expenses</w:t>
      </w:r>
      <w:r>
        <w:rPr>
          <w:rFonts w:ascii="Times New Roman" w:hAnsi="Times New Roman"/>
          <w:sz w:val="20"/>
        </w:rPr>
        <w:t xml:space="preserve">” means any fees or expenses incurred or paid by Holdings, the Borrower or any Restricted Subsidiary in connection with this Agreement, the Loan Documents, the Lender Notes, the Term Loan and the use of proceeds therefrom.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as of any date of an applicable repayment of the Term Loan, the yield to maturity as of such date of United States Treasury securities with a constant maturity (as compiled and published in the most recent Federal Reserve Statistical Release H.15 (519) that has become publicly available at least two Business Days prior to such date (or, if such Statistical Release is no longer published, any publicly available source of similar market data)) most nearly equal to the period from such date to October 15, 2029; </w:t>
      </w:r>
      <w:r>
        <w:rPr>
          <w:rFonts w:ascii="Times New Roman" w:hAnsi="Times New Roman"/>
          <w:i/>
          <w:sz w:val="20"/>
        </w:rPr>
        <w:t xml:space="preserve">provided </w:t>
      </w:r>
      <w:r>
        <w:rPr>
          <w:rFonts w:ascii="Times New Roman" w:hAnsi="Times New Roman"/>
          <w:sz w:val="20"/>
        </w:rPr>
        <w:t xml:space="preserve">that if the period from such date to October 15, 2029 is less than one year, the weekly average yield on actually traded United States Treasury securities adjusted to a constant maturity of one year will be used.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Subsidiary of the Borrower which at the time of determination is an Unrestricted Subsidiary (as designated by the Borrower, as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(2) any Subsidiary of an Unrestricted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(3) Headquarters SPV, Sabre Financial Borrower, LLC, Sabre Financing Holdings, LLC, Marlins Acquisition Corp, Sabre Securitization, LLC, Conferma US Inc., Sabre Travel Network Middle East W.L.L., Sabre Travel Network Egypt LLC, Sabre Seyahat Dagitim Sistemleri A.S., Sabre Bulgaria AD, Sabre Travel Network Lanka (Private) Limited, FERMR Holdings Limited, Conferma PTY Limited, Conferma Singapore PTE Limited and Sabre Travel Network Jordan LLC. </w:t>
      </w:r>
    </w:p>
    <w:p>
      <w:pPr>
        <w:pStyle w:val="TextBody"/>
        <w:bidi w:val="0"/>
        <w:spacing w:before="120" w:after="0"/>
        <w:jc w:val="left"/>
        <w:rPr>
          <w:rFonts w:ascii="Times New Roman" w:hAnsi="Times New Roman"/>
          <w:sz w:val="20"/>
        </w:rPr>
      </w:pPr>
      <w:r>
        <w:rPr>
          <w:rFonts w:ascii="Times New Roman" w:hAnsi="Times New Roman"/>
          <w:sz w:val="20"/>
        </w:rPr>
        <w:t xml:space="preserve">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solely any Subsidiary of the Subsidiary to be so designated);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120" w:after="0"/>
        <w:jc w:val="left"/>
        <w:rPr>
          <w:rFonts w:ascii="Times New Roman" w:hAnsi="Times New Roman"/>
          <w:sz w:val="20"/>
        </w:rPr>
      </w:pPr>
      <w:r>
        <w:rPr>
          <w:rFonts w:ascii="Times New Roman" w:hAnsi="Times New Roman"/>
          <w:sz w:val="20"/>
        </w:rPr>
        <w:t xml:space="preserve">(1) such designation is not prohibited by Section 4.07 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 except for guarantees by the Borrower or any of its Restricted Subsidiaries incurred in accordance with the applicable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Borrower may designate any Unrestricted Subsidiary to be a Restricted Subsidiary; </w:t>
      </w:r>
      <w:r>
        <w:rPr>
          <w:rFonts w:ascii="Times New Roman" w:hAnsi="Times New Roman"/>
          <w:i/>
          <w:sz w:val="20"/>
        </w:rPr>
        <w:t xml:space="preserve">provided </w:t>
      </w:r>
      <w:r>
        <w:rPr>
          <w:rFonts w:ascii="Times New Roman" w:hAnsi="Times New Roman"/>
          <w:sz w:val="20"/>
        </w:rPr>
        <w:t xml:space="preserve">that immediately after giving effect to such designation, no Default shall have occurred and be continuing and either: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could incur at least $1.00 of additional Indebtedness pursuant to the Fixed Charge Coverage Test; or </w:t>
      </w:r>
    </w:p>
    <w:p>
      <w:pPr>
        <w:pStyle w:val="TextBody"/>
        <w:bidi w:val="0"/>
        <w:spacing w:before="120" w:after="0"/>
        <w:jc w:val="left"/>
        <w:rPr>
          <w:rFonts w:ascii="Times New Roman" w:hAnsi="Times New Roman"/>
          <w:sz w:val="20"/>
        </w:rPr>
      </w:pPr>
      <w:r>
        <w:rPr>
          <w:rFonts w:ascii="Times New Roman" w:hAnsi="Times New Roman"/>
          <w:sz w:val="20"/>
        </w:rPr>
        <w:t xml:space="preserve">(2) the Fixed Charge Coverage Ratio for the Borrower would be equal to or greater than such ratio for the Borrower immediately prior to such designation, in each case on a </w:t>
      </w:r>
      <w:r>
        <w:rPr>
          <w:rFonts w:ascii="Times New Roman" w:hAnsi="Times New Roman"/>
          <w:i/>
          <w:sz w:val="20"/>
        </w:rPr>
        <w:t xml:space="preserve">pro forma </w:t>
      </w:r>
      <w:r>
        <w:rPr>
          <w:rFonts w:ascii="Times New Roman" w:hAnsi="Times New Roman"/>
          <w:sz w:val="20"/>
        </w:rPr>
        <w:t xml:space="preserve">basis taking into account such designation. </w:t>
      </w:r>
    </w:p>
    <w:p>
      <w:pPr>
        <w:pStyle w:val="TextBody"/>
        <w:bidi w:val="0"/>
        <w:spacing w:before="120" w:after="0"/>
        <w:jc w:val="left"/>
        <w:rPr>
          <w:rFonts w:ascii="Times New Roman" w:hAnsi="Times New Roman"/>
          <w:sz w:val="20"/>
        </w:rPr>
      </w:pPr>
      <w:r>
        <w:rPr>
          <w:rFonts w:ascii="Times New Roman" w:hAnsi="Times New Roman"/>
          <w:sz w:val="20"/>
        </w:rPr>
        <w:t xml:space="preserve">Any such designation by the Borrower shall be notified by the Borrower to the Administrative Agent by promptly filing with the Administrative Agent a copy of the resolution of the board of directors of the Borrower or any committee thereof giving effect to such designation and an Officer’s Certificate certifying that such designation complied with the foregoing provisions. </w:t>
      </w:r>
    </w:p>
    <w:p>
      <w:pPr>
        <w:pStyle w:val="TextBody"/>
        <w:bidi w:val="0"/>
        <w:spacing w:before="240" w:after="0"/>
        <w:jc w:val="left"/>
        <w:rPr/>
      </w:pPr>
      <w:r>
        <w:rPr/>
        <w:t>“</w:t>
      </w:r>
      <w:r>
        <w:rPr>
          <w:rFonts w:ascii="Times New Roman" w:hAnsi="Times New Roman"/>
          <w:i/>
          <w:sz w:val="20"/>
        </w:rPr>
        <w:t>U.S. Person</w:t>
      </w:r>
      <w:r>
        <w:rPr>
          <w:rFonts w:ascii="Times New Roman" w:hAnsi="Times New Roman"/>
          <w:sz w:val="20"/>
        </w:rPr>
        <w:t xml:space="preserve">” means a U.S. Person as defined in Rule 902(k) promulgated under the Securities Act.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i/>
          <w:sz w:val="20"/>
        </w:rPr>
        <w:t>Weighted Average Life to Maturity</w:t>
      </w:r>
      <w:r>
        <w:rPr>
          <w:rFonts w:ascii="Times New Roman" w:hAnsi="Times New Roman"/>
          <w:sz w:val="20"/>
        </w:rPr>
        <w:t xml:space="preserve">” means, when applied to any Indebtedness, Disqualified Stock or Preferred Stock, as the case may be, at any date, the quotient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w:t>
      </w:r>
    </w:p>
    <w:p>
      <w:pPr>
        <w:pStyle w:val="TextBody"/>
        <w:bidi w:val="0"/>
        <w:spacing w:before="120" w:after="0"/>
        <w:jc w:val="left"/>
        <w:rPr>
          <w:rFonts w:ascii="Times New Roman" w:hAnsi="Times New Roman"/>
          <w:sz w:val="20"/>
        </w:rPr>
      </w:pPr>
      <w:r>
        <w:rPr>
          <w:rFonts w:ascii="Times New Roman" w:hAnsi="Times New Roman"/>
          <w:sz w:val="20"/>
        </w:rPr>
        <w:t xml:space="preserve">(2) the sum of all such payments. </w:t>
      </w:r>
    </w:p>
    <w:p>
      <w:pPr>
        <w:pStyle w:val="TextBody"/>
        <w:bidi w:val="0"/>
        <w:spacing w:before="240" w:after="0"/>
        <w:jc w:val="left"/>
        <w:rPr/>
      </w:pPr>
      <w:r>
        <w:rPr/>
        <w:t>“</w:t>
      </w:r>
      <w:r>
        <w:rPr>
          <w:rFonts w:ascii="Times New Roman" w:hAnsi="Times New Roman"/>
          <w:i/>
          <w:sz w:val="20"/>
        </w:rPr>
        <w:t>Wholly</w:t>
      </w:r>
      <w:r>
        <w:rPr>
          <w:rFonts w:ascii="Times New Roman" w:hAnsi="Times New Roman"/>
          <w:sz w:val="20"/>
        </w:rPr>
        <w:t>-</w:t>
      </w:r>
      <w:r>
        <w:rPr>
          <w:rFonts w:ascii="Times New Roman" w:hAnsi="Times New Roman"/>
          <w:i/>
          <w:sz w:val="20"/>
        </w:rPr>
        <w:t>Owned Subsidiary</w:t>
      </w:r>
      <w:r>
        <w:rPr>
          <w:rFonts w:ascii="Times New Roman" w:hAnsi="Times New Roman"/>
          <w:sz w:val="20"/>
        </w:rPr>
        <w:t xml:space="preserve">” of any Person means a Subsidiary of such Person, 100% of the outstanding Equity Interests of which (other than directors’ qualifying shares and shares issued to foreign nationals as required by applicable law) shall at the time be owned by such Person or by one or more Wholly-Owned Subsidiaries of such Person or by such Person and one or more Wholly-Owned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9"/>
        <w:gridCol w:w="343"/>
        <w:gridCol w:w="99"/>
        <w:gridCol w:w="951"/>
        <w:gridCol w:w="63"/>
      </w:tblGrid>
      <w:tr>
        <w:trPr/>
        <w:tc>
          <w:tcPr>
            <w:tcW w:w="8749"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7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343"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pPr>
            <w:r>
              <w:rPr/>
              <w:t>Defined in</w:t>
              <w:br/>
              <w:t>Section</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Acceptable Commitment”</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4.10</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Affiliate Transaction”</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4.11</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Asset Sale Offer”</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3.09</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Change of Control Offer”</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4.15</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Change of Control Payment”</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4.15</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Change of Control Payment Date”</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4.15</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Compensation Period”</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3.06</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Event of Default”</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6.01</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Excess Proceeds”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4.10</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Fixed Charge Coverage Test”</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4.07</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incur”</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4.09</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Indemnified Liabilities”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13.12</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Indemnitees”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13.12</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Interest Payment Date”</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3.05</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Offer Amount”.</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3.09</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Offer Period”</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3.09</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Other Guarantee”</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11.05</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Other Taxes”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13.23</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Pari Passu Indebtedness”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3.09</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Purchase Date”</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3.09</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Refinancing Indebtedness”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4.09</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Refunding Capital Stock”</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4.07</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Restricted Payments”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4.07</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Second Commitment”</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4.10</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Successor Company”</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5.01</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Successor Guarantor”</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11.04</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Term Loan”</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Taxes”</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13.23</w:t>
            </w:r>
          </w:p>
        </w:tc>
        <w:tc>
          <w:tcPr>
            <w:tcW w:w="63" w:type="dxa"/>
            <w:tcBorders/>
            <w:vAlign w:val="bottom"/>
          </w:tcPr>
          <w:p>
            <w:pPr>
              <w:pStyle w:val="TableContents"/>
              <w:bidi w:val="0"/>
              <w:spacing w:before="0" w:after="283"/>
              <w:jc w:val="left"/>
              <w:rPr/>
            </w:pPr>
            <w:r>
              <w:rPr/>
              <w:t> </w:t>
            </w:r>
          </w:p>
        </w:tc>
      </w:tr>
      <w:tr>
        <w:trPr/>
        <w:tc>
          <w:tcPr>
            <w:tcW w:w="8749" w:type="dxa"/>
            <w:tcBorders/>
          </w:tcPr>
          <w:p>
            <w:pPr>
              <w:pStyle w:val="TableContents"/>
              <w:bidi w:val="0"/>
              <w:spacing w:before="0" w:after="0"/>
              <w:jc w:val="left"/>
              <w:rPr/>
            </w:pPr>
            <w:r>
              <w:rPr/>
              <w:t>“</w:t>
            </w:r>
            <w:r>
              <w:rPr>
                <w:rFonts w:ascii="Times New Roman" w:hAnsi="Times New Roman"/>
                <w:i/>
                <w:sz w:val="20"/>
              </w:rPr>
              <w:t>Treasury Capital Stock”</w:t>
            </w:r>
          </w:p>
        </w:tc>
        <w:tc>
          <w:tcPr>
            <w:tcW w:w="3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4.07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(2)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(3)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(4) “including” is not limiting; </w:t>
      </w:r>
    </w:p>
    <w:p>
      <w:pPr>
        <w:pStyle w:val="TextBody"/>
        <w:bidi w:val="0"/>
        <w:spacing w:before="120" w:after="0"/>
        <w:jc w:val="left"/>
        <w:rPr>
          <w:rFonts w:ascii="Times New Roman" w:hAnsi="Times New Roman"/>
          <w:sz w:val="20"/>
        </w:rPr>
      </w:pPr>
      <w:r>
        <w:rPr>
          <w:rFonts w:ascii="Times New Roman" w:hAnsi="Times New Roman"/>
          <w:sz w:val="20"/>
        </w:rPr>
        <w:t xml:space="preserve">(5)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(6) “will” shall be interpreted to express a command; </w:t>
      </w:r>
    </w:p>
    <w:p>
      <w:pPr>
        <w:pStyle w:val="TextBody"/>
        <w:bidi w:val="0"/>
        <w:spacing w:before="120" w:after="0"/>
        <w:jc w:val="left"/>
        <w:rPr>
          <w:rFonts w:ascii="Times New Roman" w:hAnsi="Times New Roman"/>
          <w:sz w:val="20"/>
        </w:rPr>
      </w:pPr>
      <w:r>
        <w:rPr>
          <w:rFonts w:ascii="Times New Roman" w:hAnsi="Times New Roman"/>
          <w:sz w:val="20"/>
        </w:rPr>
        <w:t xml:space="preserve">(7) provisions apply to successive events and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(8) references to sections of or rules under the Securities Act will be deemed to include substitute, replacement of successor sections or rules adopted by the SEC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Times of Day.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all references herein to times of day shall be references to New York time (daylight savings or standard,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i/>
          <w:sz w:val="20"/>
        </w:rPr>
        <w:t>Lender Notes Deemed Outstanding.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Lender Notes of the required principal amount of Lender Notes have concurred in any direction, waiver or consent, Lender Notes owned by the Borrower or any Guarantor, or by any Person directly or indirectly controlling or controlled by or under direct or indirect common control with the Borrower or any Guarantor, will be considered as though not outstanding. The Administrative Agent shall have no duty or obligation to determine whether or not such Lender Notes shall be deemed outstanding or otherwise make any determination described in the foregoing sentence.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THE COMMITMENT AND CREDIT EXTENSION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The Term Loan.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and in accordance with, the terms and conditions set forth in this Agreement, the Lender agrees to make to the Borrower a single term loan on the Closing Date denominated in U.S. dollars in a principal amount equal to the Closing Date Commitment (the “</w:t>
      </w:r>
      <w:r>
        <w:rPr>
          <w:rFonts w:ascii="Times New Roman" w:hAnsi="Times New Roman"/>
          <w:i/>
          <w:sz w:val="20"/>
        </w:rPr>
        <w:t>Term Loan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Amounts borrowed under Section 2.01(a) and 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(c) The Term Loan shall be made upon the Borrower’s irrevocable notice to the Administrative Agent, which shall be given by delivery to the Administrative Agent of a Committed Loan Notice on the Closing Date. The Committed Loan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(1) the requested date of the Borrowing (which shall be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amount of the Term Loan to be borrowed (which shall be an amount equivalent to the Closing Date Commitment), and </w:t>
      </w:r>
    </w:p>
    <w:p>
      <w:pPr>
        <w:pStyle w:val="TextBody"/>
        <w:bidi w:val="0"/>
        <w:spacing w:before="120" w:after="0"/>
        <w:jc w:val="left"/>
        <w:rPr>
          <w:rFonts w:ascii="Times New Roman" w:hAnsi="Times New Roman"/>
          <w:sz w:val="20"/>
        </w:rPr>
      </w:pPr>
      <w:r>
        <w:rPr>
          <w:rFonts w:ascii="Times New Roman" w:hAnsi="Times New Roman"/>
          <w:sz w:val="20"/>
        </w:rPr>
        <w:t xml:space="preserve">(3) the wiring instructions of the account of the Borrower to which the proceeds of such Borrowing are to be disbursed. </w:t>
      </w:r>
    </w:p>
    <w:p>
      <w:pPr>
        <w:pStyle w:val="TextBody"/>
        <w:bidi w:val="0"/>
        <w:spacing w:before="240" w:after="0"/>
        <w:jc w:val="left"/>
        <w:rPr>
          <w:rFonts w:ascii="Times New Roman" w:hAnsi="Times New Roman"/>
          <w:sz w:val="20"/>
        </w:rPr>
      </w:pPr>
      <w:r>
        <w:rPr>
          <w:rFonts w:ascii="Times New Roman" w:hAnsi="Times New Roman"/>
          <w:sz w:val="20"/>
        </w:rPr>
        <w:t xml:space="preserve">(d) The Lender shall make (or cause to be made) the amount of the Term Loan available directly to the Borrower in Same Day Funds to the account of the Borrower specified in the applicable Committed Loan Notice not later than 1:00 p.m. on the Closing Date (and the Borrower (or its counsel) shall provide the Administrative Agent with written notice (which may be by email) of the Borrower’s receipt thereof, which the Administrative Agent may rely upon in updating the Register to reflect such Term Loan being made on the Closing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REPAYMENTS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Notices to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Borrower elects to repay all or a portion of the Term Loan pursuant to the voluntary repayment provisions of Section 3.07 hereof, it must furnish to the Administrative Agent, at least 10 days but not more than 60 days before a repayment date, an Officer’s Certificate setting forth: </w:t>
      </w:r>
    </w:p>
    <w:p>
      <w:pPr>
        <w:pStyle w:val="TextBody"/>
        <w:bidi w:val="0"/>
        <w:spacing w:before="120" w:after="0"/>
        <w:jc w:val="left"/>
        <w:rPr>
          <w:rFonts w:ascii="Times New Roman" w:hAnsi="Times New Roman"/>
          <w:sz w:val="20"/>
        </w:rPr>
      </w:pPr>
      <w:r>
        <w:rPr>
          <w:rFonts w:ascii="Times New Roman" w:hAnsi="Times New Roman"/>
          <w:sz w:val="20"/>
        </w:rPr>
        <w:t xml:space="preserve">(1) the clause of this Agreement pursuant to which the repayment shall occur; </w:t>
      </w:r>
    </w:p>
    <w:p>
      <w:pPr>
        <w:pStyle w:val="TextBody"/>
        <w:bidi w:val="0"/>
        <w:spacing w:before="120" w:after="0"/>
        <w:jc w:val="left"/>
        <w:rPr>
          <w:rFonts w:ascii="Times New Roman" w:hAnsi="Times New Roman"/>
          <w:sz w:val="20"/>
        </w:rPr>
      </w:pPr>
      <w:r>
        <w:rPr>
          <w:rFonts w:ascii="Times New Roman" w:hAnsi="Times New Roman"/>
          <w:sz w:val="20"/>
        </w:rPr>
        <w:t xml:space="preserve">(2) the repayment date; </w:t>
      </w:r>
    </w:p>
    <w:p>
      <w:pPr>
        <w:pStyle w:val="TextBody"/>
        <w:bidi w:val="0"/>
        <w:spacing w:before="120" w:after="0"/>
        <w:jc w:val="left"/>
        <w:rPr>
          <w:rFonts w:ascii="Times New Roman" w:hAnsi="Times New Roman"/>
          <w:sz w:val="20"/>
        </w:rPr>
      </w:pPr>
      <w:r>
        <w:rPr>
          <w:rFonts w:ascii="Times New Roman" w:hAnsi="Times New Roman"/>
          <w:sz w:val="20"/>
        </w:rPr>
        <w:t xml:space="preserve">(3) the principal amount of Term Loan to be repaid; and </w:t>
      </w:r>
    </w:p>
    <w:p>
      <w:pPr>
        <w:pStyle w:val="TextBody"/>
        <w:bidi w:val="0"/>
        <w:spacing w:before="120" w:after="0"/>
        <w:jc w:val="left"/>
        <w:rPr>
          <w:rFonts w:ascii="Times New Roman" w:hAnsi="Times New Roman"/>
          <w:sz w:val="20"/>
        </w:rPr>
      </w:pPr>
      <w:r>
        <w:rPr>
          <w:rFonts w:ascii="Times New Roman" w:hAnsi="Times New Roman"/>
          <w:sz w:val="20"/>
        </w:rPr>
        <w:t xml:space="preserve">(4) the repayment price (together with a reasonably detailed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Notice of 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3.09 hereof, at least 10 days but not more than 60 days before a repayment date, the Borrower will mail or cause to be mailed, by first class mail, a notice of repayment to the Lender, the Administrative Agent and the Lender Notes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will identify the aggregate principal amount of the Term Loan to be repaid and will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repayment date; </w:t>
      </w:r>
    </w:p>
    <w:p>
      <w:pPr>
        <w:pStyle w:val="TextBody"/>
        <w:bidi w:val="0"/>
        <w:spacing w:before="120" w:after="0"/>
        <w:jc w:val="left"/>
        <w:rPr>
          <w:rFonts w:ascii="Times New Roman" w:hAnsi="Times New Roman"/>
          <w:sz w:val="20"/>
        </w:rPr>
      </w:pPr>
      <w:r>
        <w:rPr>
          <w:rFonts w:ascii="Times New Roman" w:hAnsi="Times New Roman"/>
          <w:sz w:val="20"/>
        </w:rPr>
        <w:t xml:space="preserve">(2) the repayment price (together with a reasonably detailed calculation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(3) the Section of this Agreement pursuant to which the Term Loan is being repaid.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Reduction of Commitment and Repayment of Term Loan.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Commitment of the Lender shall be automatically and permanently reduced to $0 upon the making by the Lender of the Term Loan in an amount equal to the Closing Date Commitment.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repay to the Lender, on the Maturity Date, the aggregate principal amount of the Term Loan outstanding on such date.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the Term Loan shall be repaid, whether pursuant to this Section 3.04 or otherwise,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Interest and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will pay interest on the outstanding principal amount of the Term Loan at a rate per annum equal 9.875% from September 28, 2026 until the Maturity Date. </w:t>
      </w:r>
    </w:p>
    <w:p>
      <w:pPr>
        <w:pStyle w:val="TextBody"/>
        <w:bidi w:val="0"/>
        <w:spacing w:before="240" w:after="0"/>
        <w:jc w:val="left"/>
        <w:rPr>
          <w:rFonts w:ascii="Times New Roman" w:hAnsi="Times New Roman"/>
          <w:sz w:val="20"/>
        </w:rPr>
      </w:pPr>
      <w:r>
        <w:rPr>
          <w:rFonts w:ascii="Times New Roman" w:hAnsi="Times New Roman"/>
          <w:sz w:val="20"/>
        </w:rPr>
        <w:t>(b) The Borrower will pay interest, if any, semi-annually in arrears on April 15 and October 15 of each year, or if any such day is not a Business Day, on the next succeeding Business Day (each, an “</w:t>
      </w:r>
      <w:r>
        <w:rPr>
          <w:rFonts w:ascii="Times New Roman" w:hAnsi="Times New Roman"/>
          <w:i/>
          <w:sz w:val="20"/>
        </w:rPr>
        <w:t>Interest Payment Date</w:t>
      </w:r>
      <w:r>
        <w:rPr>
          <w:rFonts w:ascii="Times New Roman" w:hAnsi="Times New Roman"/>
          <w:sz w:val="20"/>
        </w:rPr>
        <w:t xml:space="preserve">”), to the Lender. Interest on the Term Loans will accrue from the most recent date to which interest has been paid or, if no interest has been paid, from the Closing Date; provided that the first Interest Payment Date shall be April 15, 2027. If any interest payment date falls on a day that is not a Business Day, the required payment will be made on the succeeding Business Day and no interest on such payment will accrue in respect of the delay. At the option of the Borrower, the Borrower may pay interest on the Term Loan due on any Interest Payment Date on the Business Day immediately preceding such Interest Payment Date (which interest payment shall, for the avoidance of doubt, be in an amount equal to the amount due on such Interest Payment Date, and interest for the immediately succeeding period shall be calculated from such Interest Payment Date). The Borrower will pay interest (including post-petition interest in any proceeding under any Bankruptcy Law) on overdue principal at the then applicable interest rate on the Term Loans to the extent lawful; it will pay interest (including post-petition interest in any proceeding under any Bankruptcy Law) on overdue installments of interest, if any (without regard to any applicable grace period), at the same rate to the extent 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Borrower defaults in a payment of interest on the Term Loan, it will pay the defaulted interest in any lawful manner plus, to the extent lawful, interest payable on the defaulted interest at the rate specified in Section 3.05(a), to the Lender. The Borrower will notify the Administrative Agent in writing of the amount of defaulted interest and interest thereon proposed to be paid on the Term Loan (together with a reasonably detailed calculation thereof) and the date of the proposed payment at least three (3) Business Days prior to such payment date. The Borrower will fix or cause to be fixed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(d) Interest on the Term Loan or any portion thereof shall be payable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shall pay to the Agents such fees as shall have been separately agreed upon in writing (including, in the case of fees payable to the Administrative Agent, as set forth in the Administrative Agent Fee Letter) in the amounts and at the times so specified therein. Such fees shall be fully earned when paid and shall not be refundable for any reason whatsoever (except as expressly agreed between the Borrower and the applicable Agent). </w:t>
      </w:r>
    </w:p>
    <w:p>
      <w:pPr>
        <w:pStyle w:val="TextBody"/>
        <w:bidi w:val="0"/>
        <w:spacing w:before="240" w:after="0"/>
        <w:jc w:val="left"/>
        <w:rPr>
          <w:rFonts w:ascii="Times New Roman" w:hAnsi="Times New Roman"/>
          <w:sz w:val="20"/>
        </w:rPr>
      </w:pPr>
      <w:r>
        <w:rPr>
          <w:rFonts w:ascii="Times New Roman" w:hAnsi="Times New Roman"/>
          <w:sz w:val="20"/>
        </w:rPr>
        <w:t xml:space="preserve">(f) All computations of fees and interest for the Term Loan shall be made on the basis of a three hundred and sixty (360) day year and comprised of twelve 30-day months. Interest shall accrue on the Term Loan for the day on which the Term Loan is made, and shall not accrue on the Term Loan, or any portion thereof, for the day on which the Term Loan or such portion is paid. Each determination by the Administrative Agent of an interest rate or fee hereunder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i/>
          <w:sz w:val="20"/>
        </w:rPr>
        <w:t>Payments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to be made by the Borrower shall be made without condition or deduction for any counterclaim, defense, recoupment or setoff. Except as otherwise expressly provided herein, all payments by the Borrower hereunder shall be made directly to the Lender to which such payment is owed, to the Lender’s Account for payment in U.S. dollars and in Same Day Funds not later than 1:00 p.m. on the date specified herein. The Lender shall promptly notify the Administrative Agent in writing (which may be by email) of its receipt of any payment(s) made hereunder (including the amount and nature of such payment(s)), and the parties hereto hereby acknowledge and agree that (i) the Administrative Agent may conclusively rely on such written notice for all purposes of the Loan Documents (including updating the Register to reflect such payment(s)) and (ii) the Administrative Agent shall not have any duty or obligation to inquire into or confirm any further information regarding such payment(s). All payments by the Borrower hereunder to be made to the Administrative Agent (whether for its own account or for the account of the Lender to which such payment is owed), shall be made at the Administrative Agent’s Account for payment in U.S. dollars and in Same Day Funds not later than 1:00 p.m. on the date specified herein. The Administrative Agent will promptly distribute to the Lender any payment received by the Administrative Agent for the account of the Lender such payment in like funds as received by wire transfer to the Lender’s Account. All payments received by the Administrative Agent, or the Lender, as applicable, after 1:00 p.m., New York City time shall, in the discretion of the Administrative Agent, or the Lender, as applicable, be deemed received on the next succeeding Business Day and any applicable interest or fee shall continue to accrue. All payments under each Loan Document of principal or interest in respect of any Loan shall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(b) If any payment to be made by the Borrower shall come due on a day other than a Business Day, payment shall be made on the next following Business Day, and such extension of time shall be reflected in computing interest or fees, as the case may be; provided that, if such extension would cause payment of interest on or principal of the Term Loan to be made in the next succeeding calendar month, such payment shall be made on the immediately preceding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the Borrower or the Lender has notified the Administrative Agent, prior to the date any payment is required to be made by it to the Administrative Agent hereunder, that the Borrower or the Lender, as the case may be, will not make such payment, the Administrative Agent may assume that the Borrower or the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 </w:t>
      </w:r>
    </w:p>
    <w:p>
      <w:pPr>
        <w:pStyle w:val="TextBody"/>
        <w:bidi w:val="0"/>
        <w:spacing w:before="120" w:after="0"/>
        <w:jc w:val="left"/>
        <w:rPr>
          <w:rFonts w:ascii="Times New Roman" w:hAnsi="Times New Roman"/>
          <w:sz w:val="20"/>
        </w:rPr>
      </w:pPr>
      <w:r>
        <w:rPr>
          <w:rFonts w:ascii="Times New Roman" w:hAnsi="Times New Roman"/>
          <w:sz w:val="20"/>
        </w:rPr>
        <w:t xml:space="preserve">(1) if the Borrower failed to make such payment, the Lender shall forthwith on demand repay to the Administrative Agent the portion of such assumed payment that was made available to the Lender in Same Day Funds, together with interest thereon in respect of each day from and including the date such amount was made available by the Administrative Agent to the Lender to the date such amount is repaid to the Administrative Agent in Same Day Funds at the Federal Funds Rate from time to time in effect; and </w:t>
      </w:r>
    </w:p>
    <w:p>
      <w:pPr>
        <w:pStyle w:val="TextBody"/>
        <w:bidi w:val="0"/>
        <w:spacing w:before="120" w:after="0"/>
        <w:jc w:val="left"/>
        <w:rPr>
          <w:rFonts w:ascii="Times New Roman" w:hAnsi="Times New Roman"/>
          <w:sz w:val="20"/>
        </w:rPr>
      </w:pPr>
      <w:r>
        <w:rPr>
          <w:rFonts w:ascii="Times New Roman" w:hAnsi="Times New Roman"/>
          <w:sz w:val="20"/>
        </w:rPr>
        <w:t>(2) (ii) if the Lender failed to make such payment, the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Times New Roman" w:hAnsi="Times New Roman"/>
          <w:i/>
          <w:sz w:val="20"/>
        </w:rPr>
        <w:t>Compensation Period</w:t>
      </w:r>
      <w:r>
        <w:rPr>
          <w:rFonts w:ascii="Times New Roman" w:hAnsi="Times New Roman"/>
          <w:sz w:val="20"/>
        </w:rPr>
        <w:t xml:space="preserve">”) at a rate per annum equal to the Federal Funds Rate from time to time in effect. If the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the Lender from its obligation to fulfill its Commitment or to prejudice any rights that the Administrative Agent or the Borrower may have against the Lender as a result of any default by the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A notice of the Administrative Agent to the Lender or the Borrower with respect to any amount owing under this Section 3.06(c)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Whenever any payment received by the Administrative Agent or the Lender under this Agreement or any of the other Loan Documents is insufficient to pay in full all amounts due and payable to the Administrative Agent and/or the Lender under or in respect of this Agreement and the other Loan Documents on any date, such payment shall be distributed by the recipient thereof and applied by the Administrative Agent and the Lender in the order of priority set forth in Section 6.10. If the Administrative Agent (or the Lender) receives funds for application to the Loan Obligations of the Loan Parties under or in respect of the Loan Documents under circumstances for which the Loan Documents do not specify the manner in which such funds are to be applied, the Administrative Agent (or the Lender) may, but shall not be obligated to, elect to distribute such funds to the Lender (or, in the case of the Lender, accept such funds) in repayment of the outstanding amount of the Term Loan or other Obligations then owing to the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i/>
          <w:sz w:val="20"/>
        </w:rPr>
        <w:t>Optional 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October 15, 2029, the Borrower may repay all or a part of the Term Loan, at a price equal to 100% of the principal amount of the amount repaid plus the Applicable Premium as of, plus accrued and unpaid interest, if any, on the amount repaid, to the repayment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At any time and from time to time on or prior to October 15, 2029, the Borrower may repay in the aggregate up to 40% of the original aggregate principal amount of the Term Loan with the net cash proceeds of one or more Subsequent Equity Offerings (1) by the Borrower or (2) by any direct or indirect parent of the Borrower to the extent the net cash proceeds thereof are contributed to the common equity capital of the Borrower or used to purchase Capital Stock (other than Disqualified Stock) of the Borrower from it, at a repayment price (expressed as a percentage of principal amount thereof) of 109.875%, plus accrued and unpaid interest to the repayment date (subject to the right of the Lender to receive interest due on the relevant Interest Payment Date); </w:t>
      </w:r>
      <w:r>
        <w:rPr>
          <w:rFonts w:ascii="Times New Roman" w:hAnsi="Times New Roman"/>
          <w:i/>
          <w:sz w:val="20"/>
        </w:rPr>
        <w:t>provided</w:t>
      </w:r>
      <w:r>
        <w:rPr>
          <w:rFonts w:ascii="Times New Roman" w:hAnsi="Times New Roman"/>
          <w:sz w:val="20"/>
        </w:rPr>
        <w:t xml:space="preserve">, however, that </w:t>
      </w:r>
    </w:p>
    <w:p>
      <w:pPr>
        <w:pStyle w:val="TextBody"/>
        <w:bidi w:val="0"/>
        <w:spacing w:before="120" w:after="0"/>
        <w:jc w:val="left"/>
        <w:rPr>
          <w:rFonts w:ascii="Times New Roman" w:hAnsi="Times New Roman"/>
          <w:sz w:val="20"/>
        </w:rPr>
      </w:pPr>
      <w:r>
        <w:rPr>
          <w:rFonts w:ascii="Times New Roman" w:hAnsi="Times New Roman"/>
          <w:sz w:val="20"/>
        </w:rPr>
        <w:t xml:space="preserve">(1) at least 50% of the original aggregate principal amount of the Term Loan must remain outstanding after each such repayment; and </w:t>
      </w:r>
    </w:p>
    <w:p>
      <w:pPr>
        <w:pStyle w:val="TextBody"/>
        <w:bidi w:val="0"/>
        <w:spacing w:before="120" w:after="0"/>
        <w:jc w:val="left"/>
        <w:rPr>
          <w:rFonts w:ascii="Times New Roman" w:hAnsi="Times New Roman"/>
          <w:sz w:val="20"/>
        </w:rPr>
      </w:pPr>
      <w:r>
        <w:rPr>
          <w:rFonts w:ascii="Times New Roman" w:hAnsi="Times New Roman"/>
          <w:sz w:val="20"/>
        </w:rPr>
        <w:t xml:space="preserve">(2) that such repayment shall occur within 180 days after the date on which any such Subsequent Equity Offering is consummated upon not less than ten nor more than 60 days’ notice mailed by first-class mail (with a contemporaneous copy sent via email in accordance with Section 13.01) to the Administrative Agent and the Lender and otherwise in accordance with the procedures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Except pursuant to the preceding paragraphs (a) through (c), the Term Loan will not be repayable at the Borrower’s option prior to October 15, 2029. </w:t>
      </w:r>
    </w:p>
    <w:p>
      <w:pPr>
        <w:pStyle w:val="TextBody"/>
        <w:bidi w:val="0"/>
        <w:spacing w:before="240" w:after="0"/>
        <w:jc w:val="left"/>
        <w:rPr>
          <w:rFonts w:ascii="Times New Roman" w:hAnsi="Times New Roman"/>
          <w:sz w:val="20"/>
        </w:rPr>
      </w:pPr>
      <w:r>
        <w:rPr>
          <w:rFonts w:ascii="Times New Roman" w:hAnsi="Times New Roman"/>
          <w:sz w:val="20"/>
        </w:rPr>
        <w:t xml:space="preserve">(e) On and after October 15, 2029, the Borrower may, at its option, on one or more occasions, repay all or a portion of the Term Loan at repayment prices (expressed as percentages of the aggregate principal amount thereof) set forth below, plus accrued and unpaid interest, if any, on the amount of the Term Loan repaid, to the repayment date, if repaid during the 12-month period beginning on October 15 of the years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5"/>
        <w:gridCol w:w="355"/>
        <w:gridCol w:w="73"/>
        <w:gridCol w:w="1058"/>
        <w:gridCol w:w="278"/>
      </w:tblGrid>
      <w:tr>
        <w:trPr/>
        <w:tc>
          <w:tcPr>
            <w:tcW w:w="517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7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Year</w:t>
            </w:r>
          </w:p>
        </w:tc>
        <w:tc>
          <w:tcPr>
            <w:tcW w:w="35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t>Percentage</w:t>
            </w:r>
          </w:p>
        </w:tc>
        <w:tc>
          <w:tcPr>
            <w:tcW w:w="278"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104.938</w:t>
            </w:r>
          </w:p>
        </w:tc>
        <w:tc>
          <w:tcPr>
            <w:tcW w:w="278" w:type="dxa"/>
            <w:tcBorders/>
            <w:shd w:fill="CCEEFF" w:val="clear"/>
            <w:vAlign w:val="bottom"/>
          </w:tcPr>
          <w:p>
            <w:pPr>
              <w:pStyle w:val="TableContents"/>
              <w:bidi w:val="0"/>
              <w:spacing w:before="0" w:after="283"/>
              <w:jc w:val="left"/>
              <w:rPr/>
            </w:pPr>
            <w:r>
              <w:rPr/>
              <w:t>% </w:t>
            </w:r>
          </w:p>
        </w:tc>
      </w:tr>
      <w:tr>
        <w:trPr/>
        <w:tc>
          <w:tcPr>
            <w:tcW w:w="517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102.469</w:t>
            </w:r>
          </w:p>
        </w:tc>
        <w:tc>
          <w:tcPr>
            <w:tcW w:w="278"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100.000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 Any repayment pursuant to this Section 3.07 shall be made pursuant to the provisions of Sections 3.01 through 3.06 hereof. </w:t>
      </w:r>
    </w:p>
    <w:p>
      <w:pPr>
        <w:pStyle w:val="TextBody"/>
        <w:bidi w:val="0"/>
        <w:spacing w:before="240" w:after="0"/>
        <w:jc w:val="left"/>
        <w:rPr>
          <w:rFonts w:ascii="Times New Roman" w:hAnsi="Times New Roman"/>
          <w:sz w:val="20"/>
        </w:rPr>
      </w:pPr>
      <w:r>
        <w:rPr>
          <w:rFonts w:ascii="Times New Roman" w:hAnsi="Times New Roman"/>
          <w:sz w:val="20"/>
        </w:rPr>
        <w:t xml:space="preserve">(g) Notice of any repayment (including with net cash proceeds of a Subsequent Equity Offering) may, at the Borrower’s discretion, be subject to one or more conditions precedent, including, without limitation, the consummation of an incurrence or issuance of debt or equity or a Change of Control. If any condition precedent has not been satisfied, the Borrower shall, for informational purposes, provide written notice to the Administrative Agent and Lender by 10 A.M., New York City time, on the repayment date, stating that such condition has not been satisfied, the notice of repayment is rescinded or delayed and the repayment shall not occur or shall be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3.08 </w:t>
      </w:r>
      <w:r>
        <w:rPr>
          <w:rFonts w:ascii="Times New Roman" w:hAnsi="Times New Roman"/>
          <w:i/>
          <w:sz w:val="20"/>
        </w:rPr>
        <w:t>Mandatory 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is not required to make any mandatory repayments or sinking fund payments with respect to the Term Loan. However, under certain circumstances, the Borrower may be required to offer to repay the Term Loan or a portion thereof as described under Sections 4.10 and 4.15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i/>
          <w:sz w:val="20"/>
        </w:rPr>
        <w:t>Offer to Repay by Application of Excess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the event that, pursuant to Section 4.10 hereof, the Borrower is required to commence an offer to the Lender to repay the Term Loan or a portion thereof (an “</w:t>
      </w:r>
      <w:r>
        <w:rPr>
          <w:rFonts w:ascii="Times New Roman" w:hAnsi="Times New Roman"/>
          <w:i/>
          <w:sz w:val="20"/>
        </w:rPr>
        <w:t>Asset Sale Offer</w:t>
      </w:r>
      <w:r>
        <w:rPr>
          <w:rFonts w:ascii="Times New Roman" w:hAnsi="Times New Roman"/>
          <w:sz w:val="20"/>
        </w:rPr>
        <w:t xml:space="preserve">”), it will follow the procedures specified below. </w:t>
      </w:r>
    </w:p>
    <w:p>
      <w:pPr>
        <w:pStyle w:val="TextBody"/>
        <w:bidi w:val="0"/>
        <w:spacing w:before="240" w:after="0"/>
        <w:jc w:val="left"/>
        <w:rPr>
          <w:rFonts w:ascii="Times New Roman" w:hAnsi="Times New Roman"/>
          <w:sz w:val="20"/>
        </w:rPr>
      </w:pPr>
      <w:r>
        <w:rPr>
          <w:rFonts w:ascii="Times New Roman" w:hAnsi="Times New Roman"/>
          <w:sz w:val="20"/>
        </w:rPr>
        <w:t>The Asset Sale Offer shall be made to the Lender (for provision to the Holders of the Lender Notes) and if required by the terms of any Indebtedness that is pari passu in right of payment with the Term Loan (“</w:t>
      </w:r>
      <w:r>
        <w:rPr>
          <w:rFonts w:ascii="Times New Roman" w:hAnsi="Times New Roman"/>
          <w:i/>
          <w:sz w:val="20"/>
        </w:rPr>
        <w:t>Pari Passu Indebtedness</w:t>
      </w:r>
      <w:r>
        <w:rPr>
          <w:rFonts w:ascii="Times New Roman" w:hAnsi="Times New Roman"/>
          <w:sz w:val="20"/>
        </w:rPr>
        <w:t>”) to the holders of such Pari Passu Indebtedness. The Asset Sale Offer will remain open for a period of at least 20 Business Days following its commencement and not more than 30 Business Days, except to the extent that a longer period is required by applicable law (the “</w:t>
      </w:r>
      <w:r>
        <w:rPr>
          <w:rFonts w:ascii="Times New Roman" w:hAnsi="Times New Roman"/>
          <w:i/>
          <w:sz w:val="20"/>
        </w:rPr>
        <w:t>Offer Period</w:t>
      </w:r>
      <w:r>
        <w:rPr>
          <w:rFonts w:ascii="Times New Roman" w:hAnsi="Times New Roman"/>
          <w:sz w:val="20"/>
        </w:rPr>
        <w:t>”). No later than three Business Days after the termination of the Offer Period (the “</w:t>
      </w:r>
      <w:r>
        <w:rPr>
          <w:rFonts w:ascii="Times New Roman" w:hAnsi="Times New Roman"/>
          <w:i/>
          <w:sz w:val="20"/>
        </w:rPr>
        <w:t>Purchase Date</w:t>
      </w:r>
      <w:r>
        <w:rPr>
          <w:rFonts w:ascii="Times New Roman" w:hAnsi="Times New Roman"/>
          <w:sz w:val="20"/>
        </w:rPr>
        <w:t>”), the Borrower will apply all Excess Proceeds (the “</w:t>
      </w:r>
      <w:r>
        <w:rPr>
          <w:rFonts w:ascii="Times New Roman" w:hAnsi="Times New Roman"/>
          <w:i/>
          <w:sz w:val="20"/>
        </w:rPr>
        <w:t>Offer Amount</w:t>
      </w:r>
      <w:r>
        <w:rPr>
          <w:rFonts w:ascii="Times New Roman" w:hAnsi="Times New Roman"/>
          <w:sz w:val="20"/>
        </w:rPr>
        <w:t xml:space="preserve">”) to the repayment of the Term Loan and such Pari Passu Indebtedness (on a </w:t>
      </w:r>
      <w:r>
        <w:rPr>
          <w:rFonts w:ascii="Times New Roman" w:hAnsi="Times New Roman"/>
          <w:i/>
          <w:sz w:val="20"/>
        </w:rPr>
        <w:t xml:space="preserve">pro rata </w:t>
      </w:r>
      <w:r>
        <w:rPr>
          <w:rFonts w:ascii="Times New Roman" w:hAnsi="Times New Roman"/>
          <w:sz w:val="20"/>
        </w:rPr>
        <w:t xml:space="preserve">basis based on the principal amount of Term Loan (based on the tendered amounts of Lender Notes) and such Pari Passu Indebtedness surrendered, if applicable) or, if less than the Offer Amount has been tendered, the Term Loan and other Indebtedness tendered in response to the Asset Sale Offer. Repayment under this clause will be made in the same manner as interest payments are made. </w:t>
      </w:r>
    </w:p>
    <w:p>
      <w:pPr>
        <w:pStyle w:val="TextBody"/>
        <w:bidi w:val="0"/>
        <w:spacing w:before="240" w:after="0"/>
        <w:jc w:val="left"/>
        <w:rPr>
          <w:rFonts w:ascii="Times New Roman" w:hAnsi="Times New Roman"/>
          <w:sz w:val="20"/>
        </w:rPr>
      </w:pPr>
      <w:r>
        <w:rPr>
          <w:rFonts w:ascii="Times New Roman" w:hAnsi="Times New Roman"/>
          <w:sz w:val="20"/>
        </w:rPr>
        <w:t xml:space="preserve">Upon the commencement of an Asset Sale Offer, the Borrower will send, by first class mail (with a contemporaneous copy sent via email in accordance with Section 13.01), a notice to the Administrative Agent and the Lender, with a copy to the Lender Notes Trustee. The notice, which will govern the terms of the Asset Sale Offer, will state: </w:t>
      </w:r>
    </w:p>
    <w:p>
      <w:pPr>
        <w:pStyle w:val="TextBody"/>
        <w:bidi w:val="0"/>
        <w:spacing w:before="120" w:after="0"/>
        <w:jc w:val="left"/>
        <w:rPr>
          <w:rFonts w:ascii="Times New Roman" w:hAnsi="Times New Roman"/>
          <w:sz w:val="20"/>
        </w:rPr>
      </w:pPr>
      <w:r>
        <w:rPr>
          <w:rFonts w:ascii="Times New Roman" w:hAnsi="Times New Roman"/>
          <w:sz w:val="20"/>
        </w:rPr>
        <w:t xml:space="preserve">(1) that the Asset Sale Offer is being made pursuant to this Section 3.09 and Section 4.10 hereof and the length of time the Asset Sale Offer will remain open; </w:t>
      </w:r>
    </w:p>
    <w:p>
      <w:pPr>
        <w:pStyle w:val="TextBody"/>
        <w:bidi w:val="0"/>
        <w:spacing w:before="120" w:after="0"/>
        <w:jc w:val="left"/>
        <w:rPr>
          <w:rFonts w:ascii="Times New Roman" w:hAnsi="Times New Roman"/>
          <w:sz w:val="20"/>
        </w:rPr>
      </w:pPr>
      <w:r>
        <w:rPr>
          <w:rFonts w:ascii="Times New Roman" w:hAnsi="Times New Roman"/>
          <w:sz w:val="20"/>
        </w:rPr>
        <w:t xml:space="preserve">(2) the Offer Amount, the repayment price and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(3) that any portion of the Term Loan not repaid pursuant to the Asset Sale Offer will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Borrower defaults in making such payment, the portion of Term Loan accepted for repayment pursuant to the Asset Sale Offer will cease to accrue interest after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(5) [reserved]; </w:t>
      </w:r>
    </w:p>
    <w:p>
      <w:pPr>
        <w:pStyle w:val="TextBody"/>
        <w:bidi w:val="0"/>
        <w:spacing w:before="120" w:after="0"/>
        <w:jc w:val="left"/>
        <w:rPr>
          <w:rFonts w:ascii="Times New Roman" w:hAnsi="Times New Roman"/>
          <w:sz w:val="20"/>
        </w:rPr>
      </w:pPr>
      <w:r>
        <w:rPr>
          <w:rFonts w:ascii="Times New Roman" w:hAnsi="Times New Roman"/>
          <w:sz w:val="20"/>
        </w:rPr>
        <w:t xml:space="preserve">(6) [reserved]; </w:t>
      </w:r>
    </w:p>
    <w:p>
      <w:pPr>
        <w:pStyle w:val="TextBody"/>
        <w:bidi w:val="0"/>
        <w:spacing w:before="120" w:after="0"/>
        <w:jc w:val="left"/>
        <w:rPr>
          <w:rFonts w:ascii="Times New Roman" w:hAnsi="Times New Roman"/>
          <w:sz w:val="20"/>
        </w:rPr>
      </w:pPr>
      <w:r>
        <w:rPr>
          <w:rFonts w:ascii="Times New Roman" w:hAnsi="Times New Roman"/>
          <w:sz w:val="20"/>
        </w:rPr>
        <w:t xml:space="preserve">(7) [reserved]; and </w:t>
      </w:r>
    </w:p>
    <w:p>
      <w:pPr>
        <w:pStyle w:val="TextBody"/>
        <w:bidi w:val="0"/>
        <w:spacing w:before="120" w:after="0"/>
        <w:jc w:val="left"/>
        <w:rPr>
          <w:rFonts w:ascii="Times New Roman" w:hAnsi="Times New Roman"/>
          <w:sz w:val="20"/>
        </w:rPr>
      </w:pPr>
      <w:r>
        <w:rPr>
          <w:rFonts w:ascii="Times New Roman" w:hAnsi="Times New Roman"/>
          <w:sz w:val="20"/>
        </w:rPr>
        <w:t xml:space="preserve">(8) that, if the aggregate principal amount of the Term Notes and Pari Passu Indebtedness surrendered by holders thereof exceeds the Offer Amount, the Borrower will select a portion of the Term Loan and Pari Passu Indebtedness to be purchased on a </w:t>
      </w:r>
      <w:r>
        <w:rPr>
          <w:rFonts w:ascii="Times New Roman" w:hAnsi="Times New Roman"/>
          <w:i/>
          <w:sz w:val="20"/>
        </w:rPr>
        <w:t xml:space="preserve">pro rata </w:t>
      </w:r>
      <w:r>
        <w:rPr>
          <w:rFonts w:ascii="Times New Roman" w:hAnsi="Times New Roman"/>
          <w:sz w:val="20"/>
        </w:rPr>
        <w:t xml:space="preserve">basis based on the principal amount of Term Loan and such Pari Passu Indebtedness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the Purchase Date, the Borrower will, to the extent lawful, accept for payment, on a </w:t>
      </w:r>
      <w:r>
        <w:rPr>
          <w:rFonts w:ascii="Times New Roman" w:hAnsi="Times New Roman"/>
          <w:i/>
          <w:sz w:val="20"/>
        </w:rPr>
        <w:t xml:space="preserve">pro rata </w:t>
      </w:r>
      <w:r>
        <w:rPr>
          <w:rFonts w:ascii="Times New Roman" w:hAnsi="Times New Roman"/>
          <w:sz w:val="20"/>
        </w:rPr>
        <w:t xml:space="preserve">basis to the extent necessary, the Offer Amount of the Term Loan (based on the tendered amounts of the Lender Notes) or portions thereof tendered pursuant to the Asset Sale Offer, or if less than the Offer Amount has been tendered, all the Term Loan tendered, and will deliver or cause to be delivered to the Administrative Agent an Officer’s Certificate stating that the Term Loan or portions thereof were accepted for repayment by the Borrower in accordance with the terms of this Section 3.09. The Borrower will promptly (but in any case not later than five days after the Purchase Date) pay by wire transfer in Same Day Funds to the Administrative Agent, for the account of the Lender, an amount equal to the repayment price. The Borrower will (i) publicly announce the results of the Asset Sale Offer on the Purchase Date and (ii) provide written notice to the Administrative Agent of such repayment of the Term Loans by no later than 12:00 p.m., New York City, two (2) Business Days prior to the repayment date, which notice shall set forth the repayment date and the principal amount of the Term Loans to be repaid. </w:t>
      </w:r>
    </w:p>
    <w:p>
      <w:pPr>
        <w:pStyle w:val="TextBody"/>
        <w:bidi w:val="0"/>
        <w:spacing w:before="240" w:after="0"/>
        <w:jc w:val="left"/>
        <w:rPr>
          <w:rFonts w:ascii="Times New Roman" w:hAnsi="Times New Roman"/>
          <w:sz w:val="20"/>
        </w:rPr>
      </w:pPr>
      <w:r>
        <w:rPr>
          <w:rFonts w:ascii="Times New Roman" w:hAnsi="Times New Roman"/>
          <w:sz w:val="20"/>
        </w:rPr>
        <w:t xml:space="preserve">Other than as specifically provided in this Section 3.09, any repayment pursuant to this Section 3.09 shall be made pursuant to the provisions of Sections 3.01 through 3.06 hereof.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Reports and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So long as the Term Loan or portions thereof are outstanding, unless Holdings is subject to the reporting requirements of Section 13 or 15(d) of the Exchange Act or otherwise complies with such reporting requirements, Holdings will furnish without cost to the Administrative Agent and the Lender: </w:t>
      </w:r>
    </w:p>
    <w:p>
      <w:pPr>
        <w:pStyle w:val="TextBody"/>
        <w:bidi w:val="0"/>
        <w:spacing w:before="120" w:after="0"/>
        <w:jc w:val="left"/>
        <w:rPr>
          <w:rFonts w:ascii="Times New Roman" w:hAnsi="Times New Roman"/>
          <w:sz w:val="20"/>
        </w:rPr>
      </w:pPr>
      <w:r>
        <w:rPr>
          <w:rFonts w:ascii="Times New Roman" w:hAnsi="Times New Roman"/>
          <w:sz w:val="20"/>
        </w:rPr>
        <w:t xml:space="preserve">(1) within 90 days after the end of each 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audited year-end consolidated financial statements of Holdings and its Subsidiaries, including balance sheets, statements of operations and statements of cash flows, prepared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and analysis in reasonable detail of Holdings’ consolidated results of operations for the period referred to in clause (1)(w) of this Section 4.03(a) and the most recent comparable prior period and liquidity and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presentation of EBITDA of Holdings derived from such financial statements referred to in clause (1)(w) of this Section 4.03(a);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(z)</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pro forma and historical information in respect of any significant transaction (as determined in accordance with Rule 3-05 of Regulation S-X under the Securities Act) consummated more than 75 days prior to the date such information is furnished to the extent not previously provided and for the time periods for which such financial information would be required (if Holdings were subject to the filing requirements of the Exchange Act) in a filing on Form 8-K with the SEC at such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(2) within 45 days after the end of each of the first three fiscal quarters of each 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quarterly consolidated financial statements of Holdings and its Subsidiaries, including balance sheets, statements of operations and statements of cash flows, prepared in accordance with GAAP, subject to normal year-end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and analysis in reasonable detail of the consolidated results of operations of Holdings for the period referred to in clause (2)(w) of this Section 4.03(a) and the most recent comparable prior period and liquidity and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presentation of EBITDA of Holdings derived from such financial statements referred to in clause (2)(w) of this Section 4.03(a);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(z)</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pro forma and historical financial information in respect of any significant transaction (as determined in accordance with Rule 3-05 of Regulation S-X under the Securities Act) consummated more than 75 days prior to the date such information is furnished to the extent not previously provided and for the time periods such financial information would be required (if Holdings were subject to the filing requirements of the Exchange Act) in a filing on Form 8-K with the SEC at such time;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(3) within five Business Days following the occurrence of any of the following events, a description in reasonable detail of such event: (i) any change in the executive officers or directors of Holdings, (ii) any incurrence of any material long-term debt obligation or capital lease obligation (each as defined in Item 303 of Regulation S-K under the Securities Act) of or relating to Holdings, the Borrower or any of its Restricted Subsidiaries, (iii) the acceleration of any material Indebtedness of Holdings, the Borrower or any of its Restricted Subsidiaries, (iv) any issuance or sale by Holdings of Equity Interests of Holdings (excluding any issuance or sale pursuant to any stock option or similar compensation plan in the ordinary course of business), (v) the entry into of any agreement by Holdings, the Borrower or any of its Subsidiaries relating to a transaction that has resulted or may result in a Change of Control, (vi) any resignation or termination of the independent accountants of Holdings or any engagement of any new independent accountants of Holdings, (vii) any determination by Holdings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receipt of advice or notice by Holdings from its independent accountants, in either case, relating to non-reliance on previously issued financial statements, a related audit opinion or a completed interim review and (viii) the completion by Holdings, the Borrower or any of its Restricted Subsidiaries of the acquisition or disposition of a significant amount of assets, otherwise than in the ordinary course of business, in the case of each of clauses (i) through (viii), only to the extent any such event would be required to be reported by a company subject to reporting under Section 13 or 15(d) of the Exchange Act on Form 8-K.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references to Rule 3-05 of Regulation S-X in clauses (1)(z) and (2)(z) of this Section 4.03(a) and notwithstanding any contrary provisions of such Rule 3-05, Holdings may elect to determine whether pro forma and historical financial information is required, and the time periods, if any, therefor, with reference to the proportion of the total EBITDA of Holdings, the Borrower and its Restricted Subsidiaries attributable to the relevant acquired business or businesses in lieu of using the conditions specified in Rule 1-02(w) of Regulation S-X. For the avoidance of doubt, this covenant shall not require the provision of any information required by Rules 3-09, 3-10 or 3-16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In addition, if at any time (i) any direct or indirect parent company becomes a Guarantor (there being no obligation of any such parent company to do so) or (ii) Sabre Corporation (or a successor thereto) is the direct or indirect parent company of Holdings, then, in each case, the reports, information and other documents required to be furnished to the Administrative Agent, and actions required to be taken, pursuant to this covenant may, at the option of Holdings, be furnished by and be those of, or taken by, as the case may be, such parent or Sabre Corporation (or its successor), as applicable, rather than Holdings; </w:t>
      </w:r>
      <w:r>
        <w:rPr>
          <w:rFonts w:ascii="Times New Roman" w:hAnsi="Times New Roman"/>
          <w:i/>
          <w:sz w:val="20"/>
        </w:rPr>
        <w:t>provided</w:t>
      </w:r>
      <w:r>
        <w:rPr>
          <w:rFonts w:ascii="Times New Roman" w:hAnsi="Times New Roman"/>
          <w:sz w:val="20"/>
        </w:rPr>
        <w:t xml:space="preserve"> that in the case of (i) and (ii) above, a reasonably detailed description of any material differences between Sabre Corporation’s financial information and Holdings’ financial information will be provided within five Business Days after the furnishing of each annual and quarterly report pursuant to this covenant. Any report required to be furnished under this covenant will be deemed furnished upon public filing with the SEC; </w:t>
      </w:r>
      <w:r>
        <w:rPr>
          <w:rFonts w:ascii="Times New Roman" w:hAnsi="Times New Roman"/>
          <w:i/>
          <w:sz w:val="20"/>
        </w:rPr>
        <w:t>provided</w:t>
      </w:r>
      <w:r>
        <w:rPr>
          <w:rFonts w:ascii="Times New Roman" w:hAnsi="Times New Roman"/>
          <w:sz w:val="20"/>
        </w:rPr>
        <w:t xml:space="preserve"> that the Administrative Agent shall have no responsibility whatsoever to determine whether any such filing has occurred.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herein to the contrary, Holdings will not be deemed to have failed to comply with any of its obligations hereunder for purposes of clause (3) of Section 6.01 hereof until 90 days after the date any report hereunder is due. </w:t>
      </w:r>
    </w:p>
    <w:p>
      <w:pPr>
        <w:pStyle w:val="TextBody"/>
        <w:bidi w:val="0"/>
        <w:spacing w:before="240" w:after="0"/>
        <w:jc w:val="left"/>
        <w:rPr>
          <w:rFonts w:ascii="Times New Roman" w:hAnsi="Times New Roman"/>
          <w:sz w:val="20"/>
        </w:rPr>
      </w:pPr>
      <w:r>
        <w:rPr>
          <w:rFonts w:ascii="Times New Roman" w:hAnsi="Times New Roman"/>
          <w:sz w:val="20"/>
        </w:rPr>
        <w:t xml:space="preserve">(g) The delivery of such reports, information and documents to the Administrative Agent is for informational purposes only and the Administrative Agent’s receipt of such shall not constitute constructive notice of any information contained therein or determinable from information contained therein, including the Borrower’s compliance with any of its covenants hereunder (as to which the Administrative Agent is entitled to rely exclusively on Officer’s Certificates), nor shall the Administrative Agent have any responsibility or liability for the content, filing or timeliness of any report required under this Section 4.03 or any other reports, information and documents required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and each Guarantor shall deliver to the Administrative Agent and the Lender, within 120 days after the end of each Fiscal Year (commencing with, the Fiscal Year ending December 31, 2027), an Officer’s Certificate from the principal executive officer, principal financial officer or principal accounting officer stating that a review of the activities of the Borrower and its Subsidiaries during the preceding Fiscal Year has been made under the supervision of the signing Officers with a view to determining whether the Borrower has kept, observed, performed and fulfilled its obligations under this Agreement and the Security Documents, and further stating, as to each such Officer signing such certificate, that to the best of his or her knowledge the Borrower has kept, observed, performed and fulfilled each and every covenant contained in this Agreement and the Security Documents, and is not in default in the performance or observance of any of the terms, provisions and conditions of this Agreement or the Security Documents (or, if a Default or Event of Default has occurred, describing all such Defaults or Events of Default of which he or she may have knowledge and what action the Borrower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So long as any portion of the Term Loan is outstanding, the Borrower will deliver to the Administrative Agent and the Lender, within five Business Days of any Officer becoming aware of any Default or Event of Default, an Officer’s Certificate specifying such Default or Event of Default and what action the Borrower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pay or discharge, and will cause each of its Subsidiaries to pay or discharge, prior to delinquency, all material taxes, lawful assessments, and governmental levies except such as are contested in good faith and by appropriate proceedings or where the failure to effect such payment is not adverse in any material respect to the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Stay, Extension and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Agreement; and the Borrower and each of the Guarantors (to the extent that it may lawfully do so) hereby expressly waives all benefit or advantage of any such law, and covenants (to the extent it may lawfully do so) that it will not, by resort to any such law, hinder, delay or impede the execution of any power herein granted to the Administrative Agent, but will suffer and permit the execution of every such power as though no such law has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i/>
          <w:sz w:val="20"/>
        </w:rPr>
        <w:t>Limitation on 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will not, and will not permit any of its Restricted Subsidiaries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any dividend or make any payment or distribution on account of the Borrower’s or any of its Restricted Subsidiaries’ Equity Interests, including any dividend or distribution payable in connection with any merger, amalgamation or consolidation other than: </w:t>
      </w:r>
    </w:p>
    <w:p>
      <w:pPr>
        <w:pStyle w:val="TextBody"/>
        <w:bidi w:val="0"/>
        <w:spacing w:before="120" w:after="0"/>
        <w:jc w:val="left"/>
        <w:rPr>
          <w:rFonts w:ascii="Times New Roman" w:hAnsi="Times New Roman"/>
          <w:sz w:val="20"/>
        </w:rPr>
      </w:pPr>
      <w:r>
        <w:rPr>
          <w:rFonts w:ascii="Times New Roman" w:hAnsi="Times New Roman"/>
          <w:sz w:val="20"/>
        </w:rPr>
        <w:t xml:space="preserve">(A) dividends or distributions by the Borrower payable solely in Equity Interests (other than Disqualified Stock) of the Borrower;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dividends or distributions by a Restricted Subsidiary so long as, in the case of any dividend or distribution payable on or in respect of any class or series of securities issued by a Restricted Subsidiary other than a Wholly-Owned Subsidiary of the Borrower, the Borrower or a Restricted Subsidiary receives at least its pro rata share of such dividend or distribution in accordance with its Equity Interests in such class or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purchase, redeem, defease or otherwise acquire or retire for value any Equity Interests of the Borrower or any direct or indirect parent company of the Borrower, including in connection with any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(III) make any principal payment on, or redeem, repurchase, defease or otherwise acquire or retire for value, in each case, prior to any scheduled repayment, sinking fund payment or maturity, any Subordinated Indebtedness, other than: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permitted under clauses (7) and (8) of Section 4.09(b) hereof; or </w:t>
      </w:r>
    </w:p>
    <w:p>
      <w:pPr>
        <w:pStyle w:val="TextBody"/>
        <w:bidi w:val="0"/>
        <w:spacing w:before="120" w:after="0"/>
        <w:jc w:val="left"/>
        <w:rPr>
          <w:rFonts w:ascii="Times New Roman" w:hAnsi="Times New Roman"/>
          <w:sz w:val="20"/>
        </w:rPr>
      </w:pPr>
      <w:r>
        <w:rPr>
          <w:rFonts w:ascii="Times New Roman" w:hAnsi="Times New Roman"/>
          <w:sz w:val="20"/>
        </w:rPr>
        <w:t xml:space="preserve">(B) the purchase, repurchase or other acquisition of Subordinated Indebtedness purchased in anticipation of satisfying a sinking fund obligation, principal installment or final maturity, in each case due within one year of the date of purchase, repurchase or acquisition; or </w:t>
      </w:r>
    </w:p>
    <w:p>
      <w:pPr>
        <w:pStyle w:val="TextBody"/>
        <w:bidi w:val="0"/>
        <w:spacing w:before="120" w:after="0"/>
        <w:jc w:val="left"/>
        <w:rPr>
          <w:rFonts w:ascii="Times New Roman" w:hAnsi="Times New Roman"/>
          <w:sz w:val="20"/>
        </w:rPr>
      </w:pPr>
      <w:r>
        <w:rPr>
          <w:rFonts w:ascii="Times New Roman" w:hAnsi="Times New Roman"/>
          <w:sz w:val="20"/>
        </w:rPr>
        <w:t xml:space="preserve">(IV) make any Restricted Investment; </w:t>
      </w:r>
    </w:p>
    <w:p>
      <w:pPr>
        <w:pStyle w:val="TextBody"/>
        <w:bidi w:val="0"/>
        <w:spacing w:before="120" w:after="0"/>
        <w:jc w:val="left"/>
        <w:rPr>
          <w:rFonts w:ascii="Times New Roman" w:hAnsi="Times New Roman"/>
          <w:sz w:val="20"/>
        </w:rPr>
      </w:pPr>
      <w:r>
        <w:rPr>
          <w:rFonts w:ascii="Times New Roman" w:hAnsi="Times New Roman"/>
          <w:sz w:val="20"/>
        </w:rPr>
        <w:t>(all such payments and other actions set forth in clauses (I) through (IV) above being collectively referred to as “</w:t>
      </w:r>
      <w:r>
        <w:rPr>
          <w:rFonts w:ascii="Times New Roman" w:hAnsi="Times New Roman"/>
          <w:i/>
          <w:sz w:val="20"/>
        </w:rPr>
        <w:t>Restricted Payments</w:t>
      </w:r>
      <w:r>
        <w:rPr>
          <w:rFonts w:ascii="Times New Roman" w:hAnsi="Times New Roman"/>
          <w:sz w:val="20"/>
        </w:rPr>
        <w:t xml:space="preserve">”), unless, at the time of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(1) no Default shall have occurred and be continuing or would occur as a consequence thereof; </w:t>
      </w:r>
    </w:p>
    <w:p>
      <w:pPr>
        <w:pStyle w:val="TextBody"/>
        <w:bidi w:val="0"/>
        <w:spacing w:before="120" w:after="0"/>
        <w:jc w:val="left"/>
        <w:rPr>
          <w:rFonts w:ascii="Times New Roman" w:hAnsi="Times New Roman"/>
          <w:sz w:val="20"/>
        </w:rPr>
      </w:pPr>
      <w:r>
        <w:rPr>
          <w:rFonts w:ascii="Times New Roman" w:hAnsi="Times New Roman"/>
          <w:sz w:val="20"/>
        </w:rPr>
        <w:t>(2) immediately after giving effect to such transaction on a pro forma basis, (i) the Borrower could incur $1.00 of additional Indebtedness pursuant to the Fixed Charge Coverage Ratio test set forth in Section 4.09(a) hereof (the “</w:t>
      </w:r>
      <w:r>
        <w:rPr>
          <w:rFonts w:ascii="Times New Roman" w:hAnsi="Times New Roman"/>
          <w:i/>
          <w:sz w:val="20"/>
        </w:rPr>
        <w:t>Fixed Charge Coverage Test</w:t>
      </w:r>
      <w:r>
        <w:rPr>
          <w:rFonts w:ascii="Times New Roman" w:hAnsi="Times New Roman"/>
          <w:sz w:val="20"/>
        </w:rPr>
        <w:t xml:space="preserve">”) and (ii) other than in the case of any Restricted Investment, the Senior Secured Leverage Ratio shall be equal to or less than 5.0 to 1.0; and </w:t>
      </w:r>
    </w:p>
    <w:p>
      <w:pPr>
        <w:pStyle w:val="TextBody"/>
        <w:bidi w:val="0"/>
        <w:spacing w:before="120" w:after="0"/>
        <w:jc w:val="left"/>
        <w:rPr>
          <w:rFonts w:ascii="Times New Roman" w:hAnsi="Times New Roman"/>
          <w:sz w:val="20"/>
        </w:rPr>
      </w:pPr>
      <w:r>
        <w:rPr>
          <w:rFonts w:ascii="Times New Roman" w:hAnsi="Times New Roman"/>
          <w:sz w:val="20"/>
        </w:rPr>
        <w:t xml:space="preserve">(3) such Restricted Payment, together with the aggregate amount of all other Restricted Payments made by the Borrower and its Restricted Subsidiaries after January 1, 2020 (including Restricted Payments permitted by clauses (1), (2) (with respect to the payment of dividends on Refunding Capital Stock (as defined below) pursuant to clause (c) thereof only), (6)(c), (9) and (13) of Section 4.07(b), but excluding all other Restricted Payments permitted by Section 4.07(b) hereof), is less than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(i) $2,820 million, </w:t>
      </w:r>
      <w:r>
        <w:rPr>
          <w:rFonts w:ascii="Times New Roman" w:hAnsi="Times New Roman"/>
          <w:i/>
          <w:sz w:val="20"/>
        </w:rPr>
        <w:t>less</w:t>
      </w:r>
      <w:r>
        <w:rPr>
          <w:rFonts w:ascii="Times New Roman" w:hAnsi="Times New Roman"/>
          <w:sz w:val="20"/>
        </w:rPr>
        <w:t xml:space="preserve"> (ii) the amount of any net cash proceeds received by the Borrower prior to the Closing Date from the issue or sale of Equity Interests of the Borrower or from cash contributed to the capital of the Borrower to the extent there is any Indebtedness, Disqualified Stock or Preferred Stock outstanding pursuant to clause (12)(a) of Section 4.09(b) hereof in reliance on such net cash proceeds;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50% of the Consolidated Net Income of Holdings, the Borrower and its Restricted Subsidiaries for the period (taken as one accounting period) beginning on January 1, 2020 to the end of Holdings’ most recently ended fiscal quarter for which internal financial statements are available at the time of such Restricted Payment, or, in the case such Consolidated Net Income for such period is a deficit, minus 100% of such deficit (which amount shall not be less than zero); plus </w:t>
      </w:r>
    </w:p>
    <w:p>
      <w:pPr>
        <w:pStyle w:val="TextBody"/>
        <w:bidi w:val="0"/>
        <w:spacing w:before="120" w:after="0"/>
        <w:jc w:val="left"/>
        <w:rPr>
          <w:rFonts w:ascii="Times New Roman" w:hAnsi="Times New Roman"/>
          <w:sz w:val="20"/>
        </w:rPr>
      </w:pPr>
      <w:r>
        <w:rPr>
          <w:rFonts w:ascii="Times New Roman" w:hAnsi="Times New Roman"/>
          <w:sz w:val="20"/>
        </w:rPr>
        <w:t xml:space="preserve">(C) 100% of the aggregate net cash proceeds and the fair market value, as determined in good faith by the Borrower, including its board of directors if such fair market value is in excess of $100,000,000, of marketable securities or other property received by the Borrower after April 17, 2020 (other than net cash proceeds to the extent such net cash proceeds have been used to incur Indebtedness or issue Disqualified Stock or Preferred Stock pursuant to clause (12)(a) of Section 4.09(b) hereof) from the issue or sale of: </w:t>
      </w:r>
    </w:p>
    <w:p>
      <w:pPr>
        <w:pStyle w:val="TextBody"/>
        <w:bidi w:val="0"/>
        <w:spacing w:before="120" w:after="0"/>
        <w:jc w:val="left"/>
        <w:rPr>
          <w:rFonts w:ascii="Times New Roman" w:hAnsi="Times New Roman"/>
          <w:sz w:val="20"/>
        </w:rPr>
      </w:pPr>
      <w:r>
        <w:rPr>
          <w:rFonts w:ascii="Times New Roman" w:hAnsi="Times New Roman"/>
          <w:sz w:val="20"/>
        </w:rPr>
        <w:t xml:space="preserve">(i) (A) Equity Interests of the Borrower, including Treasury Capital Stock (as defined below), but excluding cash proceeds and the fair market value, as determined in good faith by the Borrower, including its board of directors if such fair market value is in excess of $100,000,000, of marketable securities or other property received from the sale of: </w:t>
      </w:r>
    </w:p>
    <w:p>
      <w:pPr>
        <w:pStyle w:val="TextBody"/>
        <w:bidi w:val="0"/>
        <w:spacing w:before="120" w:after="0"/>
        <w:jc w:val="left"/>
        <w:rPr>
          <w:rFonts w:ascii="Times New Roman" w:hAnsi="Times New Roman"/>
          <w:sz w:val="20"/>
        </w:rPr>
      </w:pPr>
      <w:r>
        <w:rPr>
          <w:rFonts w:ascii="Times New Roman" w:hAnsi="Times New Roman"/>
          <w:sz w:val="20"/>
        </w:rPr>
        <w:t xml:space="preserve">(x) Equity Interests to any future, present or former employees, directors, officers, managers, distributors or consultants (or their respective Controlled Investment Affiliates or Immediate Family Members) of the Borrower, any direct or indirect parent company of the Borrower or any of the Borrower’s Subsidiaries after April 17, 2020 to the extent such amounts have been applied to Restricted Payments made in accordance with clause (4) of Section 4.07(b) hereof; and </w:t>
      </w:r>
    </w:p>
    <w:p>
      <w:pPr>
        <w:pStyle w:val="TextBody"/>
        <w:bidi w:val="0"/>
        <w:spacing w:before="120" w:after="0"/>
        <w:jc w:val="left"/>
        <w:rPr>
          <w:rFonts w:ascii="Times New Roman" w:hAnsi="Times New Roman"/>
          <w:sz w:val="20"/>
        </w:rPr>
      </w:pPr>
      <w:r>
        <w:rPr>
          <w:rFonts w:ascii="Times New Roman" w:hAnsi="Times New Roman"/>
          <w:sz w:val="20"/>
        </w:rPr>
        <w:t xml:space="preserve">(y) Designated Preferred Stock; and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net cash proceeds or other property are actually contributed to the capital of the Borrower or any Restricted Subsidiary (without the issuance of additional Equity Interests of such Restricted Subsidiary), Equity Interests of any direct or indirect parent company of the Borrower (excluding Contributed Holdings Investments (as defined below) and contributions of the proceeds from the sale of Designated Preferred Stock of such company or contributions to the extent such amounts have been applied to Restricted Payments made in accordance with clause (4) of Section 4.07(b) 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debt securities of the Borrower or any Restricted Subsidiary that have been converted into or exchanged for such Equity Interests of the Borrower or a direct or indirect parent company of the Borrower; </w:t>
      </w:r>
    </w:p>
    <w:p>
      <w:pPr>
        <w:pStyle w:val="TextBody"/>
        <w:bidi w:val="0"/>
        <w:spacing w:before="12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this clause (C) shall not include the proceeds from </w:t>
      </w:r>
    </w:p>
    <w:p>
      <w:pPr>
        <w:pStyle w:val="TextBody"/>
        <w:bidi w:val="0"/>
        <w:spacing w:before="120" w:after="0"/>
        <w:jc w:val="left"/>
        <w:rPr>
          <w:rFonts w:ascii="Times New Roman" w:hAnsi="Times New Roman"/>
          <w:sz w:val="20"/>
        </w:rPr>
      </w:pPr>
      <w:r>
        <w:rPr>
          <w:rFonts w:ascii="Times New Roman" w:hAnsi="Times New Roman"/>
          <w:sz w:val="20"/>
        </w:rPr>
        <w:t xml:space="preserve">(w) Refunding Capital Stock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(x) Equity Interests or convertible debt securities of the Borrower sold to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(y) Disqualified Stock or debt securities that have been converted into Disqualified Stock; or </w:t>
      </w:r>
    </w:p>
    <w:p>
      <w:pPr>
        <w:pStyle w:val="TextBody"/>
        <w:bidi w:val="0"/>
        <w:spacing w:before="120" w:after="0"/>
        <w:jc w:val="left"/>
        <w:rPr>
          <w:rFonts w:ascii="Times New Roman" w:hAnsi="Times New Roman"/>
          <w:sz w:val="20"/>
        </w:rPr>
      </w:pPr>
      <w:r>
        <w:rPr>
          <w:rFonts w:ascii="Times New Roman" w:hAnsi="Times New Roman"/>
          <w:sz w:val="20"/>
        </w:rPr>
        <w:t xml:space="preserve">(z) Excluded Contributions and Contributed Holdings Investments; plus </w:t>
      </w:r>
    </w:p>
    <w:p>
      <w:pPr>
        <w:pStyle w:val="TextBody"/>
        <w:bidi w:val="0"/>
        <w:spacing w:before="120" w:after="0"/>
        <w:jc w:val="left"/>
        <w:rPr>
          <w:rFonts w:ascii="Times New Roman" w:hAnsi="Times New Roman"/>
          <w:sz w:val="20"/>
        </w:rPr>
      </w:pPr>
      <w:r>
        <w:rPr>
          <w:rFonts w:ascii="Times New Roman" w:hAnsi="Times New Roman"/>
          <w:sz w:val="20"/>
        </w:rPr>
        <w:t xml:space="preserve">(D) 100% of the aggregate amount of cash and the fair market value, as determined in good faith by the Borrower, including its board of directors if such fair market value is in excess of $100,000,000, of marketable securities or other property contributed to the capital of the Borrower after April 17, 2020 (other than net cash proceeds to the extent such net cash proceeds have been used to incur Indebtedness or issue Disqualified Stock or Preferred Stock pursuant to clause (12)(a) of Section 4.09(b) hereof) (other than by a Restricted Subsidiary and other than any Excluded Contributions and Contributed Holdings Investments); plus </w:t>
      </w:r>
    </w:p>
    <w:p>
      <w:pPr>
        <w:pStyle w:val="TextBody"/>
        <w:bidi w:val="0"/>
        <w:spacing w:before="120" w:after="0"/>
        <w:jc w:val="left"/>
        <w:rPr>
          <w:rFonts w:ascii="Times New Roman" w:hAnsi="Times New Roman"/>
          <w:sz w:val="20"/>
        </w:rPr>
      </w:pPr>
      <w:r>
        <w:rPr>
          <w:rFonts w:ascii="Times New Roman" w:hAnsi="Times New Roman"/>
          <w:sz w:val="20"/>
        </w:rPr>
        <w:t xml:space="preserve">(E) 100% of the aggregate amount received in cash and the fair market value, as determined in good faith by the Borrower, including its board of directors if such fair market value is in excess of $100,000,000, of marketable securities or other property received by the Borrower or a Restricted Subsidiary by means of: </w:t>
      </w:r>
    </w:p>
    <w:p>
      <w:pPr>
        <w:pStyle w:val="TextBody"/>
        <w:bidi w:val="0"/>
        <w:spacing w:before="120" w:after="0"/>
        <w:jc w:val="left"/>
        <w:rPr>
          <w:rFonts w:ascii="Times New Roman" w:hAnsi="Times New Roman"/>
          <w:sz w:val="20"/>
        </w:rPr>
      </w:pPr>
      <w:r>
        <w:rPr>
          <w:rFonts w:ascii="Times New Roman" w:hAnsi="Times New Roman"/>
          <w:sz w:val="20"/>
        </w:rPr>
        <w:t xml:space="preserve">(i) the sale or other disposition (other than to the Borrower or a Restricted Subsidiary) of Restricted Investments made by the Borrower or its Restricted Subsidiaries and repurchases and redemptions of such Restricted Investments from the Borrower or its Restricted Subsidiaries (other than by the Borrower or a Restricted Subsidiary) and repayments of loans or advances, which constitute Restricted Investments made by the Borrower or its Restricted Subsidiaries, in each case after April 17, 2020; or </w:t>
      </w:r>
    </w:p>
    <w:p>
      <w:pPr>
        <w:pStyle w:val="TextBody"/>
        <w:bidi w:val="0"/>
        <w:spacing w:before="120" w:after="0"/>
        <w:jc w:val="left"/>
        <w:rPr>
          <w:rFonts w:ascii="Times New Roman" w:hAnsi="Times New Roman"/>
          <w:sz w:val="20"/>
        </w:rPr>
      </w:pPr>
      <w:r>
        <w:rPr>
          <w:rFonts w:ascii="Times New Roman" w:hAnsi="Times New Roman"/>
          <w:sz w:val="20"/>
        </w:rPr>
        <w:t xml:space="preserve">(ii) the sale or other disposition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clause (7) or (11) of Section 4.07(b) hereof or to the extent such Investment constituted a Permitted Investment) or a dividend from an Unrestricted Subsidiary after April 17, 2020;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 the case of the redesignation of an Unrestricted Subsidiary as a Restricted Subsidiary after April 17, 2020, the fair market value of the Investment in such Unrestricted Subsidiary (which, if the fair market value of such Investment shall exceed $100,000,000, shall be determined in good faith by the board of directors of the Borrower whose resolution with respect thereto will be delivered to the Administrative Agent) at the time of the redesignation of such Unrestricted Subsidiary as a Restricted Subsidiary, other than to the extent the Investment in such Unrestricted Subsidiary was made by the Borrower or a Restricted Subsidiary pursuant to clause (7) or (11) of Section 4.07(b) hereof or to the extent such Investment constituted a Permitted Investment. </w:t>
      </w:r>
    </w:p>
    <w:p>
      <w:pPr>
        <w:pStyle w:val="TextBody"/>
        <w:bidi w:val="0"/>
        <w:spacing w:before="240" w:after="0"/>
        <w:jc w:val="left"/>
        <w:rPr>
          <w:rFonts w:ascii="Times New Roman" w:hAnsi="Times New Roman"/>
          <w:sz w:val="20"/>
        </w:rPr>
      </w:pPr>
      <w:r>
        <w:rPr>
          <w:rFonts w:ascii="Times New Roman" w:hAnsi="Times New Roman"/>
          <w:sz w:val="20"/>
        </w:rPr>
        <w:t xml:space="preserve">(b) The limitations of Section 4.07(a) hereof will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other distribution or the consummation of any irrevocable redemption within 60 days after the date of declaration of the dividend or other distribution or giving of the redemption notice, as the case may be, if at the date of declaration or notice, the dividend or other distribution or redemption payment would have complied with the provisions of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(2) (a) the redemption, repurchase, retirement or other acquisition of any (i) Equity Interests (“</w:t>
      </w:r>
      <w:r>
        <w:rPr>
          <w:rFonts w:ascii="Times New Roman" w:hAnsi="Times New Roman"/>
          <w:i/>
          <w:sz w:val="20"/>
        </w:rPr>
        <w:t>Treasury Capital Stock</w:t>
      </w:r>
      <w:r>
        <w:rPr>
          <w:rFonts w:ascii="Times New Roman" w:hAnsi="Times New Roman"/>
          <w:sz w:val="20"/>
        </w:rPr>
        <w:t>”) of the Borrower or any Restricted Subsidiary or Subordinated Indebtedness of the Borrower or any Guarantor or (ii) Equity Interests of any direct or indirect parent company of the Borrower, in the case of each of clause (i) and (ii), in exchange for, or out of the proceeds of the substantially concurrent sale (other than to the Borrower or a Restricted Subsidiary) of, Equity Interests of the Borrower or any direct or indirect parent company of the Borrower to the extent contributed to the capital of the Borrower or any Restricted Subsidiary (in each case, other than any Disqualified Stock) (“</w:t>
      </w:r>
      <w:r>
        <w:rPr>
          <w:rFonts w:ascii="Times New Roman" w:hAnsi="Times New Roman"/>
          <w:i/>
          <w:sz w:val="20"/>
        </w:rPr>
        <w:t>Refunding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declaration and payment of dividends on the Treasury Capital Stock out of the proceeds of the substantially concurrent sale (other than to the Borrower or a Restricted Subsidiary) of the Refunding Capital Stock and </w:t>
      </w:r>
    </w:p>
    <w:p>
      <w:pPr>
        <w:pStyle w:val="TextBody"/>
        <w:bidi w:val="0"/>
        <w:spacing w:before="120" w:after="0"/>
        <w:jc w:val="left"/>
        <w:rPr>
          <w:rFonts w:ascii="Times New Roman" w:hAnsi="Times New Roman"/>
          <w:sz w:val="20"/>
        </w:rPr>
      </w:pPr>
      <w:r>
        <w:rPr>
          <w:rFonts w:ascii="Times New Roman" w:hAnsi="Times New Roman"/>
          <w:sz w:val="20"/>
        </w:rPr>
        <w:t xml:space="preserve">(c) if immediately prior to the retirement of Treasury Capital Stock, the declaration and payment of dividends thereon was permitted under clause (6) of this paragraph, the declaration and payment of dividends on the Refunding Capital Stock (other than Refunding Capital Stock the proceeds of which were used to redeem, repurchase, retire or otherwise acquire any Equity Interests of any direct or indirect parent company of the Borrower) in an aggregate amount per year no greater than the aggregate amount of dividends per annum that were declarable and payable on such Treasury Capital Stock immediately prior to such retirement;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defeasance, redemption, repurchase, exchange or other acquisition or retirement of (i) Subordinated Indebtedness of the Borrower or a Subsidiary Guarantor made by exchange for, or out of the proceeds of the substantially concurrent sale of, new Subordinated Indebtedness of the Borrower or a Subsidiary Guarantor or (ii) Disqualified Stock of the Borrower or a Subsidiary Guarantor made by exchange for, or out of the proceeds of the substantially concurrent sale of, Disqualified Stock of the Borrower or a Subsidiary Guarantor, that, in each case, is incurred in compliance with Section 4.09 hereof so long as: </w:t>
      </w:r>
    </w:p>
    <w:p>
      <w:pPr>
        <w:pStyle w:val="TextBody"/>
        <w:bidi w:val="0"/>
        <w:spacing w:before="120" w:after="0"/>
        <w:jc w:val="left"/>
        <w:rPr>
          <w:rFonts w:ascii="Times New Roman" w:hAnsi="Times New Roman"/>
          <w:sz w:val="20"/>
        </w:rPr>
      </w:pPr>
      <w:r>
        <w:rPr>
          <w:rFonts w:ascii="Times New Roman" w:hAnsi="Times New Roman"/>
          <w:sz w:val="20"/>
        </w:rPr>
        <w:t xml:space="preserve">(a) the principal amount (or accreted value, if applicable) of such new Subordinated Indebtedness or the liquidation preference of such new Disqualified Stock does not exceed the principal amount of (or accreted value, if applicable), plus any accrued and unpaid interest on, the Subordinated Indebtedness or the liquidation preference of, plus any accrued and unpaid dividends on, the Disqualified Stock being so defeased, redeemed, repurchased, exchanged, acquired or retired for value, plus the amount of any premium required to be paid under the terms of the instrument governing the Subordinated Indebtedness or Disqualified Stock being so defeased, redeemed, repurchased, exchanged, acquired or retired, defeasance costs and any fees and expenses incurred in connection with the issuance of such new Subordinated Indebtedness or Disqualified Stock; </w:t>
      </w:r>
    </w:p>
    <w:p>
      <w:pPr>
        <w:pStyle w:val="TextBody"/>
        <w:bidi w:val="0"/>
        <w:spacing w:before="120" w:after="0"/>
        <w:jc w:val="left"/>
        <w:rPr>
          <w:rFonts w:ascii="Times New Roman" w:hAnsi="Times New Roman"/>
          <w:sz w:val="20"/>
        </w:rPr>
      </w:pPr>
      <w:r>
        <w:rPr>
          <w:rFonts w:ascii="Times New Roman" w:hAnsi="Times New Roman"/>
          <w:sz w:val="20"/>
        </w:rPr>
        <w:t xml:space="preserve">(b) such new Subordinated Indebtedness is subordinated to the Term Loan or the applicable Guarantee at least to the same extent as such Subordinated Indebtedness so defeased, redeemed, repurchased, exchanged, acquired or retired; </w:t>
      </w:r>
    </w:p>
    <w:p>
      <w:pPr>
        <w:pStyle w:val="TextBody"/>
        <w:bidi w:val="0"/>
        <w:spacing w:before="120" w:after="0"/>
        <w:jc w:val="left"/>
        <w:rPr>
          <w:rFonts w:ascii="Times New Roman" w:hAnsi="Times New Roman"/>
          <w:sz w:val="20"/>
        </w:rPr>
      </w:pPr>
      <w:r>
        <w:rPr>
          <w:rFonts w:ascii="Times New Roman" w:hAnsi="Times New Roman"/>
          <w:sz w:val="20"/>
        </w:rPr>
        <w:t xml:space="preserve">(c) such new Subordinated Indebtedness or Disqualified Stock has a final scheduled maturity date equal to or later than the final scheduled maturity date of the Subordinated Indebtedness or Disqualified Stock being so defeased, redeemed, repurchased, exchanged, acquired or retired; </w:t>
      </w:r>
    </w:p>
    <w:p>
      <w:pPr>
        <w:pStyle w:val="TextBody"/>
        <w:bidi w:val="0"/>
        <w:spacing w:before="120" w:after="0"/>
        <w:jc w:val="left"/>
        <w:rPr>
          <w:rFonts w:ascii="Times New Roman" w:hAnsi="Times New Roman"/>
          <w:sz w:val="20"/>
        </w:rPr>
      </w:pPr>
      <w:r>
        <w:rPr>
          <w:rFonts w:ascii="Times New Roman" w:hAnsi="Times New Roman"/>
          <w:sz w:val="20"/>
        </w:rPr>
        <w:t xml:space="preserve">(d) such new Subordinated Indebtedness or Disqualified Stock has a Weighted Average Life to Maturity equal to or greater than the remaining Weighted Average Life to Maturity of the Subordinated Indebtedness or Disqualified Stock being so defeased, redeemed, repurchased, exchanged, acquired or retired; and </w:t>
      </w:r>
    </w:p>
    <w:p>
      <w:pPr>
        <w:pStyle w:val="TextBody"/>
        <w:bidi w:val="0"/>
        <w:spacing w:before="120" w:after="0"/>
        <w:jc w:val="left"/>
        <w:rPr>
          <w:rFonts w:ascii="Times New Roman" w:hAnsi="Times New Roman"/>
          <w:sz w:val="20"/>
        </w:rPr>
      </w:pPr>
      <w:r>
        <w:rPr>
          <w:rFonts w:ascii="Times New Roman" w:hAnsi="Times New Roman"/>
          <w:sz w:val="20"/>
        </w:rPr>
        <w:t xml:space="preserve">(e) (i) if the Subordinated Indebtedness being so defeased, redeemed, repurchased, exchanged, acquired or retired is not secured by any Liens, such new Subordinated Indebtedness is not secured by any Liens, and (ii) if the Subordinated Indebtedness being so defeased, redeemed, repurchased, exchanged, acquired or retired is secured by any Liens, the Liens securing such new Subordinated Indebtedness have the same priority as, and are limited to the same property and assets (including additional future assets and proceeds) subject to, the Liens securing such Subordinated Indebtedness being so defeased, redeemed, repurchased, exchanged, acquired or retired; </w:t>
      </w:r>
    </w:p>
    <w:p>
      <w:pPr>
        <w:pStyle w:val="TextBody"/>
        <w:bidi w:val="0"/>
        <w:spacing w:before="120" w:after="0"/>
        <w:jc w:val="left"/>
        <w:rPr>
          <w:rFonts w:ascii="Times New Roman" w:hAnsi="Times New Roman"/>
          <w:sz w:val="20"/>
        </w:rPr>
      </w:pPr>
      <w:r>
        <w:rPr>
          <w:rFonts w:ascii="Times New Roman" w:hAnsi="Times New Roman"/>
          <w:sz w:val="20"/>
        </w:rPr>
        <w:t xml:space="preserve">(4) the Borrower may pay (or make Restricted Payments to allow any direct or indirect parent company thereof to pay) for the repurchase, retirement or other acquisition or retirement for value of Equity Interests of the Borrower (or of any such direct or indirect parent company of the Borrower) or its Restricted Subsidiaries held by any future, present or former employee, director, consultant or distributor (or any spouses, former spouses, successors, executors, administrators, heirs, legatees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distributees of any of the foregoing) of the Borrower (or any direct or indirect parent company of the Borrower) or any of its Subsidiaries so long as such purchase is pursuant to and in accordance with the terms of any employee or director equity plan, employee or director stock option plan or any other employee or director benefit plan or any agreement (including any stock subscription or shareholder agreement and including, for the avoidance of doubt, any principal and interest payable on any notes issued by the Borrower or any direct or indirect parent company of the Borrower in connection with such repurchase, retirement or other acquisition) with any employee, director, consultant or distributor of the Borrower (or any direct or indirect parent company of the Borrower) or any of its Subsidiaries; provided that cancellation of Indebtedness owing to the Borrower from any future, present or former employees, directors, officers, managers or consultants of the Borrower (or their respective Controlled Investment Affiliates or Immediate Family Members), any direct or indirect parent company of the Borrower or any of the Borrower’s Restricted Subsidiaries in connection with a repurchase of Equity Interests of the Borrower or any of the Borrower’s direct or indirect parent companies will not be deemed to constitute a Restricted Payment for purposes of this covenant or any other provision of this Agreement; </w:t>
      </w:r>
    </w:p>
    <w:p>
      <w:pPr>
        <w:pStyle w:val="TextBody"/>
        <w:bidi w:val="0"/>
        <w:spacing w:before="120" w:after="0"/>
        <w:jc w:val="left"/>
        <w:rPr>
          <w:rFonts w:ascii="Times New Roman" w:hAnsi="Times New Roman"/>
          <w:sz w:val="20"/>
        </w:rPr>
      </w:pPr>
      <w:r>
        <w:rPr>
          <w:rFonts w:ascii="Times New Roman" w:hAnsi="Times New Roman"/>
          <w:sz w:val="20"/>
        </w:rPr>
        <w:t>(5) the declaration and payment of dividends to holders of any class or series of Disqualified Stock of the Borrower or any of its Restricted Subsidiaries or any class or series of Preferred Stock of any Restricted Subsidiary issued in accordance with Section 4.09 hereof to the extent such dividends are included in the definition of “</w:t>
      </w:r>
      <w:r>
        <w:rPr>
          <w:rFonts w:ascii="Times New Roman" w:hAnsi="Times New Roman"/>
          <w:i/>
          <w:sz w:val="20"/>
        </w:rPr>
        <w:t>Fixed Charges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(a) the declaration and payment of dividends to holders of any class or series of Designated Preferred Stock (other than Disqualified Stock) issued by the Borrower or any of its Restricted Subsidiaries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the declaration and payment of dividends to any direct or indirect parent company of the Borrower, the proceeds of which will be used to fund the payment of dividends to holders of any class or series of Designated Preferred Stock (other than Disqualified Stock) of such parent company issued after the Closing Date; provided that the amount of dividends paid pursuant to this clause (b) shall not exceed the aggregate amount of cash actually contributed to the capital of the Borrower from the sale of such Designated Preferred Stock; or </w:t>
      </w:r>
    </w:p>
    <w:p>
      <w:pPr>
        <w:pStyle w:val="TextBody"/>
        <w:bidi w:val="0"/>
        <w:spacing w:before="120" w:after="0"/>
        <w:jc w:val="left"/>
        <w:rPr>
          <w:rFonts w:ascii="Times New Roman" w:hAnsi="Times New Roman"/>
          <w:sz w:val="20"/>
        </w:rPr>
      </w:pPr>
      <w:r>
        <w:rPr>
          <w:rFonts w:ascii="Times New Roman" w:hAnsi="Times New Roman"/>
          <w:sz w:val="20"/>
        </w:rPr>
        <w:t xml:space="preserve">(c) the declaration and payment of dividends on Refunding Capital Stock that is Preferred Stock in excess of the dividends declarable and payable thereon pursuant to clause (2) of this paragraph;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in the case of each of (a), (b) and (c) of this clause (6), for the most recently ended four full fiscal quarters for which internal financial statements are available immediately preceding the date of issuance of such Designated Preferred Stock or the declaration of such dividends on Refunding Capital Stock that is Preferred Stock, after giving effect to such issuance or declaration on a pro forma basis, the Borrower could incur at least $1.00 of additional Indebtedness pursuant to the Fixed Charge Coverage Ratio Test; </w:t>
      </w:r>
    </w:p>
    <w:p>
      <w:pPr>
        <w:pStyle w:val="TextBody"/>
        <w:bidi w:val="0"/>
        <w:spacing w:before="120" w:after="0"/>
        <w:jc w:val="left"/>
        <w:rPr>
          <w:rFonts w:ascii="Times New Roman" w:hAnsi="Times New Roman"/>
          <w:sz w:val="20"/>
        </w:rPr>
      </w:pPr>
      <w:r>
        <w:rPr>
          <w:rFonts w:ascii="Times New Roman" w:hAnsi="Times New Roman"/>
          <w:sz w:val="20"/>
        </w:rPr>
        <w:t xml:space="preserve">(7) Investments in any Unrestricted Subsidiary or joint venture having an aggregate fair market value, taken together with all other Investments made pursuant to this clause (6) that are at the time outstanding, without giving effect to the sale of an Unrestricted Subsidiary to the extent the proceeds of such sale do not consist of cash or marketable securities, not to exceed the greater of (a) $75,000,000 and (b) 1.0% of Total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payments made or expected to be made by the Borrower or any Restricted Subsidiary in respect of withholding or similar taxes payable upon exercise of Equity Interests by any future, present or former employee, director, officer, manager or consultant (or their respective Controlled Investment Affiliates or Immediate Family Members) and any repurchases of Equity Interests deemed to occur upon exercise of stock options or warrants if such Equity Interests represent a portion of the exercise price of such options or warrants or required withholding or similar taxes; </w:t>
      </w:r>
    </w:p>
    <w:p>
      <w:pPr>
        <w:pStyle w:val="TextBody"/>
        <w:bidi w:val="0"/>
        <w:spacing w:before="120" w:after="0"/>
        <w:jc w:val="left"/>
        <w:rPr>
          <w:rFonts w:ascii="Times New Roman" w:hAnsi="Times New Roman"/>
          <w:sz w:val="20"/>
        </w:rPr>
      </w:pPr>
      <w:r>
        <w:rPr>
          <w:rFonts w:ascii="Times New Roman" w:hAnsi="Times New Roman"/>
          <w:sz w:val="20"/>
        </w:rPr>
        <w:t xml:space="preserve">(9) the declaration and payment of dividends on the Borrower’s common stock (or the payment of dividends to any direct or indirect parent company of the Borrower to fund a payment of dividends on such company’s common stock), in an amount not to exceed in any Fiscal Year the greater of (a) 6.0% of the net cash proceeds received by or contributed to the Borrower in or from any public offering of the Borrower’s common stock or the common stock of any direct or indirect parent company of the Borrower occurring after May 9, 2012 other than public offerings with respect to the Borrower’s common stock registered on Form S-4 or Form S-8 and other than any public sale constituting an Excluded Contribution and (b) following an initial public offering of the Borrower’s common stock or of any such direct or indirect parent company of the Borrower (whether occurring prior to or after the Closing Date), an amount equal to 6.0% of the Market Capitalization; provided that in the case of this clause (b), after giving pro forma effect to such dividends, the Consolidated Leverage Ratio shall be equal to or less than 4.0 to 1.0; </w:t>
      </w:r>
    </w:p>
    <w:p>
      <w:pPr>
        <w:pStyle w:val="TextBody"/>
        <w:bidi w:val="0"/>
        <w:spacing w:before="120" w:after="0"/>
        <w:jc w:val="left"/>
        <w:rPr>
          <w:rFonts w:ascii="Times New Roman" w:hAnsi="Times New Roman"/>
          <w:sz w:val="20"/>
        </w:rPr>
      </w:pPr>
      <w:r>
        <w:rPr>
          <w:rFonts w:ascii="Times New Roman" w:hAnsi="Times New Roman"/>
          <w:sz w:val="20"/>
        </w:rPr>
        <w:t xml:space="preserve">(10) Restricted Payments that are made with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(11) other Restricted Payments in an aggregate amount taken together with all other Restricted Payments made pursuant to this clause (11) not to exceed the greater of (a) $175,000,000 and (b) so long as at the time of incurrence and after giving pro forma effect thereto, the Consolidated Leverage Ratio would be no greater than 6.0 to 1.0, 3.0% of Total Assets; </w:t>
      </w:r>
    </w:p>
    <w:p>
      <w:pPr>
        <w:pStyle w:val="TextBody"/>
        <w:bidi w:val="0"/>
        <w:spacing w:before="120" w:after="0"/>
        <w:jc w:val="left"/>
        <w:rPr>
          <w:rFonts w:ascii="Times New Roman" w:hAnsi="Times New Roman"/>
          <w:sz w:val="20"/>
        </w:rPr>
      </w:pPr>
      <w:r>
        <w:rPr>
          <w:rFonts w:ascii="Times New Roman" w:hAnsi="Times New Roman"/>
          <w:sz w:val="20"/>
        </w:rPr>
        <w:t xml:space="preserve">(12) distributions or payments of Securitization Fees; </w:t>
      </w:r>
    </w:p>
    <w:p>
      <w:pPr>
        <w:pStyle w:val="TextBody"/>
        <w:bidi w:val="0"/>
        <w:spacing w:before="120" w:after="0"/>
        <w:jc w:val="left"/>
        <w:rPr>
          <w:rFonts w:ascii="Times New Roman" w:hAnsi="Times New Roman"/>
          <w:sz w:val="20"/>
        </w:rPr>
      </w:pPr>
      <w:r>
        <w:rPr>
          <w:rFonts w:ascii="Times New Roman" w:hAnsi="Times New Roman"/>
          <w:sz w:val="20"/>
        </w:rPr>
        <w:t xml:space="preserve">(13) the repurchase, redemption or other acquisition or retirement for value of any Subordinated Indebtedness pursuant to provisions similar to those described under Section 4.10 and Section 4.15 hereof; </w:t>
      </w:r>
      <w:r>
        <w:rPr>
          <w:rFonts w:ascii="Times New Roman" w:hAnsi="Times New Roman"/>
          <w:i/>
          <w:sz w:val="20"/>
        </w:rPr>
        <w:t xml:space="preserve">provided </w:t>
      </w:r>
      <w:r>
        <w:rPr>
          <w:rFonts w:ascii="Times New Roman" w:hAnsi="Times New Roman"/>
          <w:sz w:val="20"/>
        </w:rPr>
        <w:t xml:space="preserve">that a Change of Control Offer or Asset Sale Offer, as applicable, have been made and the Term Loan (or a portion thereof) has been repaid pursuant to such Change of Control Offer or Asset Sale Offer; </w:t>
      </w:r>
    </w:p>
    <w:p>
      <w:pPr>
        <w:pStyle w:val="TextBody"/>
        <w:bidi w:val="0"/>
        <w:spacing w:before="120" w:after="0"/>
        <w:jc w:val="left"/>
        <w:rPr>
          <w:rFonts w:ascii="Times New Roman" w:hAnsi="Times New Roman"/>
          <w:sz w:val="20"/>
        </w:rPr>
      </w:pPr>
      <w:r>
        <w:rPr>
          <w:rFonts w:ascii="Times New Roman" w:hAnsi="Times New Roman"/>
          <w:sz w:val="20"/>
        </w:rPr>
        <w:t xml:space="preserve">(14) the declaration and payment of dividends or the payment of other distributions by the Borrower or a Restricted Subsidiary to, or the making of loans or advances to, any of their respective direct or indirect parent companies in amounts required for any direct or indirect parent companies to pay, in each case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franchise and excise taxes and other fees, taxes and expenses required to maintain their corporate existence;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tax liability to each foreign, federal, state or local jurisdiction in respect of consolidated, combined, unitary or affiliated returns for such jurisdiction of any direct or indirect parent company of the Borrower attributable to the Borrower or its Subsidiaries determined as if the Borrower and its Subsidiaries filed separately; </w:t>
      </w:r>
    </w:p>
    <w:p>
      <w:pPr>
        <w:pStyle w:val="TextBody"/>
        <w:bidi w:val="0"/>
        <w:spacing w:before="120" w:after="0"/>
        <w:jc w:val="left"/>
        <w:rPr>
          <w:rFonts w:ascii="Times New Roman" w:hAnsi="Times New Roman"/>
          <w:sz w:val="20"/>
        </w:rPr>
      </w:pPr>
      <w:r>
        <w:rPr>
          <w:rFonts w:ascii="Times New Roman" w:hAnsi="Times New Roman"/>
          <w:sz w:val="20"/>
        </w:rPr>
        <w:t xml:space="preserve">(c) customary salary, bonus and other benefits payable to employees, directors, officers and managers of any direct or indirect parent company of the Borrower to the extent such salaries, bonuses and other benefits are attributable to the ownership or operation of the Borrower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operating costs and expenses incurred in the ordinary course of business and other corporate overhead costs and expenses (including administrative, legal, accounting and similar expenses provided by third parties), which are reasonable and customary and incurred in the ordinary course of business, attributable to the ownership or operations of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fees and expenses other than to Affiliates of the Borrower related to any equity or debt offering of such parent company (whether or not successful);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p>
    <w:p>
      <w:pPr>
        <w:pStyle w:val="TextBody"/>
        <w:bidi w:val="0"/>
        <w:spacing w:before="120" w:after="0"/>
        <w:jc w:val="left"/>
        <w:rPr>
          <w:rFonts w:ascii="Times New Roman" w:hAnsi="Times New Roman"/>
          <w:sz w:val="20"/>
        </w:rPr>
      </w:pPr>
      <w:r>
        <w:rPr>
          <w:rFonts w:ascii="Times New Roman" w:hAnsi="Times New Roman"/>
          <w:sz w:val="20"/>
        </w:rPr>
        <w:t xml:space="preserve">(g) to finance Investments otherwise permitted to be made pursuant to this covenant if made by the Borrower; </w:t>
      </w:r>
      <w:r>
        <w:rPr>
          <w:rFonts w:ascii="Times New Roman" w:hAnsi="Times New Roman"/>
          <w:i/>
          <w:sz w:val="20"/>
        </w:rPr>
        <w:t xml:space="preserve">provided </w:t>
      </w:r>
      <w:r>
        <w:rPr>
          <w:rFonts w:ascii="Times New Roman" w:hAnsi="Times New Roman"/>
          <w:sz w:val="20"/>
        </w:rPr>
        <w:t xml:space="preserve">that (A) such Restricted Payment shall be made substantially concurrently with the closing of such Investment and (B) such direct or indirect parent company shall, immediately following the closing thereof, cause (1) all property acquired (whether assets or Equity Interests) to be contributed to the capital of the Borrower or one of its Restricted Subsidiaries or (2) the merger or amalgamation of the Person formed or acquired into the Borrower or one of its Restricted Subsidiaries (to the extent not prohibited by Section 5.01 hereof) in order to consummate such Investment (any such property or assets so contributed, merged or amalgamated shall constitute “Contributed Holdings Investments” and shall be disregarded for purposes of determining any amount calculated under this Agreement with respect to contributions to the capital of the Borrower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(h) amounts that would be permitted to be paid by the Borrower under clauses (4), (7), (12) and (13) (but, in the case of clause (13), only in respect of indemnities and expenses) of Section 4.11 hereof; </w:t>
      </w:r>
      <w:r>
        <w:rPr>
          <w:rFonts w:ascii="Times New Roman" w:hAnsi="Times New Roman"/>
          <w:i/>
          <w:sz w:val="20"/>
        </w:rPr>
        <w:t xml:space="preserve">provided </w:t>
      </w:r>
      <w:r>
        <w:rPr>
          <w:rFonts w:ascii="Times New Roman" w:hAnsi="Times New Roman"/>
          <w:sz w:val="20"/>
        </w:rPr>
        <w:t xml:space="preserve">that the amount of any dividend or distribution under this clause (14)(h) to permit such payment shall reduce Consolidated Net Income of the Borrower to the extent, if any, that such payment would have reduced Consolidated Net Income of the Borrower if such payment had been made directly by the Borrower and increase (or, without duplication of any reduction of Consolidated Net Income, decrease) EBITDA to the extent, if any, that Consolidated Net Income is reduced under this clause (14)(h) and such payment would have been added back to (or, to the extent excluded from Consolidated Net Income, would have been deducted from) EBITDA if such payment had been made directly by the Borrower, in each case, in the period such payment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cash payments (or the declaration and payment of dividends or the payment of other distributions to any direct or indirect parent company of the Borrower to permit cash payments) in lieu of issuing fractional shares in connection with the exercise of warrants, options or other securities convertible into or exchangeable for Equity Interests of the Borrower or any direct or indirect parent company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(16) the distribution, by dividend or otherwise, of shares of Capital Stock of, or Indebtedness owed to the Borrower or a Restricted Subsidiary by, Unrestricted Subsidiaries (other than Unrestricted Subsidiaries, the primary assets of which are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(17) payments or distributions to dissenting stockholders pursuant to applicable law, pursuant to or in connection with a consolidation, merger or transfer of all or substantially all of the assets of the Borrower and its Restricted Subsidiaries, taken as a whole, that complies Section 5.01 hereof; </w:t>
      </w:r>
      <w:r>
        <w:rPr>
          <w:rFonts w:ascii="Times New Roman" w:hAnsi="Times New Roman"/>
          <w:i/>
          <w:sz w:val="20"/>
        </w:rPr>
        <w:t xml:space="preserve">provided </w:t>
      </w:r>
      <w:r>
        <w:rPr>
          <w:rFonts w:ascii="Times New Roman" w:hAnsi="Times New Roman"/>
          <w:sz w:val="20"/>
        </w:rPr>
        <w:t xml:space="preserve">that as a result of such consolidation, merger or transfer of assets, the Borrower shall have made a Change of Control Offer and that Term Loan (or a portion thereof) has been repaid in connection with such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(18) the Borrower or any of the Restricted Subsidiaries may (a) pay cash in lieu of fractional Equity Interests in connection with any dividend, split or combination thereof or any Permitted Acquisition and (b) honor any conversion request by a holder of convertible Indebtedness and make cash payments in lieu of fractional shares in connection with any such conversion and may make payments on convertible Indebtedness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(19) [Reserved]; and </w:t>
      </w:r>
    </w:p>
    <w:p>
      <w:pPr>
        <w:pStyle w:val="TextBody"/>
        <w:bidi w:val="0"/>
        <w:spacing w:before="120" w:after="0"/>
        <w:jc w:val="left"/>
        <w:rPr>
          <w:rFonts w:ascii="Times New Roman" w:hAnsi="Times New Roman"/>
          <w:sz w:val="20"/>
        </w:rPr>
      </w:pPr>
      <w:r>
        <w:rPr>
          <w:rFonts w:ascii="Times New Roman" w:hAnsi="Times New Roman"/>
          <w:sz w:val="20"/>
        </w:rPr>
        <w:t xml:space="preserve">(20) beginning on the fifth anniversary of the date of issuance of any Qualified Holding Company Debt, the Borrower may pay dividends to Holdings, the proceeds of which are promptly applied by Holdings to fund cash interest payments on Qualified Holding Company Debt, so long as after giving effect to the payment of such dividends (i) the Senior Secured Leverage Ratio would not be greater than 4.5 to 1.0 and (ii) the Fixed Charge Coverage Ratio would not be less than 1.75 to 1.0;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at the time of, and after giving effect to, any Restricted Payment permitted under clause (16) of this Section 4.07(b), no Default shall have occurred and be continuing or would occur as a consequence thereof.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will not permit any Unrestricted Subsidiary to become a Restricted Subsidiary except pursuant to the penultimate sentence of the definition of “Unrestricted Subsidiary.” For purposes of designating any Restricted Subsidiary as an Unrestricted Subsidiary, all outstanding Investments by the Borrower and its Restricted Subsidiaries (except to the extent repaid) in the Subsidiary so designated will be deemed to be Restricted Payments and/or Permitted Investments in an amount determined as set forth in the penultimate sentence of the definition of “Investments.” Such designation will be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if a Restricted Payment and/or Permitted Investment in such amount would be permitted at such time, whether pursuant to Section 4.07(a) hereof or under clause (7), (10) or (11) of Section 4.07(b) hereof, or pursuant to the definition of “Permitted Investments,” and if such Subsidiary otherwise meets the definition of an Unrestricted Subsidiary. Unrestricted Subsidiaries will not be subject to any of the restrictive covenants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determining compliance with the provisions set forth above, in the event that a Restricted Payment or Permitted Investment meets the criteria of more than one of the types of Restricted Payments or Permitted Investments described in the above clauses or the definitions thereof, Holdings, in its sole discretion, may order and classify, and from time to time may reorder and reclassify (based on circumstances existing at the time of such reclassification), such Restricted Payment or Permitted Investment if it would have been permitted at the time such Restricted Payment or Permitted Investment was made and at the time of any such reclassification.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i/>
          <w:sz w:val="20"/>
        </w:rPr>
        <w:t>Dividend and Other Payment Restrictions Affecting 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The Borrower will not, and will not permit any of its Restricted Subsidiaries that is not a Guarantor to, directly or indirectly, create or otherwise cause or suffer to exist or become effective any consensual encumbrance or consensual restriction on the ability of any such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(4) (a) pay dividends or make any other distributions to the Borrower or any of its Restricted Subsidiaries on its Capital Stock or with respect to any other interest or participation in, or measured by, its profits, or </w:t>
      </w:r>
    </w:p>
    <w:p>
      <w:pPr>
        <w:pStyle w:val="TextBody"/>
        <w:bidi w:val="0"/>
        <w:spacing w:before="120" w:after="0"/>
        <w:jc w:val="left"/>
        <w:rPr>
          <w:rFonts w:ascii="Times New Roman" w:hAnsi="Times New Roman"/>
          <w:sz w:val="20"/>
        </w:rPr>
      </w:pPr>
      <w:r>
        <w:rPr>
          <w:rFonts w:ascii="Times New Roman" w:hAnsi="Times New Roman"/>
          <w:sz w:val="20"/>
        </w:rPr>
        <w:t xml:space="preserve">(b) pay any Indebtedness owed to the Borrower or any of its Restricted Subsidiaries that is a Guarantor; </w:t>
      </w:r>
    </w:p>
    <w:p>
      <w:pPr>
        <w:pStyle w:val="TextBody"/>
        <w:bidi w:val="0"/>
        <w:spacing w:before="120" w:after="0"/>
        <w:jc w:val="left"/>
        <w:rPr>
          <w:rFonts w:ascii="Times New Roman" w:hAnsi="Times New Roman"/>
          <w:sz w:val="20"/>
        </w:rPr>
      </w:pPr>
      <w:r>
        <w:rPr>
          <w:rFonts w:ascii="Times New Roman" w:hAnsi="Times New Roman"/>
          <w:sz w:val="20"/>
        </w:rPr>
        <w:t xml:space="preserve">(5) make loans or advances to the Borrower or any of its Restricted Subsidiaries that is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(6) sell, lease or transfer any of its properties or assets to the Borrower or any of its Restricted Subsidiaries that is not a Guarantor; </w:t>
      </w:r>
    </w:p>
    <w:p>
      <w:pPr>
        <w:pStyle w:val="TextBody"/>
        <w:bidi w:val="0"/>
        <w:spacing w:before="240" w:after="0"/>
        <w:jc w:val="left"/>
        <w:rPr>
          <w:rFonts w:ascii="Times New Roman" w:hAnsi="Times New Roman"/>
          <w:sz w:val="20"/>
        </w:rPr>
      </w:pPr>
      <w:r>
        <w:rPr>
          <w:rFonts w:ascii="Times New Roman" w:hAnsi="Times New Roman"/>
          <w:sz w:val="20"/>
        </w:rPr>
        <w:t xml:space="preserve">except (in each case) for such encumbrances or restrictions existing under or by reason of: </w:t>
      </w:r>
    </w:p>
    <w:p>
      <w:pPr>
        <w:pStyle w:val="TextBody"/>
        <w:bidi w:val="0"/>
        <w:spacing w:before="120" w:after="0"/>
        <w:jc w:val="left"/>
        <w:rPr>
          <w:rFonts w:ascii="Times New Roman" w:hAnsi="Times New Roman"/>
          <w:sz w:val="20"/>
        </w:rPr>
      </w:pPr>
      <w:r>
        <w:rPr>
          <w:rFonts w:ascii="Times New Roman" w:hAnsi="Times New Roman"/>
          <w:sz w:val="20"/>
        </w:rPr>
        <w:t xml:space="preserve">(a) contractual encumbrances or restrictions in effect on the Closing Date, including pursuant to the Senior Credit Facilities, the Secured Notes and the related documentation and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(b) this Agreement, the Security Documents, the Loan Documents, the Term Loan and the guarantees thereof; </w:t>
      </w:r>
    </w:p>
    <w:p>
      <w:pPr>
        <w:pStyle w:val="TextBody"/>
        <w:bidi w:val="0"/>
        <w:spacing w:before="120" w:after="0"/>
        <w:jc w:val="left"/>
        <w:rPr>
          <w:rFonts w:ascii="Times New Roman" w:hAnsi="Times New Roman"/>
          <w:sz w:val="20"/>
        </w:rPr>
      </w:pPr>
      <w:r>
        <w:rPr>
          <w:rFonts w:ascii="Times New Roman" w:hAnsi="Times New Roman"/>
          <w:sz w:val="20"/>
        </w:rPr>
        <w:t xml:space="preserve">(c) purchase money obligations for property acquired in the ordinary course of business and Capitalized Lease Obligations that impose restrictions of the nature discussed in clause (3) above on the property so acquired; </w:t>
      </w:r>
    </w:p>
    <w:p>
      <w:pPr>
        <w:pStyle w:val="TextBody"/>
        <w:bidi w:val="0"/>
        <w:spacing w:before="120" w:after="0"/>
        <w:jc w:val="left"/>
        <w:rPr>
          <w:rFonts w:ascii="Times New Roman" w:hAnsi="Times New Roman"/>
          <w:sz w:val="20"/>
        </w:rPr>
      </w:pPr>
      <w:r>
        <w:rPr>
          <w:rFonts w:ascii="Times New Roman" w:hAnsi="Times New Roman"/>
          <w:sz w:val="20"/>
        </w:rPr>
        <w:t xml:space="preserve">(d) applicable law or any applicable rule, regulation or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agreement or other instrument of a Person acquired by or merged or consolidated with or into the Borrower or any of its Restricted Subsidiaries in existence at the time of such acquisition or at the time it merges with or into the Borrower or any of its Restricted Subsidiaries or assumed in connection with the acquisition of assets from such Person (but, in any such case, not created in contemplation thereof), which encumbrance or restriction is not applicable to any Person, or the properties or assets of any Person, other than the Person so acquired and its Subsidiaries, or the property or assets of the Person so acquired and its Subsidiaries or the property or assets so acquired; </w:t>
      </w:r>
    </w:p>
    <w:p>
      <w:pPr>
        <w:pStyle w:val="TextBody"/>
        <w:bidi w:val="0"/>
        <w:spacing w:before="120" w:after="0"/>
        <w:jc w:val="left"/>
        <w:rPr>
          <w:rFonts w:ascii="Times New Roman" w:hAnsi="Times New Roman"/>
          <w:sz w:val="20"/>
        </w:rPr>
      </w:pPr>
      <w:r>
        <w:rPr>
          <w:rFonts w:ascii="Times New Roman" w:hAnsi="Times New Roman"/>
          <w:sz w:val="20"/>
        </w:rPr>
        <w:t xml:space="preserve">(f) contracts for the sale of assets, including customary restrictions with respect to a Subsidiary of the Borrower pursuant to an agreement that has been entered into for the sale or disposition of all or substantially all of the Capital Stock or assets of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(g) Secured Indebtedness otherwise permitted to be incurred pursuant to Section 4.09 and Section 4.12 hereof that limit the right of the debtor to dispose of the assets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(h) restrictions on cash or other deposits or net worth imposed by customers under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other Indebtedness, Disqualified Stock or Preferred Stock of Foreign Subsidiaries permitted (or not prohibited) to be incurred subsequent to the Closing Date pursuant to the provisions of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(j) customary provisions in joint venture agreements and other similar agreements relating solely to such joint venture; </w:t>
      </w:r>
    </w:p>
    <w:p>
      <w:pPr>
        <w:pStyle w:val="TextBody"/>
        <w:bidi w:val="0"/>
        <w:spacing w:before="120" w:after="0"/>
        <w:jc w:val="left"/>
        <w:rPr>
          <w:rFonts w:ascii="Times New Roman" w:hAnsi="Times New Roman"/>
          <w:sz w:val="20"/>
        </w:rPr>
      </w:pPr>
      <w:r>
        <w:rPr>
          <w:rFonts w:ascii="Times New Roman" w:hAnsi="Times New Roman"/>
          <w:sz w:val="20"/>
        </w:rPr>
        <w:t xml:space="preserve">(k) customary provisions contained in leases, sub-leases, licenses, sub-licenses or similar agreements, including with respect to intellectual property and other agreements, in each case,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restrictions created in connection with any Qualified Securitization Financing that, in the good faith determination of the Borrower are necessary or advisable to effect such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(m) restrictions or conditions contained in any trading, netting, operating, construction, service, supply, purchase, sale or other agreement to which the Borrower or any of its Restricted Subsidiaries is a party entered into in the ordinary course of business; </w:t>
      </w:r>
      <w:r>
        <w:rPr>
          <w:rFonts w:ascii="Times New Roman" w:hAnsi="Times New Roman"/>
          <w:i/>
          <w:sz w:val="20"/>
        </w:rPr>
        <w:t xml:space="preserve">provided </w:t>
      </w:r>
      <w:r>
        <w:rPr>
          <w:rFonts w:ascii="Times New Roman" w:hAnsi="Times New Roman"/>
          <w:sz w:val="20"/>
        </w:rPr>
        <w:t xml:space="preserve">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(n) other Indebtedness, Disqualified Stock or Preferred Stock permitted to be incurred subsequent to the Closing Date pursuant to the provisions of Section 4.09 hereof; </w:t>
      </w:r>
      <w:r>
        <w:rPr>
          <w:rFonts w:ascii="Times New Roman" w:hAnsi="Times New Roman"/>
          <w:i/>
          <w:sz w:val="20"/>
        </w:rPr>
        <w:t xml:space="preserve">provided </w:t>
      </w:r>
      <w:r>
        <w:rPr>
          <w:rFonts w:ascii="Times New Roman" w:hAnsi="Times New Roman"/>
          <w:sz w:val="20"/>
        </w:rPr>
        <w:t xml:space="preserve">that, in the judgment of the Borrower, such incurrence will not materially impair the Borrower’s ability to make payments under the Term Loan when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any encumbrances or restrictions of the type referred to in clauses (1), (2) and (3) of Section 4.08(a) hereof imposed by any amendments, modifications, restatements, renewals, increases, supplements, refundings, replacements or refinancings of the contracts, instruments or obligations referred to in clauses (a) through (n) of Section 4.08(a) hereof; </w:t>
      </w:r>
      <w:r>
        <w:rPr>
          <w:rFonts w:ascii="Times New Roman" w:hAnsi="Times New Roman"/>
          <w:i/>
          <w:sz w:val="20"/>
        </w:rPr>
        <w:t xml:space="preserve">provided </w:t>
      </w:r>
      <w:r>
        <w:rPr>
          <w:rFonts w:ascii="Times New Roman" w:hAnsi="Times New Roman"/>
          <w:sz w:val="20"/>
        </w:rPr>
        <w:t xml:space="preserve">that such amendments, modifications, restatements, renewals, increases, supplements, refundings, replacements or refinancings are, in the good faith judgment of the Borrower,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before="120" w:after="0"/>
        <w:jc w:val="left"/>
        <w:rPr>
          <w:rFonts w:ascii="Times New Roman" w:hAnsi="Times New Roman"/>
          <w:sz w:val="20"/>
        </w:rPr>
      </w:pPr>
      <w:r>
        <w:rPr>
          <w:rFonts w:ascii="Times New Roman" w:hAnsi="Times New Roman"/>
          <w:sz w:val="20"/>
        </w:rPr>
        <w:t xml:space="preserve">(p) restrictions created in connection with any Securitization Financing that, in the good faith determination of the Borrower, are necessary or advisable to effect such Securitization Financing; and </w:t>
      </w:r>
    </w:p>
    <w:p>
      <w:pPr>
        <w:pStyle w:val="TextBody"/>
        <w:bidi w:val="0"/>
        <w:spacing w:before="120" w:after="0"/>
        <w:jc w:val="left"/>
        <w:rPr>
          <w:rFonts w:ascii="Times New Roman" w:hAnsi="Times New Roman"/>
          <w:sz w:val="20"/>
        </w:rPr>
      </w:pPr>
      <w:r>
        <w:rPr>
          <w:rFonts w:ascii="Times New Roman" w:hAnsi="Times New Roman"/>
          <w:sz w:val="20"/>
        </w:rPr>
        <w:t xml:space="preserve">(q) any encumbrance or restriction with respect to a Subsidiary Guarantor or a Foreign Subsidiary or Securitization Subsidiary which was previously an Unrestricted Subsidiary pursuant to or by reason of an agreement that such Subsidiary is a party to or entered into before the date on which such Subsidiary became a Restricted Subsidiary; </w:t>
      </w:r>
      <w:r>
        <w:rPr>
          <w:rFonts w:ascii="Times New Roman" w:hAnsi="Times New Roman"/>
          <w:i/>
          <w:sz w:val="20"/>
        </w:rPr>
        <w:t xml:space="preserve">provided </w:t>
      </w:r>
      <w:r>
        <w:rPr>
          <w:rFonts w:ascii="Times New Roman" w:hAnsi="Times New Roman"/>
          <w:sz w:val="20"/>
        </w:rPr>
        <w:t xml:space="preserve">that such agreement was not entered into in anticipation of an Unrestricted Subsidiary becoming a Restricted Subsidiary and any such encumbrance or restriction does not extend to any assets or property of the Borrower or any other Restricted Subsidiary other than the assets and property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i/>
          <w:sz w:val="20"/>
        </w:rPr>
        <w:t>Limitation on Incurrence of Indebtedness and Issuance of Disqualified Stock and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 The Borrower will not, and will not permit any of its Restricted Subsidiaries to, directly or indirectly, create, incur, issue, assume, guarantee or otherwise become directly or indirectly liable, contingently or otherwise (collectively, “</w:t>
      </w:r>
      <w:r>
        <w:rPr>
          <w:rFonts w:ascii="Times New Roman" w:hAnsi="Times New Roman"/>
          <w:i/>
          <w:sz w:val="20"/>
        </w:rPr>
        <w:t>incur</w:t>
      </w:r>
      <w:r>
        <w:rPr>
          <w:rFonts w:ascii="Times New Roman" w:hAnsi="Times New Roman"/>
          <w:sz w:val="20"/>
        </w:rPr>
        <w:t>” and collectively, an “</w:t>
      </w:r>
      <w:r>
        <w:rPr>
          <w:rFonts w:ascii="Times New Roman" w:hAnsi="Times New Roman"/>
          <w:i/>
          <w:sz w:val="20"/>
        </w:rPr>
        <w:t>incurrence</w:t>
      </w:r>
      <w:r>
        <w:rPr>
          <w:rFonts w:ascii="Times New Roman" w:hAnsi="Times New Roman"/>
          <w:sz w:val="20"/>
        </w:rPr>
        <w:t xml:space="preserve">”) with respect to any Indebtedness (including Acquired Indebtedness) and the Borrower will not issue any shares of Disqualified Stock and will not permit any Restricted Subsidiary to issue any shares of Disqualified Stock or Preferred Stock; </w:t>
      </w:r>
      <w:r>
        <w:rPr>
          <w:rFonts w:ascii="Times New Roman" w:hAnsi="Times New Roman"/>
          <w:i/>
          <w:sz w:val="20"/>
        </w:rPr>
        <w:t xml:space="preserve">provided </w:t>
      </w:r>
      <w:r>
        <w:rPr>
          <w:rFonts w:ascii="Times New Roman" w:hAnsi="Times New Roman"/>
          <w:sz w:val="20"/>
        </w:rPr>
        <w:t xml:space="preserve">that the Borrower may incur Indebtedness (including Acquired Indebtedness) or issue shares of Disqualified Stock, and, subject to clause (c) of this Section 4.09, any Restricted Subsidiary may incur Indebtedness (including Acquired Indebtedness), issue shares of Disqualified Stock and issue shares of Preferred Stock, if the Fixed Charge Coverage Ratio on a consolidated basis for Holdings, the Borrower and its Restricted Subsidiaries for Holdings’ most recently ended four fiscal quarters for which internal financial statements are available immediately preceding the date on which such additional Indebtedness is incurred or such Disqualified Stock or Preferred Stock is issued would have been at least 2.0 to 1.0, determined on a </w:t>
      </w:r>
      <w:r>
        <w:rPr>
          <w:rFonts w:ascii="Times New Roman" w:hAnsi="Times New Roman"/>
          <w:i/>
          <w:sz w:val="20"/>
        </w:rPr>
        <w:t xml:space="preserve">pro forma </w:t>
      </w:r>
      <w:r>
        <w:rPr>
          <w:rFonts w:ascii="Times New Roman" w:hAnsi="Times New Roman"/>
          <w:sz w:val="20"/>
        </w:rPr>
        <w:t xml:space="preserve">basis (including a </w:t>
      </w:r>
      <w:r>
        <w:rPr>
          <w:rFonts w:ascii="Times New Roman" w:hAnsi="Times New Roman"/>
          <w:i/>
          <w:sz w:val="20"/>
        </w:rPr>
        <w:t xml:space="preserve">pro forma </w:t>
      </w:r>
      <w:r>
        <w:rPr>
          <w:rFonts w:ascii="Times New Roman" w:hAnsi="Times New Roman"/>
          <w:sz w:val="20"/>
        </w:rPr>
        <w:t xml:space="preserve">application of the net proceeds therefrom), as if the additional Indebtedness had been incurred, or the Disqualified Stock or Preferred Stock had been issued, as the case may be, and the application of proceeds therefrom had occurred at the beginning of such four-quarter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provisions of Section 4.09(a) hereof will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(1) the incurrence by the Borrower or any Restricted Subsidiary that is a Guarantor of Indebtedness (including the Former September 2025 Notes (other than any such Former September 2025 Notes the net proceeds of which were used to repurchase, redeem or refinance any of the Former April 2023 Notes), and any replacement notes thereof, pursuant to Credit Facilities and the issuance and creation of letters of credit and bankers’ acceptances thereunder (with letters of credit and bankers’ acceptances being deemed to have a principal amount equal to the face amount thereof), up to an aggregate principal amount of $4,265,000,000; </w:t>
      </w:r>
    </w:p>
    <w:p>
      <w:pPr>
        <w:pStyle w:val="TextBody"/>
        <w:bidi w:val="0"/>
        <w:spacing w:before="120" w:after="0"/>
        <w:jc w:val="left"/>
        <w:rPr>
          <w:rFonts w:ascii="Times New Roman" w:hAnsi="Times New Roman"/>
          <w:sz w:val="20"/>
        </w:rPr>
      </w:pPr>
      <w:r>
        <w:rPr>
          <w:rFonts w:ascii="Times New Roman" w:hAnsi="Times New Roman"/>
          <w:sz w:val="20"/>
        </w:rPr>
        <w:t xml:space="preserve">(2) the portion of the Former September 2025 Notes, the net proceeds of which were used to repurchase, redeem or refinance any of the Former April 2023 Notes, in each case together with any replacement notes therefor; </w:t>
      </w:r>
    </w:p>
    <w:p>
      <w:pPr>
        <w:pStyle w:val="TextBody"/>
        <w:bidi w:val="0"/>
        <w:spacing w:before="120" w:after="0"/>
        <w:jc w:val="left"/>
        <w:rPr>
          <w:rFonts w:ascii="Times New Roman" w:hAnsi="Times New Roman"/>
          <w:sz w:val="20"/>
        </w:rPr>
      </w:pPr>
      <w:r>
        <w:rPr>
          <w:rFonts w:ascii="Times New Roman" w:hAnsi="Times New Roman"/>
          <w:sz w:val="20"/>
        </w:rPr>
        <w:t xml:space="preserve">(3) Indebtedness of the Borrower and its Restricted Subsidiaries in existence on the Closing Date, including the Term Loan, the Secured Notes and the Exchangeable Notes (other than Indebtedness described in clauses (1) and (2) of this Section 4.09(b), but including such Indebtedness incurred on July 12, 2021, the net proceeds of which were used to repurchase, redeem or refinance any Refinancing Indebtedness in respect of the Former November 2023 Notes); </w:t>
      </w:r>
    </w:p>
    <w:p>
      <w:pPr>
        <w:pStyle w:val="TextBody"/>
        <w:bidi w:val="0"/>
        <w:spacing w:before="120" w:after="0"/>
        <w:jc w:val="left"/>
        <w:rPr>
          <w:rFonts w:ascii="Times New Roman" w:hAnsi="Times New Roman"/>
          <w:sz w:val="20"/>
        </w:rPr>
      </w:pPr>
      <w:r>
        <w:rPr>
          <w:rFonts w:ascii="Times New Roman" w:hAnsi="Times New Roman"/>
          <w:sz w:val="20"/>
        </w:rPr>
        <w:t xml:space="preserve">(4) (i) Indebtedness (including Capitalized Lease Obligations) and Disqualified Stock incurred or issued by the Borrower or any Restricted Subsidiary and Preferred Stock issued by any Restricted Subsidiary, to finance the purchase, lease or improvement of property (real or personal), equipment or other assets that in each case are used or useful in a Similar Business, whether through the direct purchase of assets or the Capital Stock of any Person owning such assets and (ii) Indebtedness arising under Capitalized Leases other than those in effect on the Closing Date or entered into pursuant to subclause (i) of this clause (4), in an aggregate principal amount, together with any refinancing Indebtedness in respect thereof and all other Indebtedness, Disqualified Stock or Preferred Stock incurred or issued and outstanding under this clause (4), not to exceed the greater of (a) $150,000,000 and (b) 3.0% of Total Assets (in each case, determined at the date of incurrence)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(5) Indebtedness incurred by the Borrower or any of its Restricted Subsidiaries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 </w:t>
      </w:r>
      <w:r>
        <w:rPr>
          <w:rFonts w:ascii="Times New Roman" w:hAnsi="Times New Roman"/>
          <w:i/>
          <w:sz w:val="20"/>
        </w:rPr>
        <w:t xml:space="preserve">provided </w:t>
      </w:r>
      <w:r>
        <w:rPr>
          <w:rFonts w:ascii="Times New Roman" w:hAnsi="Times New Roman"/>
          <w:sz w:val="20"/>
        </w:rPr>
        <w:t xml:space="preserve">that upon the drawing of such letters of credit or the incurrence of such Indebtedness, such obligations are reimbursed within 30 days following such drawing or incurrence; </w:t>
      </w:r>
    </w:p>
    <w:p>
      <w:pPr>
        <w:pStyle w:val="TextBody"/>
        <w:bidi w:val="0"/>
        <w:spacing w:before="120" w:after="0"/>
        <w:jc w:val="left"/>
        <w:rPr>
          <w:rFonts w:ascii="Times New Roman" w:hAnsi="Times New Roman"/>
          <w:sz w:val="20"/>
        </w:rPr>
      </w:pPr>
      <w:r>
        <w:rPr>
          <w:rFonts w:ascii="Times New Roman" w:hAnsi="Times New Roman"/>
          <w:sz w:val="20"/>
        </w:rPr>
        <w:t xml:space="preserve">(6) Indebtedness arising from agreements of the Borrower or its Restricted Subsidiaries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Indebtedness of the Borrower to a Restricted Subsidiary; </w:t>
      </w:r>
      <w:r>
        <w:rPr>
          <w:rFonts w:ascii="Times New Roman" w:hAnsi="Times New Roman"/>
          <w:i/>
          <w:sz w:val="20"/>
        </w:rPr>
        <w:t xml:space="preserve">provided </w:t>
      </w:r>
      <w:r>
        <w:rPr>
          <w:rFonts w:ascii="Times New Roman" w:hAnsi="Times New Roman"/>
          <w:sz w:val="20"/>
        </w:rPr>
        <w:t xml:space="preserve">that any such Indebtedness owing to a Restricted Subsidiary that is not a Subsidiary Guarantor is expressly subordinated in right of payment to the Term Loan; provided further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or any pledge of such Indebtedness constituting a Permitted Lien (but not foreclosure thereon)) shall be deemed, in each case, to be an incurrence of such Indebtedness not permitted by this clause (7); </w:t>
      </w:r>
    </w:p>
    <w:p>
      <w:pPr>
        <w:pStyle w:val="TextBody"/>
        <w:bidi w:val="0"/>
        <w:spacing w:before="120" w:after="0"/>
        <w:jc w:val="left"/>
        <w:rPr>
          <w:rFonts w:ascii="Times New Roman" w:hAnsi="Times New Roman"/>
          <w:sz w:val="20"/>
        </w:rPr>
      </w:pPr>
      <w:r>
        <w:rPr>
          <w:rFonts w:ascii="Times New Roman" w:hAnsi="Times New Roman"/>
          <w:sz w:val="20"/>
        </w:rPr>
        <w:t xml:space="preserve">(8) Indebtedness of a Restricted Subsidiary to the Borrower or another Restricted Subsidiary; </w:t>
      </w:r>
      <w:r>
        <w:rPr>
          <w:rFonts w:ascii="Times New Roman" w:hAnsi="Times New Roman"/>
          <w:i/>
          <w:sz w:val="20"/>
        </w:rPr>
        <w:t xml:space="preserve">provided </w:t>
      </w:r>
      <w:r>
        <w:rPr>
          <w:rFonts w:ascii="Times New Roman" w:hAnsi="Times New Roman"/>
          <w:sz w:val="20"/>
        </w:rPr>
        <w:t xml:space="preserve">that if a Subsidiary Guarantor incurs such Indebtedness to a Restricted Subsidiary that is not a Subsidiary Guarantor, such Indebtedness is expressly subordinated in right of payment to the Guarantee of the Term Loan of such Subsidiary Guarantor; provided further that any subsequent transfer of any such Indebtedness (except to the Borrower or another Restricted Subsidiary or any pledge of such Indebtedness constituting a Permitted Lien (but not foreclosure thereon)) shall be deemed, in each case, to be an incurrence of such Indebtedness not permitted by this clause (8); </w:t>
      </w:r>
    </w:p>
    <w:p>
      <w:pPr>
        <w:pStyle w:val="TextBody"/>
        <w:bidi w:val="0"/>
        <w:spacing w:before="120" w:after="0"/>
        <w:jc w:val="left"/>
        <w:rPr>
          <w:rFonts w:ascii="Times New Roman" w:hAnsi="Times New Roman"/>
          <w:sz w:val="20"/>
        </w:rPr>
      </w:pPr>
      <w:r>
        <w:rPr>
          <w:rFonts w:ascii="Times New Roman" w:hAnsi="Times New Roman"/>
          <w:sz w:val="20"/>
        </w:rPr>
        <w:t xml:space="preserve">(9) shares of Preferred Stock of a Restricted Subsidiary issued to the Borrower or another Restricted Subsidiary; </w:t>
      </w:r>
      <w:r>
        <w:rPr>
          <w:rFonts w:ascii="Times New Roman" w:hAnsi="Times New Roman"/>
          <w:i/>
          <w:sz w:val="20"/>
        </w:rPr>
        <w:t xml:space="preserve">provided </w:t>
      </w:r>
      <w:r>
        <w:rPr>
          <w:rFonts w:ascii="Times New Roman" w:hAnsi="Times New Roman"/>
          <w:sz w:val="20"/>
        </w:rPr>
        <w:t xml:space="preserve">that any subsequent issuance or transfer of any Capital Stock or any other event which results in any such Restricted Subsidiary ceasing to be a Restricted Subsidiary or any other subsequent transfer of any such shares of Preferred Stock (except to the Borrower or another of its Restricted Subsidiaries) shall be deemed, in each case, to be an issuance of such shares of Preferred Stock not permitted by this clause (9); </w:t>
      </w:r>
    </w:p>
    <w:p>
      <w:pPr>
        <w:pStyle w:val="TextBody"/>
        <w:bidi w:val="0"/>
        <w:spacing w:before="120" w:after="0"/>
        <w:jc w:val="left"/>
        <w:rPr>
          <w:rFonts w:ascii="Times New Roman" w:hAnsi="Times New Roman"/>
          <w:sz w:val="20"/>
        </w:rPr>
      </w:pPr>
      <w:r>
        <w:rPr>
          <w:rFonts w:ascii="Times New Roman" w:hAnsi="Times New Roman"/>
          <w:sz w:val="20"/>
        </w:rPr>
        <w:t xml:space="preserve">(10) Hedging Obligations (excluding Hedging Obligations entered into for speculative purposes) for the purpose of limiting interest rate risk with respect to any Indebtedness permitted to be incurred under this Agreement, exchange rate risk or commodity pricing risk; </w:t>
      </w:r>
    </w:p>
    <w:p>
      <w:pPr>
        <w:pStyle w:val="TextBody"/>
        <w:bidi w:val="0"/>
        <w:spacing w:before="120" w:after="0"/>
        <w:jc w:val="left"/>
        <w:rPr>
          <w:rFonts w:ascii="Times New Roman" w:hAnsi="Times New Roman"/>
          <w:sz w:val="20"/>
        </w:rPr>
      </w:pPr>
      <w:r>
        <w:rPr>
          <w:rFonts w:ascii="Times New Roman" w:hAnsi="Times New Roman"/>
          <w:sz w:val="20"/>
        </w:rPr>
        <w:t xml:space="preserve">(11) obligations in respect of self-insurance and 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(12) (a) Indebtedness or Disqualified Stock of the Borrower and Indebtedness, Disqualified Stock or Preferred Stock of the Borrower or any Restricted Subsidiary that is a Guarantor in an aggregate principal amount or liquidation preference up to 200% of the net cash proceeds received by the Borrower since May 9, 2012 from the issue or sale of Equity Interests of the Borrower or cash contributed to the capital of the Borrower (in each case, other than proceeds of Disqualified Stock or sales of Equity Interests to the Borrower or any of its Subsidiaries) as determined in accordance with clauses (3)(C) and (3)(D) of Section 4.07(a) hereof to the extent such net cash proceeds or cash have not been applied pursuant to such clauses or, in the case of proceeds received prior to the Closing Date, clause (3)(A) of Section 4.07(a) hereof to make Restricted Payments or to make other Investments, payments or exchanges pursuant to Section 4.07(b) hereof or to make Permitted Investments (other than Permitted Investments specified in clauses (1) and (3) of the definition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Indebtedness or Disqualified Stock of the Borrower and Indebtedness, Disqualified Stock or Preferred Stock of the Borrower or any Restricted Subsidiary not otherwise permitted hereunder (but including guarantees of the Lender Notes) in an aggregate principal amount or liquidation preference which, when aggregated with the principal amount and liquidation preference of all other Indebtedness, Disqualified Stock and Preferred Stock then outstanding and incurred pursuant to this clause (12)(b), does not at any one time outstanding exceed the greater of (i) $350,000,000 and (ii) 5.0% of Total Assets; </w:t>
      </w:r>
      <w:r>
        <w:rPr>
          <w:rFonts w:ascii="Times New Roman" w:hAnsi="Times New Roman"/>
          <w:i/>
          <w:sz w:val="20"/>
        </w:rPr>
        <w:t xml:space="preserve">provided </w:t>
      </w:r>
      <w:r>
        <w:rPr>
          <w:rFonts w:ascii="Times New Roman" w:hAnsi="Times New Roman"/>
          <w:sz w:val="20"/>
        </w:rPr>
        <w:t xml:space="preserve">that no more than the greater of (x) $300,000,000 and (y) 4.5% of Total Assets may be incurred by any Restricted Subsidiary that is not a Guarantor pursuant to this clause (12)(b) (it being understood that any Indebtedness, Disqualified Stock or Preferred Stock incurred pursuant to this clause (12)(b) shall cease to be deemed incurred or outstanding for purposes of this clause (12)(b) but shall be deemed incurred for the purposes of the first paragraph of this covenant from and after the first date on which the Borrower or such Restricted Subsidiary could have incurred such Indebtedness, Disqualified Stock or Preferred Stock under the first paragraph of this covenant without reliance on this clause (12)(b)); </w:t>
      </w:r>
    </w:p>
    <w:p>
      <w:pPr>
        <w:pStyle w:val="TextBody"/>
        <w:bidi w:val="0"/>
        <w:spacing w:before="120" w:after="0"/>
        <w:jc w:val="left"/>
        <w:rPr>
          <w:rFonts w:ascii="Times New Roman" w:hAnsi="Times New Roman"/>
          <w:sz w:val="20"/>
        </w:rPr>
      </w:pPr>
      <w:r>
        <w:rPr>
          <w:rFonts w:ascii="Times New Roman" w:hAnsi="Times New Roman"/>
          <w:sz w:val="20"/>
        </w:rPr>
        <w:t>(13) the incurrence by the Borrower or any Restricted Subsidiary of Indebtedness, the issuance by the Borrower or any Restricted Subsidiary of Disqualified Stock or the issuance by any Restricted Subsidiary of Preferred Stock which serves to extend, replace, refund, refinance, renew or defease any Indebtedness incurred or Disqualified Stock or Preferred Stock issued as permitted under Section 4.09(a) hereof and clauses (2), (3), (4), (12)(a) of this Section 4.09(b), this clause (13) and clauses (14) and (24) of this Section 4.09(b) or any Indebtedness incurred or Disqualified Stock or Preferred Stock issued to so extend, replace, refund, refinance, renew or defease such Indebtedness, Disqualified Stock or Preferred Stock including additional Indebtedness, Disqualified Stock or Preferred Stock incurred to pay accrued and unpaid interest, dividends on such aforementioned Disqualified Stock or Preferred Stock, premiums (including premiums and consideration in excess of the face amount, in each case in connection with tenders or exchanges), defeasance costs, underwriting discounts, fees, costs and expenses (including original issue discount, upfront fees or similar fees) in connection therewith (the “</w:t>
      </w:r>
      <w:r>
        <w:rPr>
          <w:rFonts w:ascii="Times New Roman" w:hAnsi="Times New Roman"/>
          <w:i/>
          <w:sz w:val="20"/>
        </w:rPr>
        <w:t>Refinancing Indebtedness</w:t>
      </w:r>
      <w:r>
        <w:rPr>
          <w:rFonts w:ascii="Times New Roman" w:hAnsi="Times New Roman"/>
          <w:sz w:val="20"/>
        </w:rPr>
        <w:t xml:space="preserve">”) prior to its respective maturity; </w:t>
      </w:r>
      <w:r>
        <w:rPr>
          <w:rFonts w:ascii="Times New Roman" w:hAnsi="Times New Roman"/>
          <w:i/>
          <w:sz w:val="20"/>
        </w:rPr>
        <w:t xml:space="preserve">provided </w:t>
      </w:r>
      <w:r>
        <w:rPr>
          <w:rFonts w:ascii="Times New Roman" w:hAnsi="Times New Roman"/>
          <w:sz w:val="20"/>
        </w:rPr>
        <w:t xml:space="preserve">that such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 </w:t>
      </w:r>
    </w:p>
    <w:p>
      <w:pPr>
        <w:pStyle w:val="TextBody"/>
        <w:bidi w:val="0"/>
        <w:spacing w:before="120" w:after="0"/>
        <w:jc w:val="left"/>
        <w:rPr>
          <w:rFonts w:ascii="Times New Roman" w:hAnsi="Times New Roman"/>
          <w:sz w:val="20"/>
        </w:rPr>
      </w:pPr>
      <w:r>
        <w:rPr>
          <w:rFonts w:ascii="Times New Roman" w:hAnsi="Times New Roman"/>
          <w:sz w:val="20"/>
        </w:rPr>
        <w:t xml:space="preserve">(b) if such Indebtedness is Subordinated Indebtedness or Disqualified Stock, has a final scheduled maturity date equal to or later than the final scheduled maturity date of such Subordinated Indebtedness or Disqualified Stock being so defeased, redeemed, repurchased, exchanged, acquired or retired;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such Refinancing Indebtedness extends, replaces, refunds, refinances, renews or defeases (i) Indebtedness subordinated or </w:t>
      </w:r>
      <w:r>
        <w:rPr>
          <w:rFonts w:ascii="Times New Roman" w:hAnsi="Times New Roman"/>
          <w:i/>
          <w:sz w:val="20"/>
        </w:rPr>
        <w:t xml:space="preserve">pari passu </w:t>
      </w:r>
      <w:r>
        <w:rPr>
          <w:rFonts w:ascii="Times New Roman" w:hAnsi="Times New Roman"/>
          <w:sz w:val="20"/>
        </w:rPr>
        <w:t xml:space="preserve">to the Term Loan or any Guarantee thereof, such Refinancing Indebtedness is subordinated or </w:t>
      </w:r>
      <w:r>
        <w:rPr>
          <w:rFonts w:ascii="Times New Roman" w:hAnsi="Times New Roman"/>
          <w:i/>
          <w:sz w:val="20"/>
        </w:rPr>
        <w:t xml:space="preserve">pari passu </w:t>
      </w:r>
      <w:r>
        <w:rPr>
          <w:rFonts w:ascii="Times New Roman" w:hAnsi="Times New Roman"/>
          <w:sz w:val="20"/>
        </w:rPr>
        <w:t xml:space="preserve">to the Term Loan or the Guarantee thereof at least to the same extent as the Indebtedness being extended, replaced, refunded, refinanced, renewed or defeased or (ii) Disqualified Stock or Preferred Stock, such Refinancing Indebtedness must be Disqualified Stock or Preferred Stock, respectively; </w:t>
      </w:r>
    </w:p>
    <w:p>
      <w:pPr>
        <w:pStyle w:val="TextBody"/>
        <w:bidi w:val="0"/>
        <w:spacing w:before="120" w:after="0"/>
        <w:jc w:val="left"/>
        <w:rPr>
          <w:rFonts w:ascii="Times New Roman" w:hAnsi="Times New Roman"/>
          <w:sz w:val="20"/>
        </w:rPr>
      </w:pPr>
      <w:r>
        <w:rPr>
          <w:rFonts w:ascii="Times New Roman" w:hAnsi="Times New Roman"/>
          <w:sz w:val="20"/>
        </w:rPr>
        <w:t xml:space="preserve">(d) if the Indebtedness extended, replaced, refunded, refinanced, renewed or defeased is secured by any Liens, the Liens securing such Indebtedness have the same priority as, and are limited to the same property and assets (including additional future assets and proceeds) subject to, the Liens securing such Indebtedness being so extended, replaced, refunded, refinanced, renewed or defeased; and </w:t>
      </w:r>
    </w:p>
    <w:p>
      <w:pPr>
        <w:pStyle w:val="TextBody"/>
        <w:bidi w:val="0"/>
        <w:spacing w:before="120" w:after="0"/>
        <w:jc w:val="left"/>
        <w:rPr>
          <w:rFonts w:ascii="Times New Roman" w:hAnsi="Times New Roman"/>
          <w:sz w:val="20"/>
        </w:rPr>
      </w:pPr>
      <w:r>
        <w:rPr>
          <w:rFonts w:ascii="Times New Roman" w:hAnsi="Times New Roman"/>
          <w:sz w:val="20"/>
        </w:rPr>
        <w:t xml:space="preserve">(e)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Disqualified Stock or Preferred Stock of a Subsidiary of the Borrower that is not a Guarantor that refinances Indebtedness or Disqualified Stock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 Indebtedness, Disqualified Stock or Preferred Stock of a Subsidiary of the Borrower that is not a Guarantor that refinances Indebtedness, Disqualified Stock or Preferred Stock of a Subsidiary Guarantor; or </w:t>
      </w:r>
    </w:p>
    <w:p>
      <w:pPr>
        <w:pStyle w:val="TextBody"/>
        <w:bidi w:val="0"/>
        <w:spacing w:before="120" w:after="0"/>
        <w:jc w:val="left"/>
        <w:rPr>
          <w:rFonts w:ascii="Times New Roman" w:hAnsi="Times New Roman"/>
          <w:sz w:val="20"/>
        </w:rPr>
      </w:pPr>
      <w:r>
        <w:rPr>
          <w:rFonts w:ascii="Times New Roman" w:hAnsi="Times New Roman"/>
          <w:sz w:val="20"/>
        </w:rPr>
        <w:t xml:space="preserve">(iii) Indebtedness or Disqualified Stock of the Borrower or Indebtedness, Disqualified Stock or Preferred Stock of a Restricted Subsidiary that refinances Indebtedness, Disqualified Stock or Preferred Stock of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(14) (a) Indebtedness or Disqualified Stock of the Borrower or, subject to the third paragraph of this covenant, Indebtedness, Disqualified Stock or Preferred Stock of a Restricted Subsidiary incurred or issued to finance an acquisition or (b) Indebtedness, Disqualified Stock or Preferred Stock of Persons that are acquired by the Borrower or any Restricted Subsidiary or merged into or consolidated with the Borrower or a Restricted Subsidiary in accordance with the terms of this Agreement; </w:t>
      </w:r>
      <w:r>
        <w:rPr>
          <w:rFonts w:ascii="Times New Roman" w:hAnsi="Times New Roman"/>
          <w:i/>
          <w:sz w:val="20"/>
        </w:rPr>
        <w:t xml:space="preserve">provided </w:t>
      </w:r>
      <w:r>
        <w:rPr>
          <w:rFonts w:ascii="Times New Roman" w:hAnsi="Times New Roman"/>
          <w:sz w:val="20"/>
        </w:rPr>
        <w:t xml:space="preserve">that in the case of clauses (a) and (b), after giving effect to such acquisition, merger, amalgamation or consolidation, either (x) the Borrower would be permitted to incur at least $1.00 of additional Indebtedness pursuant to the Fixed Charge Coverage Test or (y) the Fixed Charge Coverage Ratio for the Borrower is equal to or greater than immediately prior to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(15) Indebtedness arising from the honoring by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(16) Indebtedness of the Borrower or any of its Restricted Subsidiaries supported by a letter of credit issued pursuant to the Credit Facilities that is incurred under clause (1) of this Section 4.09(b), in a principal amount not in excess of the stated amount of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(a) any guarantee by the Borrower or a Restricted Subsidiary of Indebtedness or other obligations of any Restricted Subsidiary so long as the incurrence of such Indebtedness incurred by such Restricted Subsidiary is permitted under the terms of this Agreement or (b) any guarantee by a Restricted Subsidiary of Indebtedness of the Borrower; </w:t>
      </w:r>
      <w:r>
        <w:rPr>
          <w:rFonts w:ascii="Times New Roman" w:hAnsi="Times New Roman"/>
          <w:i/>
          <w:sz w:val="20"/>
        </w:rPr>
        <w:t xml:space="preserve">provided </w:t>
      </w:r>
      <w:r>
        <w:rPr>
          <w:rFonts w:ascii="Times New Roman" w:hAnsi="Times New Roman"/>
          <w:sz w:val="20"/>
        </w:rPr>
        <w:t xml:space="preserve">that such guarantee is incurred in accordance with Section 4.17 hereof; </w:t>
      </w:r>
    </w:p>
    <w:p>
      <w:pPr>
        <w:pStyle w:val="TextBody"/>
        <w:bidi w:val="0"/>
        <w:spacing w:before="120" w:after="0"/>
        <w:jc w:val="left"/>
        <w:rPr>
          <w:rFonts w:ascii="Times New Roman" w:hAnsi="Times New Roman"/>
          <w:sz w:val="20"/>
        </w:rPr>
      </w:pPr>
      <w:r>
        <w:rPr>
          <w:rFonts w:ascii="Times New Roman" w:hAnsi="Times New Roman"/>
          <w:sz w:val="20"/>
        </w:rPr>
        <w:t xml:space="preserve">(18) Indebtedness consisting of Indebtedness issued by the Borrower or any of its Restricted Subsidiaries to future, present or former employees, directors, officers, managers and consultants thereof, their respective Controlled Investment Affiliates or Immediate Family Members, in each case to finance the purchase or redemption of Equity Interests of the Borrower or any direct or indirect parent company of the Borrower to the extent described in clause (4) of Section 4.07(b) hereof; </w:t>
      </w:r>
    </w:p>
    <w:p>
      <w:pPr>
        <w:pStyle w:val="TextBody"/>
        <w:bidi w:val="0"/>
        <w:spacing w:before="120" w:after="0"/>
        <w:jc w:val="left"/>
        <w:rPr>
          <w:rFonts w:ascii="Times New Roman" w:hAnsi="Times New Roman"/>
          <w:sz w:val="20"/>
        </w:rPr>
      </w:pPr>
      <w:r>
        <w:rPr>
          <w:rFonts w:ascii="Times New Roman" w:hAnsi="Times New Roman"/>
          <w:sz w:val="20"/>
        </w:rPr>
        <w:t xml:space="preserve">(19) customer deposits and advance payments received in the ordinary course of business from customers for goods purchased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(20) Indebtedness in respect of Bank Products provided by banks or other financial institutions to the Borrower and its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(21)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 </w:t>
      </w:r>
    </w:p>
    <w:p>
      <w:pPr>
        <w:pStyle w:val="TextBody"/>
        <w:bidi w:val="0"/>
        <w:spacing w:before="120" w:after="0"/>
        <w:jc w:val="left"/>
        <w:rPr>
          <w:rFonts w:ascii="Times New Roman" w:hAnsi="Times New Roman"/>
          <w:sz w:val="20"/>
        </w:rPr>
      </w:pPr>
      <w:r>
        <w:rPr>
          <w:rFonts w:ascii="Times New Roman" w:hAnsi="Times New Roman"/>
          <w:sz w:val="20"/>
        </w:rPr>
        <w:t xml:space="preserve">(22) Indebtedness of the Borrower or any of its Restricted Subsidiaries consisting of (a) the financing of insurance premiums or (b) take-or-pay obligations contained in supply arrangements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(23) the incurrence of Indebtedness by Foreign Subsidiaries of the Borrower (including guarantees of the Lender Notes) in an amount not to exceed at any one time outstanding and together with any other Indebtedness incurred under this clause (23), $100,000,000; </w:t>
      </w:r>
    </w:p>
    <w:p>
      <w:pPr>
        <w:pStyle w:val="TextBody"/>
        <w:bidi w:val="0"/>
        <w:spacing w:before="120" w:after="0"/>
        <w:jc w:val="left"/>
        <w:rPr>
          <w:rFonts w:ascii="Times New Roman" w:hAnsi="Times New Roman"/>
          <w:sz w:val="20"/>
        </w:rPr>
      </w:pPr>
      <w:r>
        <w:rPr>
          <w:rFonts w:ascii="Times New Roman" w:hAnsi="Times New Roman"/>
          <w:sz w:val="20"/>
        </w:rPr>
        <w:t xml:space="preserve">(24) Indebtedness, Disqualified Stock or Preferred Stock of a Restricted Subsidiary incurred or issued to finance or assumed in connection with an acquisition in a principal amount not to exceed the greater of (a) $125,000,000 and (b) 2.5% of Total Assets in the aggregate at any one time outstanding together with all other Indebtedness, Disqualified Stock and Preferred Stock incurred or issued under this clause (24) (it being understood that any Indebtedness, Disqualified Stock or Preferred Stock incurred pursuant to this clause (24) shall cease to be deemed incurred, issued or outstanding for purposes of this clause (24) but shall be deemed incurred for the purposes of the first paragraph of this covenant from and after the first date on which such Restricted Subsidiary could have incurred such Indebtedness, Disqualified Stock or Preferred Stock under the first paragraph of this covenant without reliance on this clause (24));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Indebtedness of the Borrower or any of its Restricted Subsidiaries incurred in connection with cash management, netting services, automatic clearinghouse payments, overdraft protection, employee credit card programs and similar and related activities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(26) Indebtedness of the Borrower or any Restricted Subsidiary undertaken in connection with cash management and related activities with respect to any Subsidiary or joint venture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(27) all premiums (if any), interest (including post-petition interest), fees, expenses, charges and additional or contingent interest on obligations described in clauses (1) through (26) of this Section 4.09(b). </w:t>
      </w:r>
    </w:p>
    <w:p>
      <w:pPr>
        <w:pStyle w:val="TextBody"/>
        <w:bidi w:val="0"/>
        <w:spacing w:before="240" w:after="0"/>
        <w:jc w:val="left"/>
        <w:rPr>
          <w:rFonts w:ascii="Times New Roman" w:hAnsi="Times New Roman"/>
          <w:sz w:val="20"/>
        </w:rPr>
      </w:pPr>
      <w:r>
        <w:rPr>
          <w:rFonts w:ascii="Times New Roman" w:hAnsi="Times New Roman"/>
          <w:sz w:val="20"/>
        </w:rPr>
        <w:t xml:space="preserve">(i) Restricted Subsidiaries of the Borrower that are not Guarantors may not incur Indebtedness or Disqualified Stock or Preferred Stock pursuant to the Fixed Charge Coverage Test under Section 4.09(a) or clause (14)(a) of Section 4.09(b) hereof if, after giving pro forma effect to such incurrence or issuance (including a pro forma application of the net proceeds therefrom), the aggregate amount of Indebtedness and Disqualified Stock and Preferred Stock of Restricted Subsidiaries that are not Guarantors incurred or issued pursuant to the Fixed Charge Coverage Test under the first paragraph of this covenant and clause (14)(a) of Section 4.09(b) would exceed $250,000,000. </w:t>
      </w:r>
    </w:p>
    <w:p>
      <w:pPr>
        <w:pStyle w:val="TextBody"/>
        <w:bidi w:val="0"/>
        <w:spacing w:before="240" w:after="0"/>
        <w:jc w:val="left"/>
        <w:rPr>
          <w:rFonts w:ascii="Times New Roman" w:hAnsi="Times New Roman"/>
          <w:sz w:val="20"/>
        </w:rPr>
      </w:pPr>
      <w:r>
        <w:rPr>
          <w:rFonts w:ascii="Times New Roman" w:hAnsi="Times New Roman"/>
          <w:sz w:val="20"/>
        </w:rPr>
        <w:t xml:space="preserve">(j) For purposes of determining compliance with this Section 4.09: </w:t>
      </w:r>
    </w:p>
    <w:p>
      <w:pPr>
        <w:pStyle w:val="TextBody"/>
        <w:bidi w:val="0"/>
        <w:spacing w:before="120" w:after="0"/>
        <w:jc w:val="left"/>
        <w:rPr>
          <w:rFonts w:ascii="Times New Roman" w:hAnsi="Times New Roman"/>
          <w:sz w:val="20"/>
        </w:rPr>
      </w:pPr>
      <w:r>
        <w:rPr>
          <w:rFonts w:ascii="Times New Roman" w:hAnsi="Times New Roman"/>
          <w:sz w:val="20"/>
        </w:rPr>
        <w:t xml:space="preserve">(1) in the event that an item of Indebtedness, Disqualified Stock or Preferred Stock (or any portion thereof) meets the criteria of more than one of the categories of Indebtedness, Disqualified Stock or Preferred Stock described in clauses (1) through (27) of Section 4.09(b) hereof or is entitled to be incurred pursuant to Section 4.09(a) hereof, the Borrower, in its sole discretion, will classify or reclassify such item of Indebtedness, Disqualified Stock or Preferred Stock (or any portion thereof) and will only be required to include the amount and type of such Indebtedness, Disqualified Stock or Preferred Stock in one of the clauses of Section 4.09(b) or in Section 4.09(a) hereof; </w:t>
      </w:r>
      <w:r>
        <w:rPr>
          <w:rFonts w:ascii="Times New Roman" w:hAnsi="Times New Roman"/>
          <w:i/>
          <w:sz w:val="20"/>
        </w:rPr>
        <w:t xml:space="preserve">provided </w:t>
      </w:r>
      <w:r>
        <w:rPr>
          <w:rFonts w:ascii="Times New Roman" w:hAnsi="Times New Roman"/>
          <w:sz w:val="20"/>
        </w:rPr>
        <w:t xml:space="preserve">that all Indebtedness outstanding under the Senior Credit Facilities on the Closing Date (other than any such Indebtedness incurred on July 12, 2021, the net proceeds of which were used to repurchase, redeem or refinance any Refinancing Indebtedness in respect of the Former November 2023 Notes), the Former September 2025 Notes (other than any such notes the net proceeds of which were used to repurchase, redeem or refinance any of the Former April 2023 Notes), or, in each case, any refinancing thereof that is secured by Liens on Collateral will at all times be treated as incurred on the Closing Date under clause (1) of Section 4.09(b) hereof; </w:t>
      </w:r>
    </w:p>
    <w:p>
      <w:pPr>
        <w:pStyle w:val="TextBody"/>
        <w:bidi w:val="0"/>
        <w:spacing w:before="120" w:after="0"/>
        <w:jc w:val="left"/>
        <w:rPr>
          <w:rFonts w:ascii="Times New Roman" w:hAnsi="Times New Roman"/>
          <w:sz w:val="20"/>
        </w:rPr>
      </w:pPr>
      <w:r>
        <w:rPr>
          <w:rFonts w:ascii="Times New Roman" w:hAnsi="Times New Roman"/>
          <w:sz w:val="20"/>
        </w:rPr>
        <w:t xml:space="preserve">(2) at the time of incurrence or reclassification, the Borrower will be entitled to divide and classify or reclassify an item of Indebtedness in more than one of the types of Indebtedness described in Section 4.09(a) and Section 4.09(b) hereof; and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that the Borrower or a Restricted Subsidiary enters into or increases commitments under a revolving credit facility that it elects to incur under Section 4.09(a) hereof, the Fixed Charge Coverage Ratio for borrowings and reborrowings (including the issuance of letters of credit) thereunder will be determined on the date of such revolving credit facility or such increase in commitments (assuming that the full amount thereof has been borrowed as of such date), and, if such Fixed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Charge Coverage Ratio test is satisfied with respect thereto at such time, any borrowing or reborrowing thereunder will be permitted under Section 4.09(a) irrespective of the Fixed Charge Coverage Ratio at the time of any borrowing or reborrowing (the committed amount permitted to be borrowed or reborrowed on a date pursuant to the operation of this paragraph shall be the “</w:t>
      </w:r>
      <w:r>
        <w:rPr>
          <w:rFonts w:ascii="Times New Roman" w:hAnsi="Times New Roman"/>
          <w:i/>
          <w:sz w:val="20"/>
        </w:rPr>
        <w:t>Reserved Indebtedness Amount</w:t>
      </w:r>
      <w:r>
        <w:rPr>
          <w:rFonts w:ascii="Times New Roman" w:hAnsi="Times New Roman"/>
          <w:sz w:val="20"/>
        </w:rPr>
        <w:t xml:space="preserve">” as of such date for purposes of the Fixed Charge Coverage Ratio). </w:t>
      </w:r>
    </w:p>
    <w:p>
      <w:pPr>
        <w:pStyle w:val="TextBody"/>
        <w:bidi w:val="0"/>
        <w:spacing w:before="240" w:after="0"/>
        <w:jc w:val="left"/>
        <w:rPr>
          <w:rFonts w:ascii="Times New Roman" w:hAnsi="Times New Roman"/>
          <w:sz w:val="20"/>
        </w:rPr>
      </w:pPr>
      <w:r>
        <w:rPr>
          <w:rFonts w:ascii="Times New Roman" w:hAnsi="Times New Roman"/>
          <w:sz w:val="20"/>
        </w:rPr>
        <w:t xml:space="preserve">Accrual of interest or dividends, the accretion of accreted value, the accretion or amortization of original issue discount and the payment of interest or dividends in the form of additional Indebtedness, Disqualified Stock or Preferred Stock, as the case may be, of the same class will not be deemed to be an incurrence or issuance of Indebtedness, Disqualified Stock or Preferred Stock for purposes of this Section 4.09.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hAnsi="Times New Roman"/>
          <w:i/>
          <w:sz w:val="20"/>
        </w:rPr>
        <w:t xml:space="preserve">provided </w:t>
      </w:r>
      <w:r>
        <w:rPr>
          <w:rFonts w:ascii="Times New Roman" w:hAnsi="Times New Roman"/>
          <w:sz w:val="20"/>
        </w:rPr>
        <w:t xml:space="preserve">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incurred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not, and will not permit any Subsidiary Guarantor to, directly or indirectly, incur any Indebtedness (including Acquired Indebtedness) that is subordinated or junior in right of payment to any Indebtedness of the Borrower or such Subsidiary Guarantor, as the case may be, unless such Indebtedness is expressly subordinated in right of payment to the Term Loan or such Subsidiary Guarantor’s Guarantee to the extent and in the same manner as such Indebtedness is subordinated to other Indebtedness of the Borrower or such Subsidiary Guarantor, as the case may be. This Agreement will not treat (1) unsecured Indebtedness as subordinated or junior to Secured Indebtedness merely because it is unsecured or (2) Indebtedness as subordinated or junior to any other Indebtedness merely because it has a junior priority with respect to the same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Asset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Borrower will not, and will not permit any of its Restricted Subsidiaries to, consummate an Asset Sale, unless: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or such Restricted Subsidiary, as the case may be, receives consideration at the time of such Asset Sale at least equal to the fair market value (such fair market value to be determined in good faith by the Borrower, including its board of directors if such fair market value is in excess of $100,000,000, at the time of contractually agreeing to such Asset Sale) of the assets sold or otherwise disposed 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except in the case of a Permitted Asset Swap, at least 75% of the consideration therefor received by the Borrower or such Restricted Subsidiary, as the case may be, is in the form of Cash Equivalents; </w:t>
      </w:r>
      <w:r>
        <w:rPr>
          <w:rFonts w:ascii="Times New Roman" w:hAnsi="Times New Roman"/>
          <w:i/>
          <w:sz w:val="20"/>
        </w:rPr>
        <w:t xml:space="preserve">provided </w:t>
      </w:r>
      <w:r>
        <w:rPr>
          <w:rFonts w:ascii="Times New Roman" w:hAnsi="Times New Roman"/>
          <w:sz w:val="20"/>
        </w:rPr>
        <w:t xml:space="preserve">that the amount of: </w:t>
      </w:r>
    </w:p>
    <w:p>
      <w:pPr>
        <w:pStyle w:val="TextBody"/>
        <w:bidi w:val="0"/>
        <w:spacing w:before="120" w:after="0"/>
        <w:jc w:val="left"/>
        <w:rPr>
          <w:rFonts w:ascii="Times New Roman" w:hAnsi="Times New Roman"/>
          <w:sz w:val="20"/>
        </w:rPr>
      </w:pPr>
      <w:r>
        <w:rPr>
          <w:rFonts w:ascii="Times New Roman" w:hAnsi="Times New Roman"/>
          <w:sz w:val="20"/>
        </w:rPr>
        <w:t xml:space="preserve">(A) any liabilities (as shown on the Borrower’s or such Restricted Subsidiary’s most recent balance sheet or in the footnotes thereto) of the Borrower or such Restricted Subsidiary, other than liabilities that are by their terms subordinated to the Term Loan or that are owed to the Borrower or a Restricted Subsidiary, that (x) are assumed by the transferee of any such assets or (y) are otherwise cancelled or terminated in connection with the transaction with such transferee (other than intercompany debt owed to the Borrower or its Restricted Subsidiaries) and, in each case, for which the Borrower and all of its Restricted Subsidiaries have been validly released by all creditors in writing, </w:t>
      </w:r>
    </w:p>
    <w:p>
      <w:pPr>
        <w:pStyle w:val="TextBody"/>
        <w:bidi w:val="0"/>
        <w:spacing w:before="120" w:after="0"/>
        <w:jc w:val="left"/>
        <w:rPr>
          <w:rFonts w:ascii="Times New Roman" w:hAnsi="Times New Roman"/>
          <w:sz w:val="20"/>
        </w:rPr>
      </w:pPr>
      <w:r>
        <w:rPr>
          <w:rFonts w:ascii="Times New Roman" w:hAnsi="Times New Roman"/>
          <w:sz w:val="20"/>
        </w:rPr>
        <w:t xml:space="preserve">(B) any securities, notes or other obligations or assets received by the Borrower or such Restricted Subsidiary from such transferee that are converted by the Borrower or such Restricted Subsidiary into Cash Equivalents (to the extent of the Cash Equivalents received) within 180 days following the closing of such Asset Sale, and </w:t>
      </w:r>
    </w:p>
    <w:p>
      <w:pPr>
        <w:pStyle w:val="TextBody"/>
        <w:bidi w:val="0"/>
        <w:spacing w:before="120" w:after="0"/>
        <w:jc w:val="left"/>
        <w:rPr>
          <w:rFonts w:ascii="Times New Roman" w:hAnsi="Times New Roman"/>
          <w:sz w:val="20"/>
        </w:rPr>
      </w:pPr>
      <w:r>
        <w:rPr>
          <w:rFonts w:ascii="Times New Roman" w:hAnsi="Times New Roman"/>
          <w:sz w:val="20"/>
        </w:rPr>
        <w:t xml:space="preserve">(C) Indebtedness of any Restricted Subsidiary that ceases to be a Restricted Subsidiary as a result of such Asset Sale (other than intercompany debt owed to the Borrower or any Restricted Subsidiary), to the extent that the Borrower and each other Restricted Subsidiary are released from any guarantee of payment of the principal amount of such Indebtedness in connection with such Asset Sale, and </w:t>
      </w:r>
    </w:p>
    <w:p>
      <w:pPr>
        <w:pStyle w:val="TextBody"/>
        <w:bidi w:val="0"/>
        <w:spacing w:before="120" w:after="0"/>
        <w:jc w:val="left"/>
        <w:rPr>
          <w:rFonts w:ascii="Times New Roman" w:hAnsi="Times New Roman"/>
          <w:sz w:val="20"/>
        </w:rPr>
      </w:pPr>
      <w:r>
        <w:rPr>
          <w:rFonts w:ascii="Times New Roman" w:hAnsi="Times New Roman"/>
          <w:sz w:val="20"/>
        </w:rPr>
        <w:t xml:space="preserve">(D) any (i) Designated Non-Cash Consideration received by the Borrower or such Restricted Subsidiary in such Asset Sale having an aggregate fair market value, as determined by the Borrower in good faith, taken together with all other Designated Non-Cash Consideration received pursuant to this clause (D)(i) that is at that time outstanding, not to exceed 5.0% of Total Assets at the time of the receipt of such Designated Non-Cash Consideration, or (ii) any Investment (not constituting a Permitted Asset Swap) received by the Borrower or a Restricted Subsidiary that is treated by the Borrower as a Restricted Payment under Section 4.07(a) or 4.07(b) hereof or a Permitted Investment under clause (8), (13) or (26) of the definition thereof, with the fair market value of each such item of Designated Non-Cash Consideration, Restricted Payment or Permitted Investment being measured pursuant to this clause (D) at the time received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shall be deemed to be Cash Equivalents for purposes of this provision and for no other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Within 450 days after the receipt of any Net Proceeds of any Asset Sale, the Borrower or such Restricted Subsidiary, at its option, may apply the Net Proceeds from such Asset Sale: </w:t>
      </w:r>
    </w:p>
    <w:p>
      <w:pPr>
        <w:pStyle w:val="TextBody"/>
        <w:bidi w:val="0"/>
        <w:spacing w:before="120" w:after="0"/>
        <w:jc w:val="left"/>
        <w:rPr>
          <w:rFonts w:ascii="Times New Roman" w:hAnsi="Times New Roman"/>
          <w:sz w:val="20"/>
        </w:rPr>
      </w:pPr>
      <w:r>
        <w:rPr>
          <w:rFonts w:ascii="Times New Roman" w:hAnsi="Times New Roman"/>
          <w:sz w:val="20"/>
        </w:rPr>
        <w:t xml:space="preserve">(1) to permanently reduce: </w:t>
      </w:r>
    </w:p>
    <w:p>
      <w:pPr>
        <w:pStyle w:val="TextBody"/>
        <w:bidi w:val="0"/>
        <w:spacing w:before="120" w:after="0"/>
        <w:jc w:val="left"/>
        <w:rPr>
          <w:rFonts w:ascii="Times New Roman" w:hAnsi="Times New Roman"/>
          <w:sz w:val="20"/>
        </w:rPr>
      </w:pPr>
      <w:r>
        <w:rPr>
          <w:rFonts w:ascii="Times New Roman" w:hAnsi="Times New Roman"/>
          <w:sz w:val="20"/>
        </w:rPr>
        <w:t xml:space="preserve">(A) Obligations constituting First Lien Obligations and, if the Indebtedness repaid is revolving credit facilities or other similar Indebtedness, to correspondingly permanently reduce commitments with respect thereto (other than Obligations owed to the Borrower or a Restricted Subsidiary); </w:t>
      </w:r>
      <w:r>
        <w:rPr>
          <w:rFonts w:ascii="Times New Roman" w:hAnsi="Times New Roman"/>
          <w:i/>
          <w:sz w:val="20"/>
        </w:rPr>
        <w:t xml:space="preserve">provided </w:t>
      </w:r>
      <w:r>
        <w:rPr>
          <w:rFonts w:ascii="Times New Roman" w:hAnsi="Times New Roman"/>
          <w:sz w:val="20"/>
        </w:rPr>
        <w:t xml:space="preserve">that (x) to the extent that the terms of First Lien Obligations (other than Loan Obligations) require that such First Lien Obligations be repaid with the Net Proceeds of Asset Sales prior to repayment of other Indebtedness (including the Term Loan), the Borrower and its Restricted Subsidiaries shall be entitled to repay such other First Lien Obligations prior to repaying the Obligations under the Term Loan and (y) except as provided in the foregoing clause (x), if the Borrower or any Restricted Subsidiary shall so reduce First Lien Obligations, the Borrower will equally and ratably reduce Obligations under the Term Loan as provided in Section 3.07 hereof by making an offer (in accordance with the procedures set forth herein for an Asset Sale Offer) to the Lender to repay the Term Loan at a purchase price equal to 100% of the principal amount thereof, </w:t>
      </w:r>
      <w:r>
        <w:rPr>
          <w:rFonts w:ascii="Times New Roman" w:hAnsi="Times New Roman"/>
          <w:i/>
          <w:sz w:val="20"/>
        </w:rPr>
        <w:t xml:space="preserve">plus </w:t>
      </w:r>
      <w:r>
        <w:rPr>
          <w:rFonts w:ascii="Times New Roman" w:hAnsi="Times New Roman"/>
          <w:sz w:val="20"/>
        </w:rPr>
        <w:t xml:space="preserve">accrued and unpaid interest on the principal amount of Term Loan so repaid; </w:t>
      </w:r>
    </w:p>
    <w:p>
      <w:pPr>
        <w:pStyle w:val="TextBody"/>
        <w:bidi w:val="0"/>
        <w:spacing w:before="120" w:after="0"/>
        <w:jc w:val="left"/>
        <w:rPr>
          <w:rFonts w:ascii="Times New Roman" w:hAnsi="Times New Roman"/>
          <w:sz w:val="20"/>
        </w:rPr>
      </w:pPr>
      <w:r>
        <w:rPr>
          <w:rFonts w:ascii="Times New Roman" w:hAnsi="Times New Roman"/>
          <w:sz w:val="20"/>
        </w:rPr>
        <w:t xml:space="preserve">(B) Obligations ranking </w:t>
      </w:r>
      <w:r>
        <w:rPr>
          <w:rFonts w:ascii="Times New Roman" w:hAnsi="Times New Roman"/>
          <w:i/>
          <w:sz w:val="20"/>
        </w:rPr>
        <w:t xml:space="preserve">pari passu </w:t>
      </w:r>
      <w:r>
        <w:rPr>
          <w:rFonts w:ascii="Times New Roman" w:hAnsi="Times New Roman"/>
          <w:sz w:val="20"/>
        </w:rPr>
        <w:t xml:space="preserve">with the Term Loan other than First Lien Obligations so long as the relevant Net Proceeds are received with respect to non-Collateral; </w:t>
      </w:r>
      <w:r>
        <w:rPr>
          <w:rFonts w:ascii="Times New Roman" w:hAnsi="Times New Roman"/>
          <w:i/>
          <w:sz w:val="20"/>
        </w:rPr>
        <w:t xml:space="preserve">provided </w:t>
      </w:r>
      <w:r>
        <w:rPr>
          <w:rFonts w:ascii="Times New Roman" w:hAnsi="Times New Roman"/>
          <w:sz w:val="20"/>
        </w:rPr>
        <w:t xml:space="preserve">that if the Borrower or any Restricted Subsidiary shall so reduce any such </w:t>
      </w:r>
      <w:r>
        <w:rPr>
          <w:rFonts w:ascii="Times New Roman" w:hAnsi="Times New Roman"/>
          <w:i/>
          <w:sz w:val="20"/>
        </w:rPr>
        <w:t xml:space="preserve">pari passu </w:t>
      </w:r>
      <w:r>
        <w:rPr>
          <w:rFonts w:ascii="Times New Roman" w:hAnsi="Times New Roman"/>
          <w:sz w:val="20"/>
        </w:rPr>
        <w:t xml:space="preserve">Obligations, the Borrower will equally and ratably reduce or offer to reduce Obligations under the Term Loan in any manner set forth in clause (A) above; or </w:t>
      </w:r>
    </w:p>
    <w:p>
      <w:pPr>
        <w:pStyle w:val="TextBody"/>
        <w:bidi w:val="0"/>
        <w:spacing w:before="120" w:after="0"/>
        <w:jc w:val="left"/>
        <w:rPr>
          <w:rFonts w:ascii="Times New Roman" w:hAnsi="Times New Roman"/>
          <w:sz w:val="20"/>
        </w:rPr>
      </w:pPr>
      <w:r>
        <w:rPr>
          <w:rFonts w:ascii="Times New Roman" w:hAnsi="Times New Roman"/>
          <w:sz w:val="20"/>
        </w:rPr>
        <w:t xml:space="preserve">(C) Indebtedness of a Restricted Subsidiary that is not a Guarantor, other than Indebtedness owed to the Borrower or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to make (a) an Investment in any one or more businesses; </w:t>
      </w:r>
      <w:r>
        <w:rPr>
          <w:rFonts w:ascii="Times New Roman" w:hAnsi="Times New Roman"/>
          <w:i/>
          <w:sz w:val="20"/>
        </w:rPr>
        <w:t xml:space="preserve">provided </w:t>
      </w:r>
      <w:r>
        <w:rPr>
          <w:rFonts w:ascii="Times New Roman" w:hAnsi="Times New Roman"/>
          <w:sz w:val="20"/>
        </w:rPr>
        <w:t xml:space="preserve">that such Investment in any business is in the form of the acquisition of Capital Stock that results in the Borrower or any of its Restricted Subsidiaries, as the case may be, owning an amount of the Capital Stock of such business such that it constitutes a Restricted Subsidiary or increases the Borrower’s direct or indirect percentage ownership of the Capital Stock of a Restricted Subsidiary, (b) capital expenditures or (c) acquisitions of other assets, in the case of each of (a), (b) and (c), used or useful in a Similar Business; </w:t>
      </w:r>
      <w:r>
        <w:rPr>
          <w:rFonts w:ascii="Times New Roman" w:hAnsi="Times New Roman"/>
          <w:i/>
          <w:sz w:val="20"/>
        </w:rPr>
        <w:t xml:space="preserve">provided </w:t>
      </w:r>
      <w:r>
        <w:rPr>
          <w:rFonts w:ascii="Times New Roman" w:hAnsi="Times New Roman"/>
          <w:sz w:val="20"/>
        </w:rPr>
        <w:t xml:space="preserve">that the assets (including Capital Stock) acquired with the Net Proceeds of a disposition of Collateral are pledged as Collateral to the extent required under the Security Documents (except to the extent the Lien thereon is released by the lenders under the Senior Credit Facilities); or </w:t>
      </w:r>
    </w:p>
    <w:p>
      <w:pPr>
        <w:pStyle w:val="TextBody"/>
        <w:bidi w:val="0"/>
        <w:spacing w:before="120" w:after="0"/>
        <w:jc w:val="left"/>
        <w:rPr>
          <w:rFonts w:ascii="Times New Roman" w:hAnsi="Times New Roman"/>
          <w:sz w:val="20"/>
        </w:rPr>
      </w:pPr>
      <w:r>
        <w:rPr>
          <w:rFonts w:ascii="Times New Roman" w:hAnsi="Times New Roman"/>
          <w:sz w:val="20"/>
        </w:rPr>
        <w:t xml:space="preserve">(3) to make an Investment in (a) any one or more businesses; </w:t>
      </w:r>
      <w:r>
        <w:rPr>
          <w:rFonts w:ascii="Times New Roman" w:hAnsi="Times New Roman"/>
          <w:i/>
          <w:sz w:val="20"/>
        </w:rPr>
        <w:t xml:space="preserve">provided </w:t>
      </w:r>
      <w:r>
        <w:rPr>
          <w:rFonts w:ascii="Times New Roman" w:hAnsi="Times New Roman"/>
          <w:sz w:val="20"/>
        </w:rPr>
        <w:t xml:space="preserve">that such Investment in any business is in the form of the acquisition of Capital Stock that results in the Borrower or any of its Restricted Subsidiaries, as the case may be, owning an amount of the Capital Stock of such business such that it constitutes a Restricted Subsidiary or increases the Borrower’s direct or indirect percentage ownership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Stock of a Restricted Subsidiary, (b) properties or (c) acquisitions of other assets that, in the case of each of (a), (b) and (c), replace the businesses, properties or assets that are the subject of such Asset Sale; </w:t>
      </w:r>
      <w:r>
        <w:rPr>
          <w:rFonts w:ascii="Times New Roman" w:hAnsi="Times New Roman"/>
          <w:i/>
          <w:sz w:val="20"/>
        </w:rPr>
        <w:t xml:space="preserve">provided </w:t>
      </w:r>
      <w:r>
        <w:rPr>
          <w:rFonts w:ascii="Times New Roman" w:hAnsi="Times New Roman"/>
          <w:sz w:val="20"/>
        </w:rPr>
        <w:t xml:space="preserve">that the assets (including Capital Stock) acquired with the Net Proceeds of a disposition of Collateral are pledged as Collateral to the extent required under the Security Documents (except to the extent the Lien thereon is released by the lenders under the Senior Credit Facilities);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that, in the case of clauses (2) and (3) of this Section 4.10, a binding commitment entered into not later than such 450th day shall extend the period for such Investment or other payment for an additional 180 days after the end of such 450-day period so long as the Borrower or such other Restricted Subsidiary enters into such commitment with the good faith expectation that such Net Proceeds will be applied to satisfy such commitment within 180 days of such commitment (an “</w:t>
      </w:r>
      <w:r>
        <w:rPr>
          <w:rFonts w:ascii="Times New Roman" w:hAnsi="Times New Roman"/>
          <w:i/>
          <w:sz w:val="20"/>
        </w:rPr>
        <w:t>Acceptable Commitment</w:t>
      </w:r>
      <w:r>
        <w:rPr>
          <w:rFonts w:ascii="Times New Roman" w:hAnsi="Times New Roman"/>
          <w:sz w:val="20"/>
        </w:rPr>
        <w:t>”) and, in the event any Acceptable Commitment is later cancelled or terminated for any reason before the Net Proceeds are applied in connection therewith, the Borrower or such Restricted Subsidiary enters into another Acceptable Commitment (a “</w:t>
      </w:r>
      <w:r>
        <w:rPr>
          <w:rFonts w:ascii="Times New Roman" w:hAnsi="Times New Roman"/>
          <w:i/>
          <w:sz w:val="20"/>
        </w:rPr>
        <w:t>Second Commitment</w:t>
      </w:r>
      <w:r>
        <w:rPr>
          <w:rFonts w:ascii="Times New Roman" w:hAnsi="Times New Roman"/>
          <w:sz w:val="20"/>
        </w:rPr>
        <w:t xml:space="preserve">”) within such 180-day period; provided further that (x) if any Second Commitment is later cancelled or terminated for any reason before such Net Proceeds are applied or (y) such Net Proceeds are not actually so invested or paid in accordance with clauses (2) or (3) of this Section 4.10 by the end of such 180-day period, then such Net Proceeds shall constitute Excess Proceeds on the date of such cancellation or termination, or such 180th day, as applicable. </w:t>
      </w:r>
    </w:p>
    <w:p>
      <w:pPr>
        <w:pStyle w:val="TextBody"/>
        <w:bidi w:val="0"/>
        <w:spacing w:before="240" w:after="0"/>
        <w:jc w:val="left"/>
        <w:rPr>
          <w:rFonts w:ascii="Times New Roman" w:hAnsi="Times New Roman"/>
          <w:sz w:val="20"/>
        </w:rPr>
      </w:pPr>
      <w:r>
        <w:rPr>
          <w:rFonts w:ascii="Times New Roman" w:hAnsi="Times New Roman"/>
          <w:sz w:val="20"/>
        </w:rPr>
        <w:t>(j) Any Net Proceeds from any Asset Sale that are not invested or applied as provided and within the time period set forth in the preceding paragraph will be deemed to constitute “Excess Proceeds.” When the aggregate amount of Excess Proceeds exceeds $100,000,000, the Borrower shall make an offer to the Lender (for provision to the Holders of the Lender Notes) and, if required by the terms of any Indebtedness that is pari passu in right of payment with the Term Loan (“</w:t>
      </w:r>
      <w:r>
        <w:rPr>
          <w:rFonts w:ascii="Times New Roman" w:hAnsi="Times New Roman"/>
          <w:i/>
          <w:sz w:val="20"/>
        </w:rPr>
        <w:t>Pari Passu Indebtedness</w:t>
      </w:r>
      <w:r>
        <w:rPr>
          <w:rFonts w:ascii="Times New Roman" w:hAnsi="Times New Roman"/>
          <w:sz w:val="20"/>
        </w:rPr>
        <w:t>”), to the holders of such Pari Passu Indebtedness (an “</w:t>
      </w:r>
      <w:r>
        <w:rPr>
          <w:rFonts w:ascii="Times New Roman" w:hAnsi="Times New Roman"/>
          <w:i/>
          <w:sz w:val="20"/>
        </w:rPr>
        <w:t>Asset Sale Offer</w:t>
      </w:r>
      <w:r>
        <w:rPr>
          <w:rFonts w:ascii="Times New Roman" w:hAnsi="Times New Roman"/>
          <w:sz w:val="20"/>
        </w:rPr>
        <w:t xml:space="preserve">” in accordance with Section 3.09 hereof), to repay or purchase, as applicable, the maximum aggregate principal amount of the Term Loan and such Pari Passu Indebtedness that is in an amount equal to at least $2,000, that may be purchased out of the Excess Proceeds at an offer price in cash in an amount equal to 100% of the principal amount thereof (or accreted value thereof, if less), plus accrued and unpaid interest, if any, to the date fixed for the closing of such offer, in accordance with the procedures set forth in this Agreement. The Borrower will commence an Asset Sale Offer with respect to Excess Proceeds within ten Business Days after the date that Excess Proceeds exceed $100,000,000 by delivering the notice required pursuant to the terms of this Agreement, with a copy to the Administrative Agent. The Borrower may satisfy the foregoing obligations with respect to any Net Proceeds from an Asset Sale by making an Asset Sale Offer with respect to such Net Proceeds prior to the expiration of the relevant 450 days (or such longer period provided above) or with respect to Excess Proceeds of $100,000,000 or less in accordance with Section 3.09 hereof. </w:t>
      </w:r>
    </w:p>
    <w:p>
      <w:pPr>
        <w:pStyle w:val="TextBody"/>
        <w:bidi w:val="0"/>
        <w:spacing w:before="240" w:after="0"/>
        <w:jc w:val="left"/>
        <w:rPr>
          <w:rFonts w:ascii="Times New Roman" w:hAnsi="Times New Roman"/>
          <w:sz w:val="20"/>
        </w:rPr>
      </w:pPr>
      <w:r>
        <w:rPr>
          <w:rFonts w:ascii="Times New Roman" w:hAnsi="Times New Roman"/>
          <w:sz w:val="20"/>
        </w:rPr>
        <w:t xml:space="preserve">(k) To the extent that the aggregate principal amount of Term Loan and such Pari Passu Indebtedness tendered pursuant to an Asset Sale Offer is less than the Excess Proceeds, the Borrower may use any remaining Excess Proceeds for general corporate purposes, subject to the other covenants contained in this Agreement. If the aggregate principal amount of Term Loan (based on the tendered amounts of Lender Notes) or the Pari Passu Indebtedness surrendered by such holders thereof exceeds the amount of Excess Proceeds, the Administrative Agent (acting at the direction of the Lender) shall select the portion of the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(based on the tendered amounts of Lender Notes) and the Borrower shall select such Pari Passu Indebtedness to be repaid or purchased, as applicable, on a pro rata basis based on the accreted value or principal amount of the Term Loan or such Pari Passu Indebtedness tendered. Upon completion of any such Asset Sale Offer, the amount of Excess Proceeds that resulted in the Asset Sale Offer shall be reset to zero. </w:t>
      </w:r>
    </w:p>
    <w:p>
      <w:pPr>
        <w:pStyle w:val="TextBody"/>
        <w:bidi w:val="0"/>
        <w:spacing w:before="240" w:after="0"/>
        <w:jc w:val="left"/>
        <w:rPr>
          <w:rFonts w:ascii="Times New Roman" w:hAnsi="Times New Roman"/>
          <w:sz w:val="20"/>
        </w:rPr>
      </w:pPr>
      <w:r>
        <w:rPr>
          <w:rFonts w:ascii="Times New Roman" w:hAnsi="Times New Roman"/>
          <w:sz w:val="20"/>
        </w:rPr>
        <w:t xml:space="preserve">(l) Pending the final application of any Net Proceeds pursuant to this covenant, the Borrower and its Restricted Subsidiaries may apply such Net Proceeds temporarily to reduce Indebtedness outstanding under a revolving credit facility or otherwise use or invest such Net Proceeds in any manner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(m) The Borrower shall notify the Administrative Agent in writing of any repayment of Term Loans being made pursuant to this Section 4.10 by no later than 11:00 a.m., New York City time, at least one (1) Business Day prior to the date of such repayment. Each such notice shall specify the date of such repayment and the amount of such repayment.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under this Agreement relative to the Borrower’s obligation to make an offer to repay the Term Loan as a result of an Asset Sale may be waived or modified with the written consent of a majority in principal amount of the Lender Notes then outstanding (which shall be given via a Lender Notes Trustee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i/>
          <w:sz w:val="20"/>
        </w:rPr>
        <w:t>Transactions with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The Borrower will not, and will not permit any of its Restricted Subsidiaries to, make any payment to, or sell, lease, transfer or otherwise dispose of any of its properties or assets to, or purchase any property or assets from, or enter into or make or amend any transaction or series of related transactions, contract, agreement, understanding, loan, advance or guarantee with, or for the benefit of, any Affiliate of the Borrower (each of the foregoing, an “</w:t>
      </w:r>
      <w:r>
        <w:rPr>
          <w:rFonts w:ascii="Times New Roman" w:hAnsi="Times New Roman"/>
          <w:i/>
          <w:sz w:val="20"/>
        </w:rPr>
        <w:t>Affiliate Transaction</w:t>
      </w:r>
      <w:r>
        <w:rPr>
          <w:rFonts w:ascii="Times New Roman" w:hAnsi="Times New Roman"/>
          <w:sz w:val="20"/>
        </w:rPr>
        <w:t xml:space="preserve">”) involving aggregate payments or consideration in excess of $35,000,000, unless: </w:t>
      </w:r>
    </w:p>
    <w:p>
      <w:pPr>
        <w:pStyle w:val="TextBody"/>
        <w:bidi w:val="0"/>
        <w:spacing w:before="120" w:after="0"/>
        <w:jc w:val="left"/>
        <w:rPr>
          <w:rFonts w:ascii="Times New Roman" w:hAnsi="Times New Roman"/>
          <w:sz w:val="20"/>
        </w:rPr>
      </w:pPr>
      <w:r>
        <w:rPr>
          <w:rFonts w:ascii="Times New Roman" w:hAnsi="Times New Roman"/>
          <w:sz w:val="20"/>
        </w:rPr>
        <w:t xml:space="preserve">(1) such Affiliate Transaction is on terms that are not materially less favorable to the Borrower or its relevant Restricted Subsidiary than those that would have been obtained in a comparable transaction by the Borrower or such Restricted Subsidiary with an unrelated Person on an arm’s-length basis; and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delivers to the Administrative Agent with respect to any Affiliate Transaction or series of related Affiliate Transactions involving aggregate payments or consideration in excess of $75,000,000, a resolution adopted by the majority of the board of directors of the Borrower approving such Affiliate Transaction and set forth in an Officer’s Certificate certifying that such Affiliate Transaction complies with clause (1) above. </w:t>
      </w:r>
    </w:p>
    <w:p>
      <w:pPr>
        <w:pStyle w:val="TextBody"/>
        <w:bidi w:val="0"/>
        <w:spacing w:before="240" w:after="0"/>
        <w:jc w:val="left"/>
        <w:rPr>
          <w:rFonts w:ascii="Times New Roman" w:hAnsi="Times New Roman"/>
          <w:sz w:val="20"/>
        </w:rPr>
      </w:pPr>
      <w:r>
        <w:rPr>
          <w:rFonts w:ascii="Times New Roman" w:hAnsi="Times New Roman"/>
          <w:sz w:val="20"/>
        </w:rPr>
        <w:t xml:space="preserve">(i) The provisions of Section 4.11(a) hereof will not apply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transactions between or among Holdings, the Borrower or any Restricted Subsidiary or any entity that becomes a Restricted Subsidiary as a result of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(2) Restricted Payments permitted by the provisions of Section 4.07 hereof and Permitted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[reserved]; </w:t>
      </w:r>
    </w:p>
    <w:p>
      <w:pPr>
        <w:pStyle w:val="TextBody"/>
        <w:bidi w:val="0"/>
        <w:spacing w:before="120" w:after="0"/>
        <w:jc w:val="left"/>
        <w:rPr>
          <w:rFonts w:ascii="Times New Roman" w:hAnsi="Times New Roman"/>
          <w:sz w:val="20"/>
        </w:rPr>
      </w:pPr>
      <w:r>
        <w:rPr>
          <w:rFonts w:ascii="Times New Roman" w:hAnsi="Times New Roman"/>
          <w:sz w:val="20"/>
        </w:rPr>
        <w:t xml:space="preserve">(4) the payment of reasonable and customary fees and compensation paid to, and indemnities and reimbursements and employment and severance arrangements provided on behalf of or for the benefit of, current or former employees, directors, officers, managers, distributors or consultants of the Borrower, any of its direct or indirect parent companies or any of its Restricted Subsidiaries (to the extent attributable to the ownership of the Borrower and its Restricted Subsidiaries and related activities); </w:t>
      </w:r>
    </w:p>
    <w:p>
      <w:pPr>
        <w:pStyle w:val="TextBody"/>
        <w:bidi w:val="0"/>
        <w:spacing w:before="120" w:after="0"/>
        <w:jc w:val="left"/>
        <w:rPr>
          <w:rFonts w:ascii="Times New Roman" w:hAnsi="Times New Roman"/>
          <w:sz w:val="20"/>
        </w:rPr>
      </w:pPr>
      <w:r>
        <w:rPr>
          <w:rFonts w:ascii="Times New Roman" w:hAnsi="Times New Roman"/>
          <w:sz w:val="20"/>
        </w:rPr>
        <w:t xml:space="preserve">(5) transactions in which the Borrower or any of its Restricted Subsidiaries, as the case may be, delivers to the Administrative Agent a letter from an Independent Financial Advisor stating that such transaction is fair to the Borrower or such Restricted Subsidiary from a financial point of view or stating that the terms are not materially less favorable to the Borrower or its relevant Restricted Subsidiary than those that would have been obtained in a comparable transaction by the Borrower or such Restricted Subsidiary with an unrelated Person on an arm’s-length basis; </w:t>
      </w:r>
    </w:p>
    <w:p>
      <w:pPr>
        <w:pStyle w:val="TextBody"/>
        <w:bidi w:val="0"/>
        <w:spacing w:before="120" w:after="0"/>
        <w:jc w:val="left"/>
        <w:rPr>
          <w:rFonts w:ascii="Times New Roman" w:hAnsi="Times New Roman"/>
          <w:sz w:val="20"/>
        </w:rPr>
      </w:pPr>
      <w:r>
        <w:rPr>
          <w:rFonts w:ascii="Times New Roman" w:hAnsi="Times New Roman"/>
          <w:sz w:val="20"/>
        </w:rPr>
        <w:t xml:space="preserve">(6) any agreement as in effect as of the Closing Date, or any amendment thereto or replacement thereof (so long as any such amendment or replacement is not disadvantageous in any material respect in the good faith judgment of the board of directors of the Borrower to the Lender when taken as a whole as compared to the applicable agreement as in effect on the Closing Date) and any agreement with Headquarters SPV similar to the one in effect on the Closing Date entered into in connection with the refinancing or replacement of the Headquarters Financing; </w:t>
      </w:r>
    </w:p>
    <w:p>
      <w:pPr>
        <w:pStyle w:val="TextBody"/>
        <w:bidi w:val="0"/>
        <w:spacing w:before="120" w:after="0"/>
        <w:jc w:val="left"/>
        <w:rPr>
          <w:rFonts w:ascii="Times New Roman" w:hAnsi="Times New Roman"/>
          <w:sz w:val="20"/>
        </w:rPr>
      </w:pPr>
      <w:r>
        <w:rPr>
          <w:rFonts w:ascii="Times New Roman" w:hAnsi="Times New Roman"/>
          <w:sz w:val="20"/>
        </w:rPr>
        <w:t xml:space="preserve">(7) the existence of, or the performance by the Borrower or any of its Restricted Subsidiaries of its obligations under the terms of, any stockholders agreement (including any registration rights agreement or purchase agreement related thereto) to which it is a party as of the Closing Date and any similar agreements which it may enter into thereafter; </w:t>
      </w:r>
      <w:r>
        <w:rPr>
          <w:rFonts w:ascii="Times New Roman" w:hAnsi="Times New Roman"/>
          <w:i/>
          <w:sz w:val="20"/>
        </w:rPr>
        <w:t xml:space="preserve">provided </w:t>
      </w:r>
      <w:r>
        <w:rPr>
          <w:rFonts w:ascii="Times New Roman" w:hAnsi="Times New Roman"/>
          <w:sz w:val="20"/>
        </w:rPr>
        <w:t xml:space="preserve">that the existence of, or the performance by the Borrower or any of its Restricted Subsidiaries of obligations under any future amendment to any such existing agreement or under any similar agreement entered into after the Closing Date shall only be permitted by this clause (7) to the extent that the terms of any such amendment or new agreement are not otherwise disadvantageous in any material respect to the Lender or otherwise customary, in the good faith judgment of the board of directors of the Borrower when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(8) transactions with customers, clients, suppliers, contractors, joint venture partners or purchasers or sellers of goods or services that are Affiliates, in each case in the ordinary course of business and otherwise in compliance with the terms of this Agreement which are fair to the Borrower and its Restricted Subsidiaries, in the reasonable determination of the board of directors of the Borrower or the senior management thereof, or are on terms at least as favorable as might reasonably have been obtained at such time from an unaffiliated party; </w:t>
      </w:r>
    </w:p>
    <w:p>
      <w:pPr>
        <w:pStyle w:val="TextBody"/>
        <w:bidi w:val="0"/>
        <w:spacing w:before="120" w:after="0"/>
        <w:jc w:val="left"/>
        <w:rPr>
          <w:rFonts w:ascii="Times New Roman" w:hAnsi="Times New Roman"/>
          <w:sz w:val="20"/>
        </w:rPr>
      </w:pPr>
      <w:r>
        <w:rPr>
          <w:rFonts w:ascii="Times New Roman" w:hAnsi="Times New Roman"/>
          <w:sz w:val="20"/>
        </w:rPr>
        <w:t xml:space="preserve">(9) transactions with a Person (other than an Unrestricted Subsidiary) that is an Affiliate of the Borrower solely because the Borrower owns, directly or indirectly through an Unrestricted Subsidiary, an Equity Interest in or controls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the issuance of Equity Interests (other than Disqualified Stock) of the Borrower to any direct or indirect parent company of the Borrower or to any Permitted Holder or to any employee, director, officer, manager, distributor or consultant (or their respective Controlled Investment Affiliates or Immediate Family Members) of the Borrower, any of its direct or indirect parent companies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(11) transfers of accounts receivable, or participations therein, or Securitization Assets or related assets in connection with any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(12) [reserved]; </w:t>
      </w:r>
    </w:p>
    <w:p>
      <w:pPr>
        <w:pStyle w:val="TextBody"/>
        <w:bidi w:val="0"/>
        <w:spacing w:before="120" w:after="0"/>
        <w:jc w:val="left"/>
        <w:rPr>
          <w:rFonts w:ascii="Times New Roman" w:hAnsi="Times New Roman"/>
          <w:sz w:val="20"/>
        </w:rPr>
      </w:pPr>
      <w:r>
        <w:rPr>
          <w:rFonts w:ascii="Times New Roman" w:hAnsi="Times New Roman"/>
          <w:sz w:val="20"/>
        </w:rPr>
        <w:t xml:space="preserve">(13) payments, Indebtedness and Disqualified Stock (and cancellation of any thereof) of the Borrower and its Restricted Subsidiaries and Preferred Stock (and cancellation of any thereof) of any Restricted Subsidiary to any future, current or former employee, director, officer, manager or consultant (or their respective Controlled Investment Affiliates or Immediate Family Members) of the Borrower, any of its Subsidiaries or any of its direct or indirect parent companies pursuant to any management equity plan or stock option plan or any other management or employee benefit plan or agreement or any stock subscription or shareholder agreement; and any employment agreements, stock option plans and other compensatory arrangements (and any successor plans thereto) and any supplemental executive retirement benefit plans or arrangements with any such employees, directors, officers, managers or consultants (or their respective Controlled Investment Affiliates or Immediate Family Members) that are, in each case, approved by the board of directors of the Borrower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(14) [reserved]; </w:t>
      </w:r>
    </w:p>
    <w:p>
      <w:pPr>
        <w:pStyle w:val="TextBody"/>
        <w:bidi w:val="0"/>
        <w:spacing w:before="120" w:after="0"/>
        <w:jc w:val="left"/>
        <w:rPr>
          <w:rFonts w:ascii="Times New Roman" w:hAnsi="Times New Roman"/>
          <w:sz w:val="20"/>
        </w:rPr>
      </w:pPr>
      <w:r>
        <w:rPr>
          <w:rFonts w:ascii="Times New Roman" w:hAnsi="Times New Roman"/>
          <w:sz w:val="20"/>
        </w:rPr>
        <w:t xml:space="preserve">(15) payments to or from, and transactions with, any joint venture in the ordinary course of business (including, without limitation, any cash management activities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(16) (a) tax sharing agreements among one or more of the Borrower, the Borrower’s Subsidiaries, the Borrower’s direct or indirect parent and such parent’s other Subsidiaries and payments thereunder by the Borrower and its Subsidiaries on customary terms to the extent attributable to the ownership and operations of the Borrower and its Subsidiaries and (b) transactions undertaken in good faith (as certified by the Borrower in an Officer’s Certificate) for the purposes of improving the consolidated tax efficiency of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(17) any lease or sublease entered into between the Borrower or any Restricted Subsidiary, as lessee or sublessee and any Affiliate of the Borrower, as lessor or sublessor, which is approved by a majority of the disinterested members of the board of directors of the Borrower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(18) intellectual property licenses or sublicenses (including the provision of software under an open-source license)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(19) any transition services arrangement, supply arrangement or similar arrangement entered into in connection with or in contemplation of the disposition of assets or Equity Interests in any Restricted Subsidiary permitted under Section 4.10 or entered into with any Business Successor, in each case, that the Borrower determines in good faith is either fair to the Borrower or otherwise on customary terms for such type of arrangements in connection with similar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4.12 </w:t>
      </w:r>
      <w:r>
        <w:rPr>
          <w:rFonts w:ascii="Times New Roman" w:hAnsi="Times New Roman"/>
          <w:i/>
          <w:sz w:val="20"/>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not, and will not permit any Subsidiary Guarantor to, directly or indirectly, create, incur, assume or permit to exist any Lien (except Permitted Liens) that secures Obligations under any Indebtedness or any related guarantee of Indebtedness, upon any asset or property of the Borrower or any Subsidiary Guarantor, whether now owned or hereafter acquired.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i/>
          <w:sz w:val="20"/>
        </w:rPr>
        <w:t>Limitation on Holdings.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Holdings shall not conduct, transact or otherwise engage in any business or operations other than (i) those incidental to its ownership of the Equity Interests of the Borrower, (ii) the maintenance of its legal existence and general operating (including the ability to incur fees, costs and expenses relating to such maintenance and general operating including professional fees for legal, tax and accounting issues), (iii) the performance of its obligations, including the incurrence, and performance in respect, of guarantees and other liabilities, with respect to the Term Loan, the Secured Notes, the Senior Credit Facilities, any subordinated notes or any Qualified Holding Company Debt, (iv) any public offering of its common stock or any other issuance of its Equity Interests or any corporate transaction permitted under this Agreement, (v) financing activities, including, without limitation, Credit Facilities, the issuance of securities, incurrence of debt, payment of dividends, making contributions to the capital of its Subsidiaries and guaranteeing any Indebtedness, liabilities or other obligations of its Subsidiaries or its direct or indirect parent companies and the performance of its obligations with respect thereto, (vi) participating in tax, accounting and other administrative matters as a member of the consolidated group of Holdings and the Borrower or any direct or indirect parent of Holdings and its Subsidiaries, (vii) holding any cash or property received in connection with Restricted Payments made by the Borrower in accordance with under Section 4.07 hereof pending application thereof by Holdings, (viii) providing indemnification to officers and directors, (ix) conducting, transacting or otherwise engaging in any business or operations of the type that it conducts, transacts or engages in on the Closing Date, (x) any transaction that Holdings is permitted to enter into or consummate under this Agreement and any transaction between Holdings and the Borrower or any Restricted Subsidiary permitted under this Agreement, including: (1) making any dividend or distribution or other transaction similar to a Restricted Payment not prohibited under Section 4.07 hereof (or the making of a loan to any direct or indirect parent of Holdings in lieu of any such dividend or distribution or other transaction similar to a Restricted Payment) or holding any cash received in connection with Restricted Payments made by the Borrower permitted under this Agreement pending application thereof by Holdings, (2) making any Investment to the extent (A) payment therefor is made solely with the Equity Interests of Holdings (other than Disqualified Stock), the proceeds of Restricted Payments received from the Borrower and/or proceeds of the issuance of, or contribution in respect of the, Equity Interests (other than Disqualified Stock) of Holdings and (B) any property (including Equity Interests ) acquired in connection therewith is contributed to the Borrower or a Subsidiary Guarantor (or, if otherwise permitted by this Agreement, a Restricted Subsidiary) or the Person formed or acquired in connection therewith is merged with the Borrower or a Restricted Subsidiary, (3) the (A) incurrence of Indebtedness of Holdings representing deferred compensation to employees, consultants or independent contractors of Holdings and unsecured Indebtedness consisting of promissory notes issued by the Borrower or any Subsidiary Guarantor to current or former officers, managers, consultants,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and employees (or their respective Controlled Investment Affiliates or Immediate Family Members) to finance the retirement, acquisition, repurchase, purchase or redemption of Equity Interests of Holdings, and (B) granting of Liens to the extent the Indebtedness secured thereby is permitted to be secured under clauses (20) and (40) under the definition of “Permitted Liens”, and (4) engaging in any consolidation, amalgamation or merger or sale, assignment, transfer, lease, conveyance or other disposition of all or substantially all of its consolidated properties or assets to the extent permitted under Article V hereof and (xi) activities incidental to the businesses or activities described in the foregoing clauses (i) through (x); provided that, notwithstanding the foregoing, Holdings shall not create or acquire (by way of merger, consolidation or otherwise) any material direct Subsidiaries, other than the Borrower or any holding company for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i/>
          <w:sz w:val="20"/>
        </w:rPr>
        <w:t>Corporate 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Article V hereof, Holdings and the Borrower shall do or cause to be done all things necessary to preserve and keep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 its corporate existence, and the corporate, partnership or other existence of each of its Subsidiaries, in accordance with the respective organizational documents (as the same may be amended from time to time) of Holdings, the Borrower or any such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(2) the rights (charter and statutory), licenses and franchises of Holdings, the Borrower and its Subsidiaries;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in the case clauses (1) and (2) above, that neither Holdings nor the Borrower shall be required to preserve any such right, license or franchise, or the corporate, partnership or other existence of any of its Subsidiaries, if Holdings or the Borrower shall determine that the preservation thereof is no longer desirable in the conduct of the business of Holdings, the Borrower and their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i/>
          <w:sz w:val="20"/>
        </w:rPr>
        <w:t>Offer to Repurchase Upon Change of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occurrence of a Change of Control, unless the Borrower has previously or concurrently delivered a repayment notice with respect to all the outstanding Term Loan as described under Section 3.07 hereof and all conditions precedent applicable to such repayment notice have been satisfied, the Borrower will make an offer to repay the entire outstanding amount of the Term Loan pursuant to the offer described below (the “</w:t>
      </w:r>
      <w:r>
        <w:rPr>
          <w:rFonts w:ascii="Times New Roman" w:hAnsi="Times New Roman"/>
          <w:i/>
          <w:sz w:val="20"/>
        </w:rPr>
        <w:t>Change of Control Offer</w:t>
      </w:r>
      <w:r>
        <w:rPr>
          <w:rFonts w:ascii="Times New Roman" w:hAnsi="Times New Roman"/>
          <w:sz w:val="20"/>
        </w:rPr>
        <w:t>”) at a price in cash (the “</w:t>
      </w:r>
      <w:r>
        <w:rPr>
          <w:rFonts w:ascii="Times New Roman" w:hAnsi="Times New Roman"/>
          <w:i/>
          <w:sz w:val="20"/>
        </w:rPr>
        <w:t>Change of Control Payment</w:t>
      </w:r>
      <w:r>
        <w:rPr>
          <w:rFonts w:ascii="Times New Roman" w:hAnsi="Times New Roman"/>
          <w:sz w:val="20"/>
        </w:rPr>
        <w:t xml:space="preserve">”) equal to 101% of the aggregate principal amount thereof plus accrued and unpaid interest, if any, to the date of repayment. Within 30 days following any Change of Control, the Borrower will deliver notice of such Change of Control Offer by electronic transmission or by first-class mail (provided that any such first-class mail shall be supplemented with a contemporaneous copy sent via email in accordance with Section 13.01), with a copy to the Administrative Agent, to the Lender’ Lending Office or otherwise in accordance with applicable procedures, with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Offer is being made pursuant to this Section 4.15 and that the Borrower offers to repay the full then outstanding principal amount of the Term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the purchase price and the purchase date, which will be no earlier than 10 days nor later than 60 days from the date such notice is delivered (the “</w:t>
      </w:r>
      <w:r>
        <w:rPr>
          <w:rFonts w:ascii="Times New Roman" w:hAnsi="Times New Roman"/>
          <w:i/>
          <w:sz w:val="20"/>
        </w:rPr>
        <w:t>Change of Control Payment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that any portion of the Term Loan not repaid pursuant to the Change of Control Offer will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Borrower defaults in making such payment of the Change of Control Payment, the portion of the Term Loan accepted for repayment pursuant to the Change of Control Offer will cease to accrue interest on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[reserved]; </w:t>
      </w:r>
    </w:p>
    <w:p>
      <w:pPr>
        <w:pStyle w:val="TextBody"/>
        <w:bidi w:val="0"/>
        <w:spacing w:before="120" w:after="0"/>
        <w:jc w:val="left"/>
        <w:rPr>
          <w:rFonts w:ascii="Times New Roman" w:hAnsi="Times New Roman"/>
          <w:sz w:val="20"/>
        </w:rPr>
      </w:pPr>
      <w:r>
        <w:rPr>
          <w:rFonts w:ascii="Times New Roman" w:hAnsi="Times New Roman"/>
          <w:sz w:val="20"/>
        </w:rPr>
        <w:t xml:space="preserve">(6) [reserved]; </w:t>
      </w:r>
    </w:p>
    <w:p>
      <w:pPr>
        <w:pStyle w:val="TextBody"/>
        <w:bidi w:val="0"/>
        <w:spacing w:before="120" w:after="0"/>
        <w:jc w:val="left"/>
        <w:rPr>
          <w:rFonts w:ascii="Times New Roman" w:hAnsi="Times New Roman"/>
          <w:sz w:val="20"/>
        </w:rPr>
      </w:pPr>
      <w:r>
        <w:rPr>
          <w:rFonts w:ascii="Times New Roman" w:hAnsi="Times New Roman"/>
          <w:sz w:val="20"/>
        </w:rPr>
        <w:t xml:space="preserve">(7) [reserved]; </w:t>
      </w:r>
    </w:p>
    <w:p>
      <w:pPr>
        <w:pStyle w:val="TextBody"/>
        <w:bidi w:val="0"/>
        <w:spacing w:before="120" w:after="0"/>
        <w:jc w:val="left"/>
        <w:rPr>
          <w:rFonts w:ascii="Times New Roman" w:hAnsi="Times New Roman"/>
          <w:sz w:val="20"/>
        </w:rPr>
      </w:pPr>
      <w:r>
        <w:rPr>
          <w:rFonts w:ascii="Times New Roman" w:hAnsi="Times New Roman"/>
          <w:sz w:val="20"/>
        </w:rPr>
        <w:t xml:space="preserve">(8) if such notice is delivered prior to the occurrence of a Change of Control, stating that the Change of Control Offer is conditional on the occurrence of such Change of Control; and </w:t>
      </w:r>
    </w:p>
    <w:p>
      <w:pPr>
        <w:pStyle w:val="TextBody"/>
        <w:bidi w:val="0"/>
        <w:spacing w:before="120" w:after="0"/>
        <w:jc w:val="left"/>
        <w:rPr>
          <w:rFonts w:ascii="Times New Roman" w:hAnsi="Times New Roman"/>
          <w:sz w:val="20"/>
        </w:rPr>
      </w:pPr>
      <w:r>
        <w:rPr>
          <w:rFonts w:ascii="Times New Roman" w:hAnsi="Times New Roman"/>
          <w:sz w:val="20"/>
        </w:rPr>
        <w:t xml:space="preserve">(9) the other instructions, as determined by the Borrower, consistent with this Section 4.15, that the Lender must follow.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On the Change of Control Payment Date, the Borrower will, to the extent permitted by law, repay the Term Loan or portions thereof (based on the tendered amounts of the Lender Notes) accepted for repayment pursuant to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promptly (but in any case not later than five days after the Change of Control Payment Date) pay the Administrative Agent, for the account of the Lender, the Change of Control Payment. The Borrower shall notify the Administrative Agent in writing of any repayment of Term Loans being made pursuant to this Section 4.15 by no later than 11:00 a.m., New York City time, at least one Business Day prior to the date of such repayment. Each such notice shall specify the date of such repayment and provide the amount of such repayment. The Borrower will publicly announce the results of the Change of Control Offer on or as soon as practicable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will not be required to make a Change of Control Offer following a Change of Control if a third party makes the Change of Control Offer in the manner, at the times and otherwise in compliance with the requirements set forth in this Agreement applicable to a Change of Control Offer made by the Borrower and repay the Term Loan or portions thereof accepted for repayment.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a Change of Control Offer may be made in advance of a Change of Control, conditional upon such Change of Control, if a definitive agreement is in place for the Change of Control at the time of making of the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4.16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i/>
          <w:sz w:val="20"/>
        </w:rPr>
        <w:t>Limitation on Guarantees of Indebtedness by 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not permit any of its Restricted Subsidiaries, other than a Subsidiary Guarantor, or a Securitization Subsidiary, to guarantee the payment of any Indebtedness of the Borrower or any other Guarantor under the Senior Credit Facilities, any Additional First Lien Obligations, any Junior Lien Obligations or, if the Senior Credit Facilities cease to be outstanding, any capital markets debt securities of the Borrower or any Guarantor, unless such Restricted Subsidiary within 30 days executes and delivers a joinder or supplement to this Agreement (in form and substance reasonably satisfactory to the Administrative Agent and the Lender) providing for a Guarantee by such Restricted Subsidiary (and any corresponding joinders to the Security Documents or new Security Documents as may be required by the terms hereof and thereof). The Borrower may elect, in its sole discretion, to cause any Subsidiary that is not otherwise required to be a Guarantor to become a Guarantor, in which case such Subsidiary shall not be required to comply with the 30 day period described above.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Merger, Consolidation or Sale of All or Substantially All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may not consolidate or merge with or into or wind up into (whether or not the Borrower is the surviving Person), or sell, assign, transfer, lease, convey or otherwise dispose of all or substantially all of its consolidated properties or assets taken as a whole, in one or more related transactions, to any Person unless: </w:t>
      </w:r>
    </w:p>
    <w:p>
      <w:pPr>
        <w:pStyle w:val="TextBody"/>
        <w:bidi w:val="0"/>
        <w:spacing w:before="120" w:after="0"/>
        <w:jc w:val="left"/>
        <w:rPr>
          <w:rFonts w:ascii="Times New Roman" w:hAnsi="Times New Roman"/>
          <w:sz w:val="20"/>
        </w:rPr>
      </w:pPr>
      <w:r>
        <w:rPr>
          <w:rFonts w:ascii="Times New Roman" w:hAnsi="Times New Roman"/>
          <w:sz w:val="20"/>
        </w:rPr>
        <w:t>(1) the Borrower is the surviving Person or the Person formed by or surviving any such consolidation, amalgamation or merger (if other than the Borrower) or to which such sale, assignment, transfer, lease, conveyance or other disposition will have been made, is a Person organized or existing under the laws of the United States, any state thereof, the District of Columbia, or any territory thereof (such Person, as the case may be, being herein called the “</w:t>
      </w:r>
      <w:r>
        <w:rPr>
          <w:rFonts w:ascii="Times New Roman" w:hAnsi="Times New Roman"/>
          <w:i/>
          <w:sz w:val="20"/>
        </w:rPr>
        <w:t>Successor Company</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in the case where the surviving Person is not a corporation, a co-obligor of the Term Loan is a corporation; </w:t>
      </w:r>
    </w:p>
    <w:p>
      <w:pPr>
        <w:pStyle w:val="TextBody"/>
        <w:bidi w:val="0"/>
        <w:spacing w:before="120" w:after="0"/>
        <w:jc w:val="left"/>
        <w:rPr>
          <w:rFonts w:ascii="Times New Roman" w:hAnsi="Times New Roman"/>
          <w:sz w:val="20"/>
        </w:rPr>
      </w:pPr>
      <w:r>
        <w:rPr>
          <w:rFonts w:ascii="Times New Roman" w:hAnsi="Times New Roman"/>
          <w:sz w:val="20"/>
        </w:rPr>
        <w:t xml:space="preserve">(2) the Successor Company, if other than the Borrower, expressly assumes all the obligations of the Borrower under the Term Loan and the Security Documents pursuant to joinders or other documents or instruments (in form and substance satisfactory to the Administrative Agent and the Lender);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such transaction, no Default exists; </w:t>
      </w:r>
    </w:p>
    <w:p>
      <w:pPr>
        <w:pStyle w:val="TextBody"/>
        <w:bidi w:val="0"/>
        <w:spacing w:before="120" w:after="0"/>
        <w:jc w:val="left"/>
        <w:rPr>
          <w:rFonts w:ascii="Times New Roman" w:hAnsi="Times New Roman"/>
          <w:sz w:val="20"/>
        </w:rPr>
      </w:pPr>
      <w:r>
        <w:rPr>
          <w:rFonts w:ascii="Times New Roman" w:hAnsi="Times New Roman"/>
          <w:sz w:val="20"/>
        </w:rPr>
        <w:t xml:space="preserve">(4) immediately after giving </w:t>
      </w:r>
      <w:r>
        <w:rPr>
          <w:rFonts w:ascii="Times New Roman" w:hAnsi="Times New Roman"/>
          <w:i/>
          <w:sz w:val="20"/>
        </w:rPr>
        <w:t xml:space="preserve">pro forma </w:t>
      </w:r>
      <w:r>
        <w:rPr>
          <w:rFonts w:ascii="Times New Roman" w:hAnsi="Times New Roman"/>
          <w:sz w:val="20"/>
        </w:rPr>
        <w:t xml:space="preserve">effect to such transaction and any related financing transactions, as if such transactions had occurred at the beginning of the applicable four-quarter period, </w:t>
      </w:r>
    </w:p>
    <w:p>
      <w:pPr>
        <w:pStyle w:val="TextBody"/>
        <w:bidi w:val="0"/>
        <w:spacing w:before="120" w:after="0"/>
        <w:jc w:val="left"/>
        <w:rPr>
          <w:rFonts w:ascii="Times New Roman" w:hAnsi="Times New Roman"/>
          <w:sz w:val="20"/>
        </w:rPr>
      </w:pPr>
      <w:r>
        <w:rPr>
          <w:rFonts w:ascii="Times New Roman" w:hAnsi="Times New Roman"/>
          <w:sz w:val="20"/>
        </w:rPr>
        <w:t xml:space="preserve">(A) the Successor Company or the Borrower would be permitted to incur at least $1.00 of additional Indebtedness pursuant to the Fixed Charge Coverage Test,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Fixed Charge Coverage Ratio for the Borrower would be greater than the Fixed Charge Coverage Ratio for the Borrower immediately prior to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(5) each Guarantor, unless it is a Subsidiary Guarantor that is the other party to the transactions described above, in which case clause (1) of Section 5.01(b) hereof shall apply, shall have by joinder or supplement to this Agreement (in form and substance reasonably satisfactory to the Administrative Agent and the Lender) confirmed that its Guarantee shall apply to such Person’s obligations under this Agreement, the other Loan Documents, the Term Loan and the Security Documents; and </w:t>
      </w:r>
    </w:p>
    <w:p>
      <w:pPr>
        <w:pStyle w:val="TextBody"/>
        <w:bidi w:val="0"/>
        <w:spacing w:before="120" w:after="0"/>
        <w:jc w:val="left"/>
        <w:rPr>
          <w:rFonts w:ascii="Times New Roman" w:hAnsi="Times New Roman"/>
          <w:sz w:val="20"/>
        </w:rPr>
      </w:pPr>
      <w:r>
        <w:rPr>
          <w:rFonts w:ascii="Times New Roman" w:hAnsi="Times New Roman"/>
          <w:sz w:val="20"/>
        </w:rPr>
        <w:t xml:space="preserve">(6) the Borrower shall have delivered to the Administrative Agent an Officer’s Certificate and an Opinion of Counsel, each stating that such consolidation, merger, amalgamation or transfer and such joinders, if any, comply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Successor Company will succeed to, and be substituted for the Borrower under this Agreement, the other Loan Documents and the Term Loan. Notwithstanding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(1) any Restricted Subsidiary that is not a Subsidiary Guarantor may consolidate or amalgamate with or merge into or transfer all or part of its properties and assets to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any Subsidiary Guarantor may consolidate or amalgamate with or merge into or transfer all or part of its properties and assets to the Borrower or a Subsidiary Guarantor (or to a Restricted Subsidiary if that Restricted Subsidiary becomes a Subsidiary Guarantor); and </w:t>
      </w:r>
    </w:p>
    <w:p>
      <w:pPr>
        <w:pStyle w:val="TextBody"/>
        <w:bidi w:val="0"/>
        <w:spacing w:before="120" w:after="0"/>
        <w:jc w:val="left"/>
        <w:rPr>
          <w:rFonts w:ascii="Times New Roman" w:hAnsi="Times New Roman"/>
          <w:sz w:val="20"/>
        </w:rPr>
      </w:pPr>
      <w:r>
        <w:rPr>
          <w:rFonts w:ascii="Times New Roman" w:hAnsi="Times New Roman"/>
          <w:sz w:val="20"/>
        </w:rPr>
        <w:t xml:space="preserve">(3) the Borrower may transfer all or part of its property or assets to a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clauses (3) and (4) of Section 5.01(a) hereof, </w:t>
      </w:r>
    </w:p>
    <w:p>
      <w:pPr>
        <w:pStyle w:val="TextBody"/>
        <w:bidi w:val="0"/>
        <w:spacing w:before="120" w:after="0"/>
        <w:jc w:val="left"/>
        <w:rPr>
          <w:rFonts w:ascii="Times New Roman" w:hAnsi="Times New Roman"/>
          <w:sz w:val="20"/>
        </w:rPr>
      </w:pPr>
      <w:r>
        <w:rPr>
          <w:rFonts w:ascii="Times New Roman" w:hAnsi="Times New Roman"/>
          <w:sz w:val="20"/>
        </w:rPr>
        <w:t xml:space="preserve">(4) the Borrower may merge with an Affiliate of the Borrower solely for the purpose of reincorporating the Borrower in the United States, the District of Columbia or any territory thereof so long as the amount of Indebtedness of the Borrower and its Restricted Subsidiaries is not increased thereby; and </w:t>
      </w:r>
    </w:p>
    <w:p>
      <w:pPr>
        <w:pStyle w:val="TextBody"/>
        <w:bidi w:val="0"/>
        <w:spacing w:before="120" w:after="0"/>
        <w:jc w:val="left"/>
        <w:rPr>
          <w:rFonts w:ascii="Times New Roman" w:hAnsi="Times New Roman"/>
          <w:sz w:val="20"/>
        </w:rPr>
      </w:pPr>
      <w:r>
        <w:rPr>
          <w:rFonts w:ascii="Times New Roman" w:hAnsi="Times New Roman"/>
          <w:sz w:val="20"/>
        </w:rPr>
        <w:t xml:space="preserve">(5) Holdings may consolidate or amalgamate with or merge into the Borrower; </w:t>
      </w:r>
      <w:r>
        <w:rPr>
          <w:rFonts w:ascii="Times New Roman" w:hAnsi="Times New Roman"/>
          <w:i/>
          <w:sz w:val="20"/>
        </w:rPr>
        <w:t xml:space="preserve">provided </w:t>
      </w:r>
      <w:r>
        <w:rPr>
          <w:rFonts w:ascii="Times New Roman" w:hAnsi="Times New Roman"/>
          <w:sz w:val="20"/>
        </w:rPr>
        <w:t xml:space="preserve">that if the Borrower has a new direct holding company parent following such consolidation, amalgamation or consolidation that guarantees the Senior Credit Facilities, such parent company will, within 30 days of such guarantee, become a guarantor of the Term Loan on the same terms as Holdings.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connection with any transaction under this Section 5.01 in which the Successor Company is not the Borrower, prior to the effectiveness thereof, the Administrative Agent shall have received all documentation and other information with respect to such Successor Company required by regulatory authorities under applicable “know your customer” and anti-money laundering rules and regulations, including without limitation the USA PATRIOT Act, reasonably requested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sale, assignment, transfer, lease, conveyance or other disposition of all or substantially all of the properties or assets of the Borrower in a transaction that is subject to, and that complies with the provisions of, Section 5.01 hereof, the successor Person formed by such consolidation or into or with which the Borrower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the “Borrower” shall refer instead to the successor Person and not to the Borrower), and may exercise every right and power of the Borrower under this Agreement and the other Loan Documents with the same effect as if such successor Person had been named as the Borrower herein; </w:t>
      </w:r>
      <w:r>
        <w:rPr>
          <w:rFonts w:ascii="Times New Roman" w:hAnsi="Times New Roman"/>
          <w:i/>
          <w:sz w:val="20"/>
        </w:rPr>
        <w:t>provided, however</w:t>
      </w:r>
      <w:r>
        <w:rPr>
          <w:rFonts w:ascii="Times New Roman" w:hAnsi="Times New Roman"/>
          <w:sz w:val="20"/>
        </w:rPr>
        <w:t xml:space="preserve">, that the predecessor Borrower shall not be relieved from the obligation to pay the principal of, premium on, if any, interest, if any, on, the Term Loan except in the case of a sale of all of the Borrower’s assets in a transaction that is subject to, and that complies with the provisions of, Section 5.01 hereof. Notwithstanding the foregoing, in connection with any transaction under this Section 5.02 in which the Borrower ceases to be the “Borrower” hereunder, prior to the effectiveness thereof, the Administrative Agent shall have received all documentation and other information with respect to such successor Borrower required by regulatory authorities under applicable “know your customer” and anti-money laundering rules and regulations, including without limitation the USA PATRIOT Act, reasonably requested by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the following is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default in payment when due and payable, upon maturity, repayment, acceleration or otherwise, of principal of, or premium, if any, on the Term Loan; </w:t>
      </w:r>
    </w:p>
    <w:p>
      <w:pPr>
        <w:pStyle w:val="TextBody"/>
        <w:bidi w:val="0"/>
        <w:spacing w:before="120" w:after="0"/>
        <w:jc w:val="left"/>
        <w:rPr>
          <w:rFonts w:ascii="Times New Roman" w:hAnsi="Times New Roman"/>
          <w:sz w:val="20"/>
        </w:rPr>
      </w:pPr>
      <w:r>
        <w:rPr>
          <w:rFonts w:ascii="Times New Roman" w:hAnsi="Times New Roman"/>
          <w:sz w:val="20"/>
        </w:rPr>
        <w:t xml:space="preserve">(2) default for 30 days or more in the payment when due of interest on or with respect to the Term Loan; </w:t>
      </w:r>
    </w:p>
    <w:p>
      <w:pPr>
        <w:pStyle w:val="TextBody"/>
        <w:bidi w:val="0"/>
        <w:spacing w:before="120" w:after="0"/>
        <w:jc w:val="left"/>
        <w:rPr>
          <w:rFonts w:ascii="Times New Roman" w:hAnsi="Times New Roman"/>
          <w:sz w:val="20"/>
        </w:rPr>
      </w:pPr>
      <w:r>
        <w:rPr>
          <w:rFonts w:ascii="Times New Roman" w:hAnsi="Times New Roman"/>
          <w:sz w:val="20"/>
        </w:rPr>
        <w:t xml:space="preserve">(3) failure by Holdings, the Borrower or any Guarantor for 60 days after receipt of written notice given by the Administrative Agent, the Lender or the holders of not less than 30% in principal amount of the then outstanding Lender Notes, through the Lender Notes Trustee, to comply with any of its obligations, covenants or agreements (other than a default referred to in clause (1) or (2) of this Section 6.01) contained in this Agreement, the Loan Documents or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(4) default under any mortgage, indenture or instrument under which there is issued or by which there is secured or evidenced any Indebtedness for money borrowed by Holdings, the Borrower or any of the Borrower’s Restricted Subsidiaries or the payment of which is guaranteed by Holdings, the Borrower or any of the Borrower’s Restricted Subsidiaries, other than Indebtedness owed to the Borrower or a Restricted Subsidiary, whether such Indebtedness or guarantee now exists or is created after the Closing Date, if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 </w:t>
      </w:r>
    </w:p>
    <w:p>
      <w:pPr>
        <w:pStyle w:val="TextBody"/>
        <w:bidi w:val="0"/>
        <w:spacing w:before="120" w:after="0"/>
        <w:jc w:val="left"/>
        <w:rPr>
          <w:rFonts w:ascii="Times New Roman" w:hAnsi="Times New Roman"/>
          <w:sz w:val="20"/>
        </w:rPr>
      </w:pPr>
      <w:r>
        <w:rPr>
          <w:rFonts w:ascii="Times New Roman" w:hAnsi="Times New Roman"/>
          <w:sz w:val="20"/>
        </w:rPr>
        <w:t xml:space="preserve">(B) 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$65,000,000 or more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(5) failure by Holdings, the Borrower or any Significant Subsidiary (or any group of Restricted Subsidiaries that together (determined as of the most recent consolidated financial statements of the Borrower for a fiscal quarter end provided as required under Section 4.03 hereof would constitute a Significant Subsidiary) to pay final judgments aggregating in excess of $65,000,000 (net of amounts covered by insurance policies issued by reputable insurance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 </w:t>
      </w:r>
    </w:p>
    <w:p>
      <w:pPr>
        <w:pStyle w:val="TextBody"/>
        <w:bidi w:val="0"/>
        <w:spacing w:before="120" w:after="0"/>
        <w:jc w:val="left"/>
        <w:rPr>
          <w:rFonts w:ascii="Times New Roman" w:hAnsi="Times New Roman"/>
          <w:sz w:val="20"/>
        </w:rPr>
      </w:pPr>
      <w:r>
        <w:rPr>
          <w:rFonts w:ascii="Times New Roman" w:hAnsi="Times New Roman"/>
          <w:sz w:val="20"/>
        </w:rPr>
        <w:t xml:space="preserve">(6) the Guarantee of Holdings or any Significant Subsidiary (or any group of Restricted Subsidiaries that together (determined as of the most recent consolidated financial statements of the Borrower for a fiscal quarter end provided as required under Section 4.03 hereof) would constitute a Significant Subsidiary) shall for any reason cease to be in full force and effect or be declared null and void or any responsible officer of Holdings or any Subsidiary Guarantor that is a Significant Subsidiary (or the responsible officers of any group of Restricted Subsidiaries that together (as of the most recent consolidated financial statement of the Borrower for a fiscal quarter end) would constitute a Significant Subsidiary), as the case may be, denies in writing that it has any further liability under its Guarantee or gives written notice to such effect, other than by reason of the termination of this Agreement or the release of any such Guarantee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(7) with respect to any Collateral constituting more than $80,000,000 individually or in the aggregate, any of the Security Documents ceases to be in full force and effect, or any of the Security Documents ceases to give the Lender the Liens purported to be created thereby, or any of the Security Documents is declared null and void or Holdings, the Borrower or any Restricted Subsidiary denies in writing that it has any further liability under any Security Document or gives written notice to such effect (in each case (i) other than in accordance with the terms of this Agreement or the terms of the Senior Credit Facilities or the Security Documents, (ii) except to the extent that any such cessation of the Liens results from the failure of the administrative agent under the Senior Credit Facilities or the Applicable Authorized Representative, as the case may be, to maintain possession of certificates actually delivered to it representing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pledged under the Security Documents or to file Uniform Commercial Code continuation statements, (iii) except as to Collateral consisting of real property to the extent that such losses are covered by a lender’s title insurance policy and such insurer has not denied or failed to acknowledge coverage or (iv) unless waived by the requisite lenders under the Senior Credit Facilities if, after that waiver, the Borrower is in compliance with Article 10 hereof); </w:t>
      </w:r>
      <w:r>
        <w:rPr>
          <w:rFonts w:ascii="Times New Roman" w:hAnsi="Times New Roman"/>
          <w:i/>
          <w:sz w:val="20"/>
        </w:rPr>
        <w:t xml:space="preserve">provided </w:t>
      </w:r>
      <w:r>
        <w:rPr>
          <w:rFonts w:ascii="Times New Roman" w:hAnsi="Times New Roman"/>
          <w:sz w:val="20"/>
        </w:rPr>
        <w:t xml:space="preserve">that if a failure of the sort described in this clause (7) is susceptible of cure, no Event of Default shall arise under this clause (7) with respect thereto until 30 days after notice of such failure shall have been given to the Borrower by the Administrative Agent or the holders of at least 30% in principal amount of the then outstanding Lender Notes, through the Lender Notes Trustee, issued under this Lender Indenture; </w:t>
      </w:r>
    </w:p>
    <w:p>
      <w:pPr>
        <w:pStyle w:val="TextBody"/>
        <w:bidi w:val="0"/>
        <w:spacing w:before="120" w:after="0"/>
        <w:jc w:val="left"/>
        <w:rPr>
          <w:rFonts w:ascii="Times New Roman" w:hAnsi="Times New Roman"/>
          <w:sz w:val="20"/>
        </w:rPr>
      </w:pPr>
      <w:r>
        <w:rPr>
          <w:rFonts w:ascii="Times New Roman" w:hAnsi="Times New Roman"/>
          <w:sz w:val="20"/>
        </w:rPr>
        <w:t xml:space="preserve">(8) Holdings, the Borrower or any Significant Subsidiary (or any group of Restricted Subsidiaries that together (determined as of the most recent consolidated financial statements of the Borrower for a fiscal quarter end provided as required under Section 4.03 hereof) would constitute a Significant Subsidiary) pursuant to or within the meaning of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(D)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(E) generally is not paying its debts as they become due; </w:t>
      </w:r>
    </w:p>
    <w:p>
      <w:pPr>
        <w:pStyle w:val="TextBody"/>
        <w:bidi w:val="0"/>
        <w:spacing w:before="120" w:after="0"/>
        <w:jc w:val="left"/>
        <w:rPr>
          <w:rFonts w:ascii="Times New Roman" w:hAnsi="Times New Roman"/>
          <w:sz w:val="20"/>
        </w:rPr>
      </w:pPr>
      <w:r>
        <w:rPr>
          <w:rFonts w:ascii="Times New Roman" w:hAnsi="Times New Roman"/>
          <w:sz w:val="20"/>
        </w:rPr>
        <w:t xml:space="preserve">(9)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Holdings, the Borrower or any Significant Subsidiary (or any group of Restricted Subsidiaries that together (determined as of the most recent consolidated financial statements for a fiscal quarter end provided as required under Section 4.03 hereof) would constitute a Significant Subsidiary)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appoints a custodian of Holdings, the Borrower or any Significant Subsidiary (or any group of Restricted Subsidiaries that together (determined as of the most recent consolidated financial statements for a fiscal quarter end provided as required under Section 4.03 hereof) would constitute a Significant Subsidiary) or for all or substantially all of the property of Holdings, the Borrower or any Significant Subsidiary (or any group of Restricted Subsidiaries that together (determined as of the most recent consolidated financial statements of the Borrower for a fiscal quarter end provided as required under Section 4.03 hereof) would constitute a Significant Subsidiary);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orders the liquidation of Holdings, the Borrower or any Significant Subsidiary (or any group of Restricted Subsidiaries that together (determined as of the most recent consolidated financial statements for a fiscal quarter end provided as required under Section 4.03 hereof) would constitute a Significant Subsidiary); </w:t>
      </w:r>
    </w:p>
    <w:p>
      <w:pPr>
        <w:pStyle w:val="TextBody"/>
        <w:bidi w:val="0"/>
        <w:spacing w:before="120" w:after="0"/>
        <w:jc w:val="left"/>
        <w:rPr>
          <w:rFonts w:ascii="Times New Roman" w:hAnsi="Times New Roman"/>
          <w:sz w:val="20"/>
        </w:rPr>
      </w:pPr>
      <w:r>
        <w:rPr>
          <w:rFonts w:ascii="Times New Roman" w:hAnsi="Times New Roman"/>
          <w:sz w:val="20"/>
        </w:rPr>
        <w:t xml:space="preserve">and the order or decree remains unstayed and in effect for 60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(10) the Lender or the guarantors under the Lender Indenture fail to make any payment beyond the applicable grace period, if any, whether by scheduled maturity, required repayment, acceleration, demand, or otherwise, in respect of the Lender Notes or fails to observe or perform any other agreement or condition relating to the Lender Notes or any other event occurs, the effect of which default or other event is to cause the Lender Notes to become due or to be repurchased, repaid, defeased or redeemed (automatically or otherwise), or an offer to repurchase, repay, defease or redeem the Lender Notes to be made, prior to their stated maturity; provided that such failure is unremedied and is not waived by the Holders of the Lender Notes; provide further that the Event of Default specified in this clause (10) (including all consequences thereof) shall not be waived without the written consent of the holders of a majority in principal amount of the Lender Notes then outstanding (via a Lender Notes Trustee Direction), provided that in the event of any Event of Default specified in this clause (10), such Event of Default and all consequences thereof (excluding any resulting payment default, other than as a result of acceleration of the Lender Notes) shall be annulled, waived and rescinded, automatically and without any action by the Administrative Agent or the Lender, if within 20 days after such Event of Default arose: </w:t>
      </w:r>
    </w:p>
    <w:p>
      <w:pPr>
        <w:pStyle w:val="TextBody"/>
        <w:bidi w:val="0"/>
        <w:spacing w:before="120" w:after="0"/>
        <w:jc w:val="left"/>
        <w:rPr>
          <w:rFonts w:ascii="Times New Roman" w:hAnsi="Times New Roman"/>
          <w:sz w:val="20"/>
        </w:rPr>
      </w:pPr>
      <w:r>
        <w:rPr>
          <w:rFonts w:ascii="Times New Roman" w:hAnsi="Times New Roman"/>
          <w:sz w:val="20"/>
        </w:rPr>
        <w:t xml:space="preserve">(A) the Lender Notes or related guarantee that is the basis for such Event of Default has been discharged; or </w:t>
      </w:r>
    </w:p>
    <w:p>
      <w:pPr>
        <w:pStyle w:val="TextBody"/>
        <w:bidi w:val="0"/>
        <w:spacing w:before="120" w:after="0"/>
        <w:jc w:val="left"/>
        <w:rPr>
          <w:rFonts w:ascii="Times New Roman" w:hAnsi="Times New Roman"/>
          <w:sz w:val="20"/>
        </w:rPr>
      </w:pPr>
      <w:r>
        <w:rPr>
          <w:rFonts w:ascii="Times New Roman" w:hAnsi="Times New Roman"/>
          <w:sz w:val="20"/>
        </w:rPr>
        <w:t xml:space="preserve">(B) Holders of the Lender Notes thereof have rescinded or waived the acceleration, notice or action (as the case may be) giving rise to such Event of Default; or </w:t>
      </w:r>
    </w:p>
    <w:p>
      <w:pPr>
        <w:pStyle w:val="TextBody"/>
        <w:bidi w:val="0"/>
        <w:spacing w:before="120" w:after="0"/>
        <w:jc w:val="left"/>
        <w:rPr>
          <w:rFonts w:ascii="Times New Roman" w:hAnsi="Times New Roman"/>
          <w:sz w:val="20"/>
        </w:rPr>
      </w:pPr>
      <w:r>
        <w:rPr>
          <w:rFonts w:ascii="Times New Roman" w:hAnsi="Times New Roman"/>
          <w:sz w:val="20"/>
        </w:rPr>
        <w:t xml:space="preserve">(C) the default that is the basis for such Event of Default has been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Event of Default specified in clause (8) or (9) of Section 6.01 hereof, with respect to Holdings, the Borrower or any Significant Subsidiary (or any group of Restricted Subsidiaries that together (determined as of the most recent consolidated financial statements for a fiscal quarter end provided as required under Section 4.03 hereof) would constitute a Significant Subsidiary), the entire outstanding amount of the Term Loan will become due and payable immediately without further action or notice. If any other Event of Default occurs and is continuing, the Administrative Agent, the Lender or the holders of at least 30% in aggregate principal amount of the then outstanding Lender Notes, through the Lender Notes Trustee, may (and at the written direction of the Lender, shall) declare all outstanding amount of the Term Loan to be due and payable immediately. Upon the effectiveness of such declaration, the Term Loan shall become due and payable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then outstanding Lender Notes, through the Lender Notes Trustee, by written notice to the Administrative Agent may on behalf of the holders of all of the Lender Notes waive any existing Default and its consequences under this Agreement (except a continuing Default in the payment of interest on, premium, if any, or principal of the Term Loan) and rescind any acceleration with respect to the Term Loan and its consequences (except if such rescission would conflict with any judgment of a court of competent jurisdiction). In the event of any Event of Default specified in clause (4) of Section 6.01 hereof, such Event of Default and all consequences thereof (excluding any resulting payment default, other than as a result of acceleration of the Term Loan) shall be annulled, waived and rescinded, automatically and without any action by the Administrative Agent or the Lender, if within 20 days after such Event of Default arose: </w:t>
      </w:r>
    </w:p>
    <w:p>
      <w:pPr>
        <w:pStyle w:val="TextBody"/>
        <w:bidi w:val="0"/>
        <w:spacing w:before="120" w:after="0"/>
        <w:jc w:val="left"/>
        <w:rPr>
          <w:rFonts w:ascii="Times New Roman" w:hAnsi="Times New Roman"/>
          <w:sz w:val="20"/>
        </w:rPr>
      </w:pPr>
      <w:r>
        <w:rPr>
          <w:rFonts w:ascii="Times New Roman" w:hAnsi="Times New Roman"/>
          <w:sz w:val="20"/>
        </w:rPr>
        <w:t xml:space="preserve">(1) the Indebtedness or guarantee that is the basis for such Event of Default has been discharged; or </w:t>
      </w:r>
    </w:p>
    <w:p>
      <w:pPr>
        <w:pStyle w:val="TextBody"/>
        <w:bidi w:val="0"/>
        <w:spacing w:before="120" w:after="0"/>
        <w:jc w:val="left"/>
        <w:rPr>
          <w:rFonts w:ascii="Times New Roman" w:hAnsi="Times New Roman"/>
          <w:sz w:val="20"/>
        </w:rPr>
      </w:pPr>
      <w:r>
        <w:rPr>
          <w:rFonts w:ascii="Times New Roman" w:hAnsi="Times New Roman"/>
          <w:sz w:val="20"/>
        </w:rPr>
        <w:t xml:space="preserve">(2) holders thereof have rescinded or waived the acceleration, notice or action (as the case may be) giving rise to such Event of Default; or </w:t>
      </w:r>
    </w:p>
    <w:p>
      <w:pPr>
        <w:pStyle w:val="TextBody"/>
        <w:bidi w:val="0"/>
        <w:spacing w:before="120" w:after="0"/>
        <w:jc w:val="left"/>
        <w:rPr>
          <w:rFonts w:ascii="Times New Roman" w:hAnsi="Times New Roman"/>
          <w:sz w:val="20"/>
        </w:rPr>
      </w:pPr>
      <w:r>
        <w:rPr>
          <w:rFonts w:ascii="Times New Roman" w:hAnsi="Times New Roman"/>
          <w:sz w:val="20"/>
        </w:rPr>
        <w:t xml:space="preserve">(3) the default that is the basis for such Event of Default has been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Administrative Agent (acting at the written direction of the Lender) may pursue any available remedy to collect the payment of principal of, premium on, if any, or interest, if any, on the Term Loan or to enforce the performance of any provision of the Term Loan,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A delay or omission by the Administrative Agent, the Lender or any holder of the Lender Notes (through the Lender Notes Trustee) in exercising any right or remedy accruing upon an Event of Default shall not impair the right or remedy or constitute a waiver of or acquiescence in the Event of Default. All remedies are cumulative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Lender Notes holding a majority in aggregate principal amount of the then outstanding Lender Notes by written notice to the Lender, through the Lender Notes Trustee, may, on behalf of the Holders of the Lender Notes direct the Lender to provide a direction to the Administrative Agent to waive any existing Default or Event of Default and its consequences hereunder, except a continuing Default or Event of Default in the payment of principal of, premium on, if any, or interest, if any, on, the Term Loan (including in connection with an offer to purchase); </w:t>
      </w:r>
      <w:r>
        <w:rPr>
          <w:rFonts w:ascii="Times New Roman" w:hAnsi="Times New Roman"/>
          <w:i/>
          <w:sz w:val="20"/>
        </w:rPr>
        <w:t>provided, however</w:t>
      </w:r>
      <w:r>
        <w:rPr>
          <w:rFonts w:ascii="Times New Roman" w:hAnsi="Times New Roman"/>
          <w:sz w:val="20"/>
        </w:rPr>
        <w:t xml:space="preserve">, that the Holders of the Lender Notes holding a majority in aggregate principal amount of the then outstanding Lender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Agreement;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Control by Majority.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aggregate principal amount of the then outstanding Lender Notes, through the Lender Notes Trustee, may direct the Lender (who shall in turn direct the Administrative Agent) with respect to the time, method and place of conducting any proceeding for exercising any remedy available to the Administrative Agent. Notwithstanding the foregoing, the Administrative Agent shall not be required to follow any direction provided by a Person that is not a Lender other than pursuant to a Lender Notes Trustee Direction. The Administrative Agent shall be entitled to conclusively rely upon, and shall not incur any liability for relying upon, any Lender Notes Trustee Direction received by it.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Priorities.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Administrative Agent collects any money pursuant to this Article 6, or if the Term Loans are accelerated, it shall pay out the money in the following order: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payment of that portion of the Loan Obligations constituting fees, indemnities, expenses and other amounts payable to the Administrative Agent in its capacity as such; </w:t>
      </w:r>
    </w:p>
    <w:p>
      <w:pPr>
        <w:pStyle w:val="TextBody"/>
        <w:bidi w:val="0"/>
        <w:spacing w:before="24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Lender for amounts due and unpaid on the Term Loan for principal, premium, if any, and interest, if any (with amount being applied first to any premium on the Term Loan, second to accrued and unpaid interest and third to principal); and </w:t>
      </w:r>
    </w:p>
    <w:p>
      <w:pPr>
        <w:pStyle w:val="TextBody"/>
        <w:bidi w:val="0"/>
        <w:spacing w:before="24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Borrower or to such party as a court of competent jurisdiction shall direct.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Agreement or in any suit against the Administrative Agent for any action taken or omitted by it as an Administrative Agent,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Appointment and Authorization of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Lender hereby irrevocably appoints and designates Wilmington Trust, National Association to act on its behalf as the Administrative Agent under this Agreement and the other Loan Documents, and authorizes the Administrative Agent to take such action on its behalf under the provisions of this Agreement and each other Loan Document and to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the Lender or any participant or any of the Lender Notes Trustee, Lender Notes Collateral Agent, or any Holders of the Lender Notes,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t>
      </w:r>
    </w:p>
    <w:p>
      <w:pPr>
        <w:pStyle w:val="TextBody"/>
        <w:bidi w:val="0"/>
        <w:spacing w:before="240" w:after="0"/>
        <w:jc w:val="left"/>
        <w:rPr>
          <w:rFonts w:ascii="Times New Roman" w:hAnsi="Times New Roman"/>
          <w:sz w:val="20"/>
        </w:rPr>
      </w:pPr>
      <w:r>
        <w:rPr>
          <w:rFonts w:ascii="Times New Roman" w:hAnsi="Times New Roman"/>
          <w:sz w:val="20"/>
        </w:rPr>
        <w:t>(b) The Administrative Agent shall also act as the “</w:t>
      </w:r>
      <w:r>
        <w:rPr>
          <w:rFonts w:ascii="Times New Roman" w:hAnsi="Times New Roman"/>
          <w:i/>
          <w:sz w:val="20"/>
        </w:rPr>
        <w:t>Collateral Agent</w:t>
      </w:r>
      <w:r>
        <w:rPr>
          <w:rFonts w:ascii="Times New Roman" w:hAnsi="Times New Roman"/>
          <w:sz w:val="20"/>
        </w:rPr>
        <w:t xml:space="preserve">” under the Loan Documents, and the Lender hereby irrevocably appoints and authorizes the Administrative Agent to act as the agent of (and to hold any security interest created by the Security Documents for and on behalf of or on trust for) the Lender for purposes of acquiring, holding and enforcing (if then in effect, subject to the terms of any Intercreditor Agreement) any and all Liens on Collateral granted by any of the Loan Parties to secure any of the Loan Obligations, together with such powers and discretion as are reasonably incidental thereto. In this connection, the Administrative Agent, as “Collateral Agent” (and any co-agents, sub-agents and attorneys-in-fact appointed by the Administrative Agent pursuant to Section 7.02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7 (including Section 7.07, as though such co-agents, sub-agents and attorneys-in-fact were the “collateral agent” under the Loan Documents) as if set forth in full herein with respect thereto, and all references to “Administrative Agent” in this Article 7 shall be read as including a reference to the Administrative Agent acting as “Collateral Agent”. Without limiting the generality of the foregoing, the Lender hereby expressly authorize the Administrative Agent to execute any and all documents (including releases) with respect to the Collateral and the rights of the Secured Parties with respect thereto, as contemplated by and in accordance with the provisions of this Agreement and the Security Documents and acknowledge and agree that any such action by the Administrative Agent shall bind the Lender.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Administrative Agent, as applicable, under this Agreement and the other Loan Documents and will have and succeed to the rights, powers, duties, immunities and privileges as its predecessor, without the execution or filing of any instrument or paper or the performance of any further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Delegation of Duties.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may execute any of its duties under this Agreement or any other Loan Document (including for purposes of holding or enforcing any Lien on the Collateral (or any portion thereof) granted under the Security Documents or of exercising any rights and remedies thereunder) by or through its agents, sub-agents, employees or attorneys-in-fact and shall be entitled to advice of counsel and other consultants or experts concerning all matters pertaining to such duties. The Administrative Agent and any such sub agent may perform any and all of its duties and exercise its rights and powers by or through its Agent-Related Persons. The exculpatory provisions of this Article shall apply to any such sub agent and to any Agent-Related Person, and shall apply to their respective activities in connection with the syndication of the credit facilities provided for herein as well as activities as Administrative Agent. The Administrative Agent shall not be responsible for the negligence or misconduct of any agent or sub-agent or attorney-in-fact that it selects, except to the extent that a court of competent jurisdiction determines in a final non-appealable judgment that the Administrative Agent acted with gross negligence or willful misconduct in the selection of such agent, sub-agent or attorney-in-fact.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Liability of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Agent-Related Person shall (x) be liable for any action taken or omitted to be taken by any of them except for its own gross negligence or willful misconduct, as determined by the final and nonappealable judgment of a court of competent jurisdiction, (y) be liable for any action taken or not taken by it with the consent or at the request of the Lender or pursuant to a Lender Notes Trustee Direction or (z) be responsible in any manner to the Lender or participant for, or have any duty to inquire into, (i) any recital, statement, representation or warranty made by any Loan Party, any Guarantor or any officer thereof, contained herein or in any other Loan Document, or in any certificate, report, statement or other document referred to or provided for in, or received by the Administrative Agent under or in connection with, this Agreement or any other Loan Document, (ii) the validity, effectiveness, genuineness, enforceability or sufficiency of this Agreement or any other Loan Document, or the creation, perfection or priority of any Lien or security interest created or purported to be created under the Security Documents, (iii) the existence, value, sufficiency or collectability of the Collateral, any failure to monitor or maintain any part of the Collateral, any loss or diminution in the value of the Collateral, or (iv) for any failure of any Loan Party or any other party to any Loan Document to perform its obligations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(b) No Agent-Related Person shall be under any obligation to the Lender or participant to ascertain or to inquire as to the observance or performance of any of the agreements contained in, or conditions of, this Agreement or any other Loan Document, or to inspect the properties, books or records of any Loan Party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(c) No Agent-Related Person shall have any duty to take any discretionary action or exercise any discretionary powers, except discretionary rights and powers expressly contemplated hereby or by the other Loan Documents that the Administrative Agent is required to exercise as directed in writing by the Lender or pursuant to a Lender Notes Trustee Direction,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Bankruptcy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Agent-Related Person shall, except as expressly set forth herein and in the other Loan Documents, have any duty to disclose, and shall not be liable for the failure to disclose, any information relating to any of the Borrower or any of their respective Affiliates that is communicated to or obtained by the Person serving as the Administrative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(e) No Agent-Related Person shall be subject to any fiduciary or other implied duties,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(f) No Agent-Related Person shall be responsible for (i) perfecting, maintaining, monitoring, preserving or protecting the security interest or Lien granted under this Agreement, the Security Documents, any other Loan Document or any agreement or instrument contemplated hereby or thereby, (ii) the filing, re-filing, recording, re-recording or continuing or any document, financing statement, mortgage, assignment, notice, instrument of further assurance or other instrument in any public office at any time or times or (iii) providing, maintaining, monitoring or preserving insurance on or the payment of taxes with respect to any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(g) In no event shall any Agent-Related Person be liable for any failure or delay in the performance of its obligations under this Agreement or any related documents because of circumstances beyond such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such Agent’s control whether or not of the same class or kind as specified above.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240" w:after="0"/>
        <w:jc w:val="left"/>
        <w:rPr>
          <w:rFonts w:ascii="Times New Roman" w:hAnsi="Times New Roman"/>
          <w:sz w:val="20"/>
        </w:rPr>
      </w:pPr>
      <w:r>
        <w:rPr>
          <w:rFonts w:ascii="Times New Roman" w:hAnsi="Times New Roman"/>
          <w:sz w:val="20"/>
        </w:rPr>
        <w:t xml:space="preserve">(i) No Agent-Related Person shall be responsible for, nor chargeable with, knowledge of the terms and conditions of any other agreement, instrument, or document other than this Agreement and any other Loan Document to which the Administrative Agent is a party, whether or not an original or a copy of such agreement has been provided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(j) Nothing in this Agreement or any other Loan Document shall require any Agent to expend or risk its own funds or otherwise incur any financial liability in the performance of any of its duties or in the exercise of any of its rights or powers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(k) The Administrative Agent shall not be responsible or have any liability for, or have any duty to ascertain, inquire into, monitor or enforce, compliance with the provisions hereof relating to competitors of the Loan Parties or their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Administrative Agent shall not have any duty or obligation to calculate the Applicable Premium.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Reliance by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be entitled to rely, and shall be fully protected in relying, upon any writing, communication, signature, resolution, representation, notice, consent, certificate, affidavit, letter, telegram, facsimile, telex or telephone message, electronic mail message, statement, order from any court or Governmental Authority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and shall not incur any liability for relying thereon. The Administrative Agent shall be fully justified in failing or refusing to take any action under any Loan Document unless it shall first receive such advice or concurrence of the Lender as it deems appropriate and, if it so requests, it shall first be indemnified to its satisfaction by the Lender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Lender or in accordance with a Lender Notes Trustee Direction and such request, consent, or Lender Notes Trustee Direction and any action taken or failure to act pursuant thereto shall be binding upon the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deemed to have knowledge or notice of the occurrence of any Default or Event of Default, unless the Administrative Agent shall have received written notice from the Lender or the Borrower referring to this Agreement, describing such Default or Event of Default and stating that such notice is a “notice of default.” The Administrative Agent will notify the Lender of its receipt of any such notice. The Administrative Agent shall take such action with respect to any Event of Default as may be directed by the Lender in accordance with Article 6; provided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Credit Decision; Disclosure of Information by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Lender acknowledges that no Agent-Related Person has made any representation or warranty to it, and that no act by the Administrative Agent hereafter taken, including any consent to and acceptance of any assignment or review of the affairs of any Loan Party or any Affiliate thereof, shall be deemed to constitute any representation or warranty by the Agent-Related Person to the Lender as to any matter, including whether Agent-Related Persons have disclosed material information in their possession. The Lender represents to the Administrative Agent that it has, independently and without reliance upon the Agent-Related Person and based on such documents and information as it has deemed appropriate, made its own appraisal of an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The Lender also represents that it will, independently and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reliance upon the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 by the Administrative Agent herein, such Agent shall not have any duty or responsibility to provide the Lender with any credit or other information concerning the business, prospects, operations, property, financial and other condition or creditworthiness of any of the Loan Parties or any of their respective Affiliates which may come into the possession of the Agent-Related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Indemnification of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transactions contemplated hereby are consummated, the Lender shall indemnify upon demand the Agent-Related Person (to the extent not reimbursed by or on behalf of any Loan Party and without limiting the obligation of any Loan Party to do so), and hold harmless the Agent-Related Person from and against any and all Indemnified Liabilities incurred by it; provided that no Lender shall be liable for the payment to the Agent-Related Person of any portion of such Indemnified Liabilities resulting from such Agent-Related Person’s own gross negligence or willful misconduct, as determined by the final and non-appealable judgment of a court of competent jurisdiction; provided that no action taken in accordance with the directions of the Lender or in accordance with a Lender Notes Trustee Direction shall be deemed to constitute gross negligence or willful misconduct for purposes of this Section 7.07. In the case of any investigation, litigation or proceeding giving rise to any Indemnified Liabilities, this Section 7.07 applies whether any such investigation, litigation or proceeding is brought by the Lender or any other Person. Without limitation of the foregoing, the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provided that such reimbursement by the Lender shall not affect the Borrower’s continuing reimbursement obligations with respect thereto. The undertaking in this Section 7.07 shall survive termination of the Commitment, the payment of all other Obligations and the resignation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The Administrative Agent in their Individual Capacities.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and its Affiliates may make loans to, issue letters of credit for the account of, accept deposits from, acquire Equity Interests in and generally engage in any kind of banking, trust, financial advisory, underwriting or other business with each of the Loan Parties, the Guarantors and their respective Affiliates as though Wilmington Trust, National Association were not the Administrative Agent and without notice to or consent of the Lender. The Lender acknowledges that, pursuant to such activities, Wilmington Trust, National Association or its Affiliates may receive information regarding any Loan Party, any Guarantor or any of their Affiliates (including information that may be subject to confidentiality obligations in favor of such Loan Party, such Guarantor or such Affiliate) and acknowledges that the Administrative Agent shall be under no obligation to provide such information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Successor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may resign as the Administrative Agent upon at least thirty (30) days’ prior written notice to the Lender and the Borrower. If the Administrative Agent is in material breach of its obligations hereunder as Administrative Agent, then the Administrative Agent may be removed as the Administrative Agent at the request of the Lender.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any such notice of resignation or upon such removal, the Lender shall appoint a successor agent for the Lender, which successor agent shall be (a) a bank with an office in the United States or an Affiliate of any such bank with an office in the United States, and (b) consented to by the Borrower at all times other than during the existence of an Event of Default under Section 6.01(8) or (9) (which consent of the Borrower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If no successor agent is appointed prior to the effective date of the resignation of the Administrative Agent, then the retiring Administrative Agent may (but shall not be required to) appoint, after consulting with the Lender and with the consent of the Borrower (which consent shall not be unreasonably withheld or delayed, provided that the Borrower’s consent shall not be required during the existence of an Event of Default under Section 6.01(8) or (9)), a successor agent, which shall be a bank with an office in the United States or an Affiliate of any such bank with an office in the United States. </w:t>
      </w:r>
    </w:p>
    <w:p>
      <w:pPr>
        <w:pStyle w:val="TextBody"/>
        <w:bidi w:val="0"/>
        <w:spacing w:before="240" w:after="0"/>
        <w:jc w:val="left"/>
        <w:rPr>
          <w:rFonts w:ascii="Times New Roman" w:hAnsi="Times New Roman"/>
          <w:sz w:val="20"/>
        </w:rPr>
      </w:pPr>
      <w:r>
        <w:rPr>
          <w:rFonts w:ascii="Times New Roman" w:hAnsi="Times New Roman"/>
          <w:sz w:val="20"/>
        </w:rPr>
        <w:t>Upon the acceptance of its appointment as successor agent hereunder, the Person acting as such successor agent shall succeed to all the rights, powers and duties of the retiring or removed Administrative Agent (except for any indemnity payments or other amounts then owed to the retiring or removed Administrative Agent) and the term “</w:t>
      </w:r>
      <w:r>
        <w:rPr>
          <w:rFonts w:ascii="Times New Roman" w:hAnsi="Times New Roman"/>
          <w:i/>
          <w:sz w:val="20"/>
        </w:rPr>
        <w:t>Administrative Agent</w:t>
      </w:r>
      <w:r>
        <w:rPr>
          <w:rFonts w:ascii="Times New Roman" w:hAnsi="Times New Roman"/>
          <w:sz w:val="20"/>
        </w:rPr>
        <w:t xml:space="preserve">,” shall mean such successor administrative agent and the retiring or removed Administrative Agent’s appointment, powers and duties as the Administrative Agent shall be terminated. After the retiring or removed Administrative Agent’s resignation hereunder as the Administrative Agent or the removal of the Administrative Agent as provided herein, the provisions of this Article 7 and Sections 13.10 and 13.11 shall inure to its benefit as to any actions taken or omitted to be taken by it while it was the Administrative Agent under this Agreement and the other Loan Documents (including in performing its duties and obligations specified in the parenthetical in the immediately succeeding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If no successor agent has accepted appointment as the Administrative Agent by the date which is thirty (30) Business Days following the retiring Administrative Agent’s notice of resignation, the retiring Administrative Agent’s resignation shall nevertheless thereupon become effective (except that in the case of any collateral security held by the Administrative Agent on behalf of the Lender and the other Secured Parties under any of the Loan Documents, the retiring Administrative Agent shall continue to hold such collateral security as nominee until such time as a successor Administrative Agent is appointed) and the Lender shall perform all of the duties of the Administrative Agent hereunder until such time, if any, as the Lender appoint a successor agent as provided for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acceptance of any successor’s appointment as the Administrative Agent hereunder and upon the execution and filing or recording of such financing statements, or amendments thereto, and such amendments or supplements to the mortgages, and such other instruments or notices, as may be necessary or desirable, or as the Lender may request, in order to continue the perfection of the Liens granted or purported to be granted by the Security Documents, such successor shall thereupon succeed to and become vested with all the rights, powers, discretion, privileges, and duties of the retiring Administrative Agent, and the retiring (or retired) Administrative Agent, to the extent not previously discharged, shall be discharged from its duties and obligations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The fees payable by the Borrower to a successor Administrative Agent shall be the same as those payable to its predecessor unless otherwise agreed between the Borrower and such successor. After the retiring or removed Administrative Agent’s resignation or removal hereunder as the Administrative Agent, the provisions of this Article 7 shall continue in effect for its benefit, its sub-agents and their respective Agent-Related Persons in respect of any actions taken or omitted to be taken by it while it was acting as the Administrative Agent (including in performing its duties and obligations specified in the parenthetical in the fifth paragraph of this Section 7.09).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Administrative Agent May File Proofs of Claim</w:t>
      </w:r>
      <w:r>
        <w:rPr>
          <w:rFonts w:ascii="Times New Roman" w:hAnsi="Times New Roman"/>
          <w:sz w:val="20"/>
        </w:rPr>
        <w:t xml:space="preserve">. In case of the pendency of any receivership, insolvency, liquidation, bankruptcy, reorganization, arrangement, adjustment, composition or other judicial proceeding relative to any Loan Party, the Administrative Agent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Loan Obligations that are owing and unpaid and to file such other documents as may be necessary or advisable in order to have the claims of the Lender and the Administrative Agent (including any claim for the reasonable compensation, expenses, disbursements and advances of the Lender and the Administrative Agent and their respective agents and counsel and all other amounts due the Lender and the Administrative Agent under Section 13.10)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the Lender to make such payments to the Administrative Agent and, in the event that the Administrative Agent shall consent to the making of such payments directly to the Lender, to pay to the Administrative Agent any amount due for the reasonable compensation, expenses, disbursements and advances of the Administrative Agent and their respective agents and counsel, and any other amounts due the Administrative Agent under Section 13.10.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the Lender any plan of reorganization, arrangement, adjustment or composition affecting the Loan Obligations or the rights of the Lender or to authorize the Administrative Agent to vote in respect of the claim of the Lender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7.11</w:t>
      </w:r>
      <w:r>
        <w:rPr>
          <w:rFonts w:ascii="Times New Roman" w:hAnsi="Times New Roman"/>
          <w:sz w:val="20"/>
          <w:u w:val="single"/>
        </w:rPr>
        <w:t xml:space="preserve"> </w:t>
      </w:r>
      <w:r>
        <w:rPr>
          <w:rFonts w:ascii="Times New Roman" w:hAnsi="Times New Roman"/>
          <w:i/>
          <w:sz w:val="20"/>
          <w:u w:val="single"/>
        </w:rPr>
        <w:t>Withholding Tax</w:t>
      </w:r>
      <w:r>
        <w:rPr>
          <w:rFonts w:ascii="Times New Roman" w:hAnsi="Times New Roman"/>
          <w:sz w:val="20"/>
        </w:rPr>
        <w:t xml:space="preserve">. To the extent required by any applicable law, the Administrative Agent may deduct or withhold from any payment to the Lender under any Loan Document an amount equivalent to any applicable withholding tax. If the Internal Revenue Service or any other Governmental Authority asserts a claim that the Administrative Agent did not properly withhold Tax from amounts paid to or for the account of the Lender for any reason (including because the appropriate form was not delivered or was not properly executed or because the Lender failed to notify the Administrative Agent of a change in circumstance that rendered the exemption from, or reduction of, withholding Tax ineffective), the Lender and the Borrower jointly and severally shall indemnify and hold harmless the Administrative Agent fully for all amounts paid, directly or indirectly, by the Administrative Agent as Tax or otherwise, and shall make payable in respect thereof within 30 days after demand therefor,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the Lender by the Administrative Agent shall be conclusive absent manifest error. The Lender hereby authorizes the Administrative Agent to set off and apply any amounts at any time owing to the Lender under this Agreement or any other Loan Document against any amount due the Administrative Agent under this Section 7.11. The agreements in this Section 7.11 shall survive the resignation and/or replacement of the Administrative Agent, any assignment of rights by, or the replacement of, a Lender, the termination of this Agreement and the repayment, satisfaction or discharge of all other Obligations. </w:t>
      </w:r>
    </w:p>
    <w:p>
      <w:pPr>
        <w:pStyle w:val="TextBody"/>
        <w:bidi w:val="0"/>
        <w:spacing w:before="240" w:after="0"/>
        <w:jc w:val="left"/>
        <w:rPr>
          <w:rFonts w:ascii="Times New Roman" w:hAnsi="Times New Roman"/>
          <w:sz w:val="20"/>
        </w:rPr>
      </w:pPr>
      <w:r>
        <w:rPr>
          <w:rFonts w:ascii="Times New Roman" w:hAnsi="Times New Roman"/>
          <w:sz w:val="20"/>
        </w:rPr>
        <w:t>Section 7.12</w:t>
      </w:r>
      <w:r>
        <w:rPr>
          <w:rFonts w:ascii="Times New Roman" w:hAnsi="Times New Roman"/>
          <w:sz w:val="20"/>
          <w:u w:val="single"/>
        </w:rPr>
        <w:t xml:space="preserve"> </w:t>
      </w:r>
      <w:r>
        <w:rPr>
          <w:rFonts w:ascii="Times New Roman" w:hAnsi="Times New Roman"/>
          <w:i/>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(x) notifies the Lender or a Secured Party, or any Person who has received funds on behalf of the Lender or a Secured Party (the Lender, Secured Party or other recipient (and each of their respective successors and assigns), a “</w:t>
      </w:r>
      <w:r>
        <w:rPr>
          <w:rFonts w:ascii="Times New Roman" w:hAnsi="Times New Roman"/>
          <w:i/>
          <w:sz w:val="20"/>
        </w:rPr>
        <w:t>Payment Recipient</w:t>
      </w:r>
      <w:r>
        <w:rPr>
          <w:rFonts w:ascii="Times New Roman" w:hAnsi="Times New Roman"/>
          <w:sz w:val="20"/>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the Lender, such Secured Party or other Payment Recipient on its behalf) (any such funds, whether transmitted or received as a payment or repayment of principal, interest, fees, distribution or otherwise, individually and collectively, an “</w:t>
      </w:r>
      <w:r>
        <w:rPr>
          <w:rFonts w:ascii="Times New Roman" w:hAnsi="Times New Roman"/>
          <w:i/>
          <w:sz w:val="20"/>
        </w:rPr>
        <w:t>Erroneous Payment</w:t>
      </w:r>
      <w:r>
        <w:rPr>
          <w:rFonts w:ascii="Times New Roman" w:hAnsi="Times New Roman"/>
          <w:sz w:val="20"/>
        </w:rPr>
        <w:t xml:space="preserve">”) and (y) demands in writing the return of such Erroneous Payment (or a portion thereof), such Erroneous Payment shall at all times remain the property of the Administrative Agent pending its return or repayment as contemplated below in this Section 7.12 and held in trust for the benefit of the Administrative Agent, and such Payment Recipient shall (or, with respect to any Payment Recipient who received such funds on its behalf, shall cause such Payment Recipient to) promptly, but in no event later than one (1) Business Day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immediately preceding clause (a), the Lender or any Secured Party or any Person who has received funds on behalf of a Lender or Secured Party (and each of their respective successors and assigns) agrees that if it (or a Payment Recipient on its behalf) receives a payment or repayment (whether received as a payment or repayment of principal, interest, fees, distribution or otherwise) from the Administrative Agent (or any of its Affiliates) (x) that is in a different amount than, or on a different date from, that specified in this Agreement or in a notice of payment or repayment sent by the Administrative Agent (or any of its Affiliates) with respect to such payment or repayment, (y) that was not preceded or accompanied by a notice of payment or repayment sent by the Administrative Agent (or any of its Affiliates), or (z) that the Lender or such Secured Party, or other such recipient, otherwise becomes aware was transmitted, or received, in error or by mistake (in whole or in part), then in each such case: </w:t>
      </w:r>
    </w:p>
    <w:p>
      <w:pPr>
        <w:pStyle w:val="TextBody"/>
        <w:bidi w:val="0"/>
        <w:spacing w:before="120" w:after="0"/>
        <w:jc w:val="left"/>
        <w:rPr>
          <w:rFonts w:ascii="Times New Roman" w:hAnsi="Times New Roman"/>
          <w:sz w:val="20"/>
        </w:rPr>
      </w:pPr>
      <w:r>
        <w:rPr>
          <w:rFonts w:ascii="Times New Roman" w:hAnsi="Times New Roman"/>
          <w:sz w:val="20"/>
        </w:rPr>
        <w:t xml:space="preserve">(i) it acknowledges and agrees that (A) in the case of immediately preceding clause (x) or (y), an error and mistake shall be presumed to have been made (absent written confirmation from the Administrative Agent to the contrary) or (B) an error and mistake has been made (in the case of immediately preceding clause (z)), in each case, with respect to such 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the Lender or such Secured Party shall (and shall cause any other recipient that receives funds on its respective behalf to) promptly (and, in all events, within one Business Day of its knowledge of the occurrence of any circumstances described in the immediately preceding clauses (x), (y) and (z)) notify the Administrative Agent of its receipt of such payment or repayment, the details thereof (in reasonable detail) and that it is so notifying the Administrative Agent pursuant to this Section 7.12(b).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Section 7.12(b) shall not have any effect on a Payment Recipient’s obligations pursuant to Section 7.12(a) or on whether or not an Erroneous Payment has been made. </w:t>
      </w:r>
    </w:p>
    <w:p>
      <w:pPr>
        <w:pStyle w:val="TextBody"/>
        <w:bidi w:val="0"/>
        <w:spacing w:before="240" w:after="0"/>
        <w:jc w:val="left"/>
        <w:rPr>
          <w:rFonts w:ascii="Times New Roman" w:hAnsi="Times New Roman"/>
          <w:sz w:val="20"/>
        </w:rPr>
      </w:pPr>
      <w:r>
        <w:rPr>
          <w:rFonts w:ascii="Times New Roman" w:hAnsi="Times New Roman"/>
          <w:sz w:val="20"/>
        </w:rPr>
        <w:t xml:space="preserve">(c) The Lender or each Secured Party hereby authorizes the Administrative Agent to set off, net and apply any and all amounts at any time owing to the Lender or such Secured Party under any Loan Document, or otherwise payable or distributable by the Administrative Agent to the Lender or such Secured Party under any Loan Document or from any other source against any amount that the Administrative Agent has demanded to be returned under the immediately preceding clause (a). </w:t>
      </w:r>
    </w:p>
    <w:p>
      <w:pPr>
        <w:pStyle w:val="TextBody"/>
        <w:bidi w:val="0"/>
        <w:spacing w:before="240" w:after="0"/>
        <w:jc w:val="left"/>
        <w:rPr>
          <w:rFonts w:ascii="Times New Roman" w:hAnsi="Times New Roman"/>
          <w:sz w:val="20"/>
        </w:rPr>
      </w:pPr>
      <w:r>
        <w:rPr>
          <w:rFonts w:ascii="Times New Roman" w:hAnsi="Times New Roman"/>
          <w:sz w:val="20"/>
        </w:rPr>
        <w:t>(d) The parties hereto agree that (x)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the Lender or such Secured Party, as the case may be) under the Loan Documents with respect to such amount (the “</w:t>
      </w:r>
      <w:r>
        <w:rPr>
          <w:rFonts w:ascii="Times New Roman" w:hAnsi="Times New Roman"/>
          <w:i/>
          <w:sz w:val="20"/>
        </w:rPr>
        <w:t>Erroneous Payment Subrogation Rights</w:t>
      </w:r>
      <w:r>
        <w:rPr>
          <w:rFonts w:ascii="Times New Roman" w:hAnsi="Times New Roman"/>
          <w:sz w:val="20"/>
        </w:rPr>
        <w:t xml:space="preserve">”), (y) an Erroneous Payment shall not pay, repay, discharge or otherwise satisfy any Obligations owed by the Borrower or any other Loan Party and (z) to the extent that an Erroneous Payment was in any way or at any time credited as payment or satisfaction of any of the Secured Obligations, the Secured Obligations or any part thereof that was so credited, and all rights of the Payment Recipient, as the case may be, shall be reinstated and continue in full force and effect as if such payment or satisfaction had never been received; </w:t>
      </w:r>
      <w:r>
        <w:rPr>
          <w:rFonts w:ascii="Times New Roman" w:hAnsi="Times New Roman"/>
          <w:i/>
          <w:sz w:val="20"/>
        </w:rPr>
        <w:t xml:space="preserve">provided </w:t>
      </w:r>
      <w:r>
        <w:rPr>
          <w:rFonts w:ascii="Times New Roman" w:hAnsi="Times New Roman"/>
          <w:sz w:val="20"/>
        </w:rPr>
        <w:t xml:space="preserve">that this Section 7.12 shall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interpreted to increase (or accelerate the due date for), or have the effect of increasing (or accelerating the due date for), the Secured Obligations of the Borrower relative to the amount (and/or timing for payment) of the Secured Obligations that would have been payable had such Erroneous Payment not been made by the Administrative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for the avoidance of doubt, the immediately preceding clauses (x), (y) and (z) shall not apply to the extent any such Erroneous Payment is, and solely with respect to the amount of such Erroneous Payment that is, comprised of funds received by the Administrative Agent from the Borrower for the purpose of making a payment of the Loan Obligations.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herein, and for the avoidance of doubt, in no event shall the occurrence of an Erroneous Payment (or the existence of any Erroneous Payment Subrogation Rights or other rights of the Administrative Agent in respect of an Erroneous Payment) result in the Administrative Agent becoming, or being deemed to be, a Lender hereunder or the holder of the Term Loan hereunder.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(g) Each party’s obligations, agreements and waivers under this Section 7.12 shall survive the resignation or replacement of the Administrative Agent, any transfer of rights or obligations by, or the replacement of, a Lender, the termination of the Commitment and/or the repayment, satisfaction or discharge of all Secured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i/>
          <w:sz w:val="20"/>
        </w:rPr>
        <w:t>Appointment of Supplemental Administrative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hAnsi="Times New Roman"/>
          <w:i/>
          <w:sz w:val="20"/>
        </w:rPr>
        <w:t>Supplemental Administrative Agent</w:t>
      </w:r>
      <w:r>
        <w:rPr>
          <w:rFonts w:ascii="Times New Roman" w:hAnsi="Times New Roman"/>
          <w:sz w:val="20"/>
        </w:rPr>
        <w:t>” and collectively as “</w:t>
      </w:r>
      <w:r>
        <w:rPr>
          <w:rFonts w:ascii="Times New Roman" w:hAnsi="Times New Roman"/>
          <w:i/>
          <w:sz w:val="20"/>
        </w:rPr>
        <w:t>Supplemental Administrative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Article X and of Sections 11.04 and 11.05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(c) Should any instrument in writing from any Loan Party be required by any Supplemental Administrative Agent so appointed by the Administrative Agent for more fully and certainly vesting in and confirming to him or it such rights, powers, privileges and duties, the Borrower or Holdings, as applicable,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No Secured Party not party to this Agreement shall have any right to notice of any action or to consent to, direct or object to any action hereunder or under any other Loan Document or otherwise in respect of the Collateral or any Guaranty (including the release or impairment of any Collateral or Guaranty) (or to notice of or to consent to any amendment, waiver or modification of the provisions hereof or of any Guaranty or any Security Document) other than in its capacity as Lender and, in such case, only to the extent expressly provided in the Loan Documents. By accepting the benefits of the Collateral and/or any Guaranty, each Secured Party not party to this Agreement shall be deemed to have appointed the Administrative Agent to serve as administrative agent and collateral agent under the Loan Documents and agreed to be bound by the Loan Documents as a Secured Party thereunder, subject to the limitations set forth in this paragraph. Notwithstanding any other provision of this Article X to the contrary, the Administrative Agent shall not be required to verify the payment of, or that other satisfactory arrangements have been made to a Secured Party not party to this Agreement unless the Administrative Agent has received written notice of such Secured Obligations, together with such supporting documentation as the Administrative Agent may request, from the applicable holder of such Secured Obligations. The Administrative Agent shall not be required to verify the payment of, or that other satisfactory arrangements have been made to a Secured Party not party to this Agreement in the case of a release of liens and guarantees in connection with the payment in full in cash of the Obligations (other than contingent indemnification obligations for which no claim has been made) and the termination of the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[RESERVED] </w:t>
      </w:r>
    </w:p>
    <w:p>
      <w:pPr>
        <w:pStyle w:val="TextBody"/>
        <w:bidi w:val="0"/>
        <w:spacing w:before="12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Without Consent of the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9.02 of this Agreement, the Borrower, any Guarantor (with respect to a Guarantee, this Agreement, the other Loan Document, the Intercreditor Agreement or the Security Documents to which it is a party) and the Administrative Agent may amend or supplement this Agreement, or any Guarantee, Loan Document, Security Documents, the Intercreditor Agreement or the Junior Lien Intercreditor Agreement without the consent of the Lender: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omission, mistake, defect or inconsistency; </w:t>
      </w:r>
    </w:p>
    <w:p>
      <w:pPr>
        <w:pStyle w:val="TextBody"/>
        <w:bidi w:val="0"/>
        <w:spacing w:before="120" w:after="0"/>
        <w:jc w:val="left"/>
        <w:rPr>
          <w:rFonts w:ascii="Times New Roman" w:hAnsi="Times New Roman"/>
          <w:sz w:val="20"/>
        </w:rPr>
      </w:pPr>
      <w:r>
        <w:rPr>
          <w:rFonts w:ascii="Times New Roman" w:hAnsi="Times New Roman"/>
          <w:sz w:val="20"/>
        </w:rPr>
        <w:t xml:space="preserve">(2) [reserved]; </w:t>
      </w:r>
    </w:p>
    <w:p>
      <w:pPr>
        <w:pStyle w:val="TextBody"/>
        <w:bidi w:val="0"/>
        <w:spacing w:before="120" w:after="0"/>
        <w:jc w:val="left"/>
        <w:rPr>
          <w:rFonts w:ascii="Times New Roman" w:hAnsi="Times New Roman"/>
          <w:sz w:val="20"/>
        </w:rPr>
      </w:pPr>
      <w:r>
        <w:rPr>
          <w:rFonts w:ascii="Times New Roman" w:hAnsi="Times New Roman"/>
          <w:sz w:val="20"/>
        </w:rPr>
        <w:t xml:space="preserve">(3) to comply with Section 5.01 hereof; </w:t>
      </w:r>
    </w:p>
    <w:p>
      <w:pPr>
        <w:pStyle w:val="TextBody"/>
        <w:bidi w:val="0"/>
        <w:spacing w:before="120" w:after="0"/>
        <w:jc w:val="left"/>
        <w:rPr>
          <w:rFonts w:ascii="Times New Roman" w:hAnsi="Times New Roman"/>
          <w:sz w:val="20"/>
        </w:rPr>
      </w:pPr>
      <w:r>
        <w:rPr>
          <w:rFonts w:ascii="Times New Roman" w:hAnsi="Times New Roman"/>
          <w:sz w:val="20"/>
        </w:rPr>
        <w:t xml:space="preserve">(4) [reserved]; </w:t>
      </w:r>
    </w:p>
    <w:p>
      <w:pPr>
        <w:pStyle w:val="TextBody"/>
        <w:bidi w:val="0"/>
        <w:spacing w:before="120" w:after="0"/>
        <w:jc w:val="left"/>
        <w:rPr>
          <w:rFonts w:ascii="Times New Roman" w:hAnsi="Times New Roman"/>
          <w:sz w:val="20"/>
        </w:rPr>
      </w:pPr>
      <w:r>
        <w:rPr>
          <w:rFonts w:ascii="Times New Roman" w:hAnsi="Times New Roman"/>
          <w:sz w:val="20"/>
        </w:rPr>
        <w:t xml:space="preserve">(5) [reserved]; </w:t>
      </w:r>
    </w:p>
    <w:p>
      <w:pPr>
        <w:pStyle w:val="TextBody"/>
        <w:bidi w:val="0"/>
        <w:spacing w:before="120" w:after="0"/>
        <w:jc w:val="left"/>
        <w:rPr>
          <w:rFonts w:ascii="Times New Roman" w:hAnsi="Times New Roman"/>
          <w:sz w:val="20"/>
        </w:rPr>
      </w:pPr>
      <w:r>
        <w:rPr>
          <w:rFonts w:ascii="Times New Roman" w:hAnsi="Times New Roman"/>
          <w:sz w:val="20"/>
        </w:rPr>
        <w:t xml:space="preserve">(6) [reserved]; </w:t>
      </w:r>
    </w:p>
    <w:p>
      <w:pPr>
        <w:pStyle w:val="TextBody"/>
        <w:bidi w:val="0"/>
        <w:spacing w:before="120" w:after="0"/>
        <w:jc w:val="left"/>
        <w:rPr>
          <w:rFonts w:ascii="Times New Roman" w:hAnsi="Times New Roman"/>
          <w:sz w:val="20"/>
        </w:rPr>
      </w:pPr>
      <w:r>
        <w:rPr>
          <w:rFonts w:ascii="Times New Roman" w:hAnsi="Times New Roman"/>
          <w:sz w:val="20"/>
        </w:rPr>
        <w:t xml:space="preserve">(7) [reserved]; </w:t>
      </w:r>
    </w:p>
    <w:p>
      <w:pPr>
        <w:pStyle w:val="TextBody"/>
        <w:bidi w:val="0"/>
        <w:spacing w:before="120" w:after="0"/>
        <w:jc w:val="left"/>
        <w:rPr>
          <w:rFonts w:ascii="Times New Roman" w:hAnsi="Times New Roman"/>
          <w:sz w:val="20"/>
        </w:rPr>
      </w:pPr>
      <w:r>
        <w:rPr>
          <w:rFonts w:ascii="Times New Roman" w:hAnsi="Times New Roman"/>
          <w:sz w:val="20"/>
        </w:rPr>
        <w:t xml:space="preserve">(8) [reserved]; </w:t>
      </w:r>
    </w:p>
    <w:p>
      <w:pPr>
        <w:pStyle w:val="TextBody"/>
        <w:bidi w:val="0"/>
        <w:spacing w:before="120" w:after="0"/>
        <w:jc w:val="left"/>
        <w:rPr>
          <w:rFonts w:ascii="Times New Roman" w:hAnsi="Times New Roman"/>
          <w:sz w:val="20"/>
        </w:rPr>
      </w:pPr>
      <w:r>
        <w:rPr>
          <w:rFonts w:ascii="Times New Roman" w:hAnsi="Times New Roman"/>
          <w:sz w:val="20"/>
        </w:rPr>
        <w:t xml:space="preserve">(9) to add a Guarantor under this Agreement, the other Loan Documents, the Security Documents, the Intercreditor Agreement or the Junior Lien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(10) to conform the text of this Agreement, the other Loan Documents and the Security Documents to (a) the July 2030 Notes Indenture and the related security documents to the extent that such provision was intended to be substantively identical to the corresponding provision of the July 2030 Notes Indenture and the related security documents as set forth in an Officer’s Certificate and (b) to any provision of the “Description of New Intercompany Loan” section of Sabre Financial Borrower, LLC’s Offering Memorandum dated September 15, 2026, relating to the offering of the 9.875% Senior Secured Notes due 2032, to the extent that such provision in the “Description of New Intercompany Loan” was intended to be a verbatim recitation of a provision of this Agreement, the other Loan Documents or the Security Documents as set forth in an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(11)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to add or release Collateral from, or subordinate, the Lien of this Agreement, the other Loan Documents and the Security Documents when permitted or required by the Security Documents, this Agreement, the other Loan Documents, the Intercreditor Agreement or the Junior Lien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(13) to mortgage, pledge, hypothecate or grant any other Lien in favor of the Administrative Agent for the benefit of the Secured Parties, as additional security for the payment and performance of all or any portion of the Loan Obligations, on any property or assets, including any which are required to be mortgaged, pledged or hypothecated, or on which a Lien is required to be granted to, in favor of or for the benefit of the Administrative Agent or the Lender pursuant to this Agreement, the other Loan Documents, any of the Security Documents or otherwise; and </w:t>
      </w:r>
    </w:p>
    <w:p>
      <w:pPr>
        <w:pStyle w:val="TextBody"/>
        <w:bidi w:val="0"/>
        <w:spacing w:before="120" w:after="0"/>
        <w:jc w:val="left"/>
        <w:rPr>
          <w:rFonts w:ascii="Times New Roman" w:hAnsi="Times New Roman"/>
          <w:sz w:val="20"/>
        </w:rPr>
      </w:pPr>
      <w:r>
        <w:rPr>
          <w:rFonts w:ascii="Times New Roman" w:hAnsi="Times New Roman"/>
          <w:sz w:val="20"/>
        </w:rPr>
        <w:t xml:space="preserve">(14) to add Additional First Lien Secured Parties or Junior Lien Secured Parties to any Security Documents, the Intercreditor Agreement or the Junior Lien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With Consent of the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Agreement, no amendment, modification, supplement or waiver of any provision of this Agreement or any other Loan Document, and no consent to any departure by the Borrower or any other Loan Party therefrom, shall be effective unless in writing signed by the Lender (or, with the written consent of the Lender, the Administrative Agent) and the Borrower or the applicable Loan Party, as the case may be, and acknowledged by the Administrative Agent and each such waiver, amendment, modification, supplement or consent shall be effective only in the specific instance and for the specific purpose for which given; provided that, no such amendment, modification, supplement,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(a) extend or increase the Commitment of the Lender without the written consent of the Lender; </w:t>
      </w:r>
    </w:p>
    <w:p>
      <w:pPr>
        <w:pStyle w:val="TextBody"/>
        <w:bidi w:val="0"/>
        <w:spacing w:before="240" w:after="0"/>
        <w:jc w:val="left"/>
        <w:rPr>
          <w:rFonts w:ascii="Times New Roman" w:hAnsi="Times New Roman"/>
          <w:sz w:val="20"/>
        </w:rPr>
      </w:pPr>
      <w:r>
        <w:rPr>
          <w:rFonts w:ascii="Times New Roman" w:hAnsi="Times New Roman"/>
          <w:sz w:val="20"/>
        </w:rPr>
        <w:t xml:space="preserve">(b) postpone any date scheduled for, or reduce the amount of, any payment of principal or interest to the Lender without the written consent of the Lender, it being understood that the waiver of (or amendment to the terms of) any mandatory repayment of the Term Loan shall not constitute a postponement of any date scheduled for the payment of principal or interest; </w:t>
      </w:r>
    </w:p>
    <w:p>
      <w:pPr>
        <w:pStyle w:val="TextBody"/>
        <w:bidi w:val="0"/>
        <w:spacing w:before="240" w:after="0"/>
        <w:jc w:val="left"/>
        <w:rPr>
          <w:rFonts w:ascii="Times New Roman" w:hAnsi="Times New Roman"/>
          <w:sz w:val="20"/>
        </w:rPr>
      </w:pPr>
      <w:r>
        <w:rPr>
          <w:rFonts w:ascii="Times New Roman" w:hAnsi="Times New Roman"/>
          <w:sz w:val="20"/>
        </w:rPr>
        <w:t xml:space="preserve">(c) reduce or forgive the principal of, or the rate of interest on, the Term Loan, or any fees or other amounts payable hereunder or under any other Loan Document to the Lender without the written consent of the Lender;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other than in a transaction permitted under Section 4.10 or as permitted under Section 10.04 or any Security Document, release all or substantially all of the Collateral in any transaction or series of related transactions, without the written consent of the Lender; </w:t>
      </w:r>
    </w:p>
    <w:p>
      <w:pPr>
        <w:pStyle w:val="TextBody"/>
        <w:bidi w:val="0"/>
        <w:spacing w:before="240" w:after="0"/>
        <w:jc w:val="left"/>
        <w:rPr>
          <w:rFonts w:ascii="Times New Roman" w:hAnsi="Times New Roman"/>
          <w:sz w:val="20"/>
        </w:rPr>
      </w:pPr>
      <w:r>
        <w:rPr>
          <w:rFonts w:ascii="Times New Roman" w:hAnsi="Times New Roman"/>
          <w:sz w:val="20"/>
        </w:rPr>
        <w:t xml:space="preserve">(f) other than in a transaction permitted under Section 4.10 or as permitted under Section 11.05 or any Security Document, release all or substantially all of the aggregate value of the Guarantees without the written consent of the Lender; </w:t>
      </w:r>
    </w:p>
    <w:p>
      <w:pPr>
        <w:pStyle w:val="TextBody"/>
        <w:bidi w:val="0"/>
        <w:spacing w:before="240" w:after="0"/>
        <w:jc w:val="left"/>
        <w:rPr>
          <w:rFonts w:ascii="Times New Roman" w:hAnsi="Times New Roman"/>
          <w:sz w:val="20"/>
        </w:rPr>
      </w:pPr>
      <w:r>
        <w:rPr>
          <w:rFonts w:ascii="Times New Roman" w:hAnsi="Times New Roman"/>
          <w:sz w:val="20"/>
        </w:rPr>
        <w:t xml:space="preserve">(g) change the currency in which the Term Loan is denominated without the written consent of the Lender;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[reserved]. </w:t>
      </w:r>
    </w:p>
    <w:p>
      <w:pPr>
        <w:pStyle w:val="TextBody"/>
        <w:bidi w:val="0"/>
        <w:spacing w:before="240" w:after="0"/>
        <w:jc w:val="left"/>
        <w:rPr>
          <w:rFonts w:ascii="Times New Roman" w:hAnsi="Times New Roman"/>
          <w:sz w:val="20"/>
        </w:rPr>
      </w:pPr>
      <w:r>
        <w:rPr>
          <w:rFonts w:ascii="Times New Roman" w:hAnsi="Times New Roman"/>
          <w:sz w:val="20"/>
        </w:rPr>
        <w:t xml:space="preserve">and provided further that (i) no amendment, waiver or consent shall, unless in writing and signed by the Administrative Agent and the Lender, affect the rights or duties of, or any fees or other amounts payable to, the Administrative Agent under this Agreement or any other Loan Document (it being agreed that any amendment or modification to the Administrative Agent Fee Letter, or waiver of any rights or privileges thereunder, shall only require the consent of the Borrower and the Administrative Agent).Any such waiver and any such amendment, modification or supplement in accordance with the terms of this Section 9.02 shall apply equally to the Lender and shall be binding on the Loan Parties, the Lender, the Administrative Agent and all future holders of the Loans and Commitment.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Section 9.02, guarantees, collateral security documents and related documents executed by Subsidiaries in connection with this Agreement may be in a form reasonably determined by the Administrative Agent (acting at the direction of the Lender) and may be, together with this Agreement, amended and waived with the consent of the Administrative Agent (acting at the direction of the Lender) at the request of the Borrower without the need to obtain the consent of any other Lender if such amendment or waiver is delivered in order (i) to comply with local Law or advice of local counsel, (ii) to cure ambiguities or defects, (iii) to cause such guarantee, collateral security document or other document to be consistent with this Agreement and the other Loan Documents, (iv) to include “parallel debt” or similar provisions, and any 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interest, where the Administrative Agent shall have been advised by its counsel that such provisions are necessary or advisable under local law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without the consent of each Holder of the Lender Notes adversely affected thereby (which consent shall be given and deemed satisfied via a Lender Notes Trustee Direction in respect thereof), an amendment, supplement or waiver may not modify any Security Document or the provisions of this Agreement or the other Loan Documents dealing with the Security Documents in any manner, in each case, that would subordinate the Lien of the Administrative Agent with respect to all or substantially all of the value of the Collateral to the Liens securing any other Obligations constituting third-party Indebtedness for borrowed money, other than (a) as permitted under Section 9.01(12) hereof or (b) if such adversely affected Holder of the Lender Notes is offered the opportunity to participate (including through a corresponding intercompany loan) on a pro rata basis (excluding any bona fide market backstop fees and fees and expenses of counsel) in such other Indebtedness) or otherwise release all or substantially all of the Collateral, in each case other than in accordance with this Agreement, the other Loan Documents and the Security Documents. </w:t>
      </w:r>
    </w:p>
    <w:p>
      <w:pPr>
        <w:pStyle w:val="TextBody"/>
        <w:bidi w:val="0"/>
        <w:spacing w:before="24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COLLATERAL AND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due and punctual payment of the principal of, premium on, if any, and interest, if any, on, the Term Loan when and as the same shall be due and payable, whether on an interest payment date, at maturity, by acceleration, repayment or otherwise, and interest on the overdue principal of, premium on, if any, and interest, if any (to the extent permitted by law),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Loan and performance of all other obligations of the Borrower and the Guarantors to the Lender or the Administrative Agent under this Agreement and the other Loan Documents (including, without limitation, the Guarantees), according to the terms hereunder or thereunder, are secured as provided in the Security Documents. The Lender consents and agrees to the terms of the Security Documents (including, without limitation, the provisions providing for foreclosure and release of Collateral), the Intercreditor Agreement and the Junior Lien Intercreditor Agreement, in each case as the same may be in effect or may be amended from time to time in accordance with its terms, and authorizes and directs the Administrative Agent to enter into the Security Documents and the Administrative Agent to enter into the Intercreditor Agreement and, when effective, the Junior Lien Intercreditor Agreement and to perform their respective obligations and exercise their respective rights thereunder in accordance therewith. The Administrative Agent, in its capacity as an Additional Senior Class Debt Representative (under and as defined in the Intercreditor Agreement) and the Lender acknowledges and agrees that upon the Additional Senior Class Debt Representatives’ entry into the Intercreditor Joinder Agreement, the Additional Senior Class Debt Representatives and the Lender, by its acceptance thereof, will be subject to and bound by the provisions of the Intercreditor Agreement as Additional First-Lien Secured Parties (as defined therein). The Borrower will deliver to the Administrative Agent copies of all documents required to be delivered to it pursuant to the Security Documents, the Intercreditor Agreement or, when effective, the Junior Lien Intercreditor Agreement, and will do or cause to be done all such acts and things as may be necessary or proper, or as may be required by the provisions of the Security Documents, to assure and confirm to the Administrative Agent the security interest in the Collateral contemplated hereby, by the Security Documents or any part thereof, as from time to time constituted, so as to render the same available for the security and benefit of this Agreement and of the other Loan Documents secured hereby, according to the intent and purposes herein expressed. The Borrower will take, and will cause its Subsidiaries to take any and all actions reasonably required to cause the Security Documents to create and maintain, as security for the Loan Obligations of the Borrower hereunder, a valid and enforceable perfected first priority Lien in and on all the Collateral, in favor of the Administrative Agent for the benefit of the Secured Parties, equally and ratably with all Indebtedness owing under the Senior Credit Facilities and the Secured Notes, superior to and prior to the rights of all third Persons and subject to no other Liens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After-Acquired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long as the Senior Credit Facilities have not been repaid and all commitments terminated, subject to certain exceptions provided in the Security Documents, the Borrower and the Guarantors shall grant to the Administrative Agent, for the benefit of the Secured Parties a lien equally and ratably with any lien granted on additional assets (other than LC Assets) to secure the holders of Indebtedness under the Senior Credit Facilities subsequent to the Closing Date, subject to certain exceptions provided in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Following termination of the Senior Credit Facilities, the Borrower and the Guarantors shall grant to the Administrative Agent, for the benefit of the Secured Parties, a senior lien, subject to the Intercreditor Agreement, on assets or property (other than LC Assets) acquired by the Borrower or a Guarantor after the Closing Date, which would have constituted Collateral had such assets and property been owned by the Borrower or such Guarantor on the Closing Date, subject to certain exceptions provided in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Release of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long as the Senior Credit Facilities have not been repaid and all commitments terminated, the Term Loan will automatically cease to be secured by Liens on the Collateral if and when those liens no longer secure the Senior Credit Facilities as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(1) the liens on any particular Collateral (but not all or substantially all of the Collateral) will be released if a release of the liens on such Collateral that secure the Senior Credit Facilities were approved by the requisite lenders under the Senior Credit Facilities (except in the context of the repayment and termination of the Senior Credit Facilities), and the consent of the Lender would not be required for such a release; and </w:t>
      </w:r>
    </w:p>
    <w:p>
      <w:pPr>
        <w:pStyle w:val="TextBody"/>
        <w:bidi w:val="0"/>
        <w:spacing w:before="120" w:after="0"/>
        <w:jc w:val="left"/>
        <w:rPr>
          <w:rFonts w:ascii="Times New Roman" w:hAnsi="Times New Roman"/>
          <w:sz w:val="20"/>
        </w:rPr>
      </w:pPr>
      <w:r>
        <w:rPr>
          <w:rFonts w:ascii="Times New Roman" w:hAnsi="Times New Roman"/>
          <w:sz w:val="20"/>
        </w:rPr>
        <w:t xml:space="preserve">(2) the liens on any particular Collateral (but not all or substantially all of the Collateral) will be released automatically if the lien on such Collateral that secures the Senior Credit Facilities is released pursuant to the terms of the Senior Credit Facilities (except in the context of the repayment and termination of the Senior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(b) If the Senior Credit Facilities are repaid in full and the related commitments terminated thereunder without being replaced, the Liens on the Collateral in favor of the Administrative Agent for the benefit of the Secured Parties, will not be released at such time, except to the extent the Collateral or any portion thereof was disposed of in order to repay the Obligations under the Senior Credit Facilities secured by the Collateral in compliance with Section 4.10 hereof. Thereafter, until any new Senior Credit Facilities are entered into, the following provisions will apply: </w:t>
      </w:r>
    </w:p>
    <w:p>
      <w:pPr>
        <w:pStyle w:val="TextBody"/>
        <w:bidi w:val="0"/>
        <w:spacing w:before="120" w:after="0"/>
        <w:jc w:val="left"/>
        <w:rPr>
          <w:rFonts w:ascii="Times New Roman" w:hAnsi="Times New Roman"/>
          <w:sz w:val="20"/>
        </w:rPr>
      </w:pPr>
      <w:r>
        <w:rPr>
          <w:rFonts w:ascii="Times New Roman" w:hAnsi="Times New Roman"/>
          <w:sz w:val="20"/>
        </w:rPr>
        <w:t xml:space="preserve">(1) Liens securing the Term Loan will be released in certain circumstances as provided for in the Security Documents and upon the receipt of an Officer’s Certificate and, at the reasonable request of the Administrative Agent, an Opinion of Counsel certifying that all conditions precedent under this Agreement have been met, including under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upon payment in full of principal, interest and all other Obligations on the Term Loan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upon release of a Subsidiary Guarantee (with respect to the Liens securing such Guarantee granted by such Guarantor); or </w:t>
      </w:r>
    </w:p>
    <w:p>
      <w:pPr>
        <w:pStyle w:val="TextBody"/>
        <w:bidi w:val="0"/>
        <w:spacing w:before="120" w:after="0"/>
        <w:jc w:val="left"/>
        <w:rPr>
          <w:rFonts w:ascii="Times New Roman" w:hAnsi="Times New Roman"/>
          <w:sz w:val="20"/>
        </w:rPr>
      </w:pPr>
      <w:r>
        <w:rPr>
          <w:rFonts w:ascii="Times New Roman" w:hAnsi="Times New Roman"/>
          <w:sz w:val="20"/>
        </w:rPr>
        <w:t xml:space="preserve">(C) in connection with any disposition of Collateral to any Person other than the Borrower or any of its Restricted Subsidiaries (but excluding any transaction subject to Section 5.01(a)) that is not prohibited by this Agreement (with respect to the Lien on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(2) Each of these releases shall be effected by the Administrative Agent without the consent of the Lender but at the sole expense of the Borrower. Upon receipt of such Officer’s Certificate and Opinion of Counsel the Administrative Agent shall execute, deliver or acknowledge any necessary or proper instruments of termination, satisfaction or release to evidence the release of any Collateral permitted to be released pursuant to this Agreement or the Security Documents. The Lender authorizes and directs the Administrative Agent to rely on an Officer’s Certificate stating the transaction giving rise to the requested release is permitted under the Loan Documents in providing the requested releases.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any time when a Default or Event of Default has occurred and is continuing and the maturity of the Term Loan has been accelerated (whether by declaration or otherwise), no release of Collateral pursuant to the provisions of the Security Documents will be effective as against the Lender. </w:t>
      </w:r>
    </w:p>
    <w:p>
      <w:pPr>
        <w:pStyle w:val="TextBody"/>
        <w:bidi w:val="0"/>
        <w:spacing w:before="240" w:after="0"/>
        <w:jc w:val="left"/>
        <w:rPr>
          <w:rFonts w:ascii="Times New Roman" w:hAnsi="Times New Roman"/>
          <w:sz w:val="20"/>
        </w:rPr>
      </w:pPr>
      <w:r>
        <w:rPr>
          <w:rFonts w:ascii="Times New Roman" w:hAnsi="Times New Roman"/>
          <w:sz w:val="20"/>
        </w:rPr>
        <w:t xml:space="preserve">(d) Neither the Borrower nor any of its Restricted Subsidiaries is permitted to assert that any security interest in the Collateral is not a valid and perfected security interest or to take any action, or knowingly or negligently omit to take any action, which action or omission would have the result of impairing the security interest with respect to a material portion of the Collateral. The release of any Collateral from the terms of this Agreement and the Security Documents will not be deemed to impair the security under this Agreement in contravention of the provisions hereof if and to the extent the Collateral is released pursuant to the terms of the Security Documents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i/>
          <w:sz w:val="20"/>
        </w:rPr>
        <w:t>Authorization of Receipt of Funds by the Administrative Agent Under the 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is authorized to receive any funds for the benefit of the Lender distributed under the Security Documents, and to make further distributions of such funds to the Lender according to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i/>
          <w:sz w:val="20"/>
        </w:rPr>
        <w:t>Termination of 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full and final payment and performance of all Obligations of the Borrower under this Agreement, the Administrative Agent will, at the request and at the expense of the Borrower, release the Liens pursuant to this Agreement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i/>
          <w:sz w:val="20"/>
        </w:rPr>
        <w:t>Junior Lien Intercreditor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Borrower in connection with the incurrence of any Liens securing Junior Lien Obligations permitted to be incurred under Sections 4.09 and 4.12 hereof, the Administrative Agent shall, upon being provided with an Officer’s Certificate and Opinion of Counsel pursuant to Section 13.03 hereof, enter into the Junior Lien Intercreditor Agreement (and the Lender hereby authorizes the Administrative Agent to rely on such Officer’s Certificate certifying that entering in the Junior Lien Intercreditor Agreement is permitted under the Loan Documents in entering into the Junior Lien Intercreditor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this Article 11, each of the Guarantors hereby, jointly and severally, unconditionally guarantees to the Lender and the Administrative Agent and its successors and assigns, irrespective of the validity and enforceability of this Agreement, the other Loan Documents or the obligations of the Borrower hereunder or thereunder,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principal of, premium, if any, on, and interest, if any, on the Term Loan will be promptly paid in full when due, whether at maturity, by acceleration, repayment or otherwise, and interest on the overdue principal of, premium on, if any, and interest, if any, on, the Term Loan, if lawful, and all other obligations of the Borrower to the Lender or the Administrative Agent hereunder or thereunder will be promptly paid in full or performed, all in accordance with the terms hereof and thereof; and </w:t>
      </w:r>
    </w:p>
    <w:p>
      <w:pPr>
        <w:pStyle w:val="TextBody"/>
        <w:bidi w:val="0"/>
        <w:spacing w:before="120" w:after="0"/>
        <w:jc w:val="left"/>
        <w:rPr>
          <w:rFonts w:ascii="Times New Roman" w:hAnsi="Times New Roman"/>
          <w:sz w:val="20"/>
        </w:rPr>
      </w:pPr>
      <w:r>
        <w:rPr>
          <w:rFonts w:ascii="Times New Roman" w:hAnsi="Times New Roman"/>
          <w:sz w:val="20"/>
        </w:rPr>
        <w:t xml:space="preserve">(2) in case of any extension of time of payment or renewal of the Term Loan or any of such other obligations, that same will be promptly paid in full when due or performed in accordance with the terms of the extension or renewal, whether at stated maturity, by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 Each Guarantor hereby agrees that its obligations hereunder are unconditional, shall not be affected by, and shall remain in full force and effect without regard to, and hereby waives all rights, claims or defenses that it might otherwise have (now or in the future) with respect to each of the following (whether or not such Guarantor has knowledge thereof): (i) the validity, regularity or enforceability of this Agreement or the other Loan Documents, any of the Obligations or any guarantee or right of offset with respect thereto, (ii) any renewal, extension or acceleration of, or any increase in the amount of the Obligations, or any amendment, supplement, modification or waiver of, or any consent to or departure from, the Agreement or the other Loan Documents, and (iii) the absence of any action to enforce the same, any waiver or consent by the Lender with respect to any provisions hereof or thereof, the recovery of any judgment against the Borrower,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Borrower, any right to require a proceeding first against the Borrower, protest, notice and all demands whatsoever and covenant that this Guarantee will not be discharged except by complete performance of the obligations contained in this Agreement and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If the Lender or the Administrative Agent is required by any court or otherwise to return to the Borrower, the Guarantors or any custodian, trustee, liquidator or other similar official acting in relation to either the Borrower or the Guarantors, any amount paid by either to the Lender or the Administrative Agent, this Guarantee, to the extent theretofore discharged, will be reinstated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Each Guarantor agrees that it will not be entitled to any right of subrogation in relation to the Lender in respect of any obligations guaranteed hereby until payment in full of all obligations guaranteed hereby. Each Guarantor further agrees that, as between the Guarantors, on the one hand, and the Lender and the Administrative Agent,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Lenders under the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Limitation on Guarantor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and the Lender, hereby confirm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the Lender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Guarantee not constituting a fraudulent transfer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Execution and Delivery of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evidence its Guarantee set forth in Section 11.01 hereof, each Guarantor hereby agrees that this Indenture will be executed on behalf of such Guarantor by one of its Officers. </w:t>
      </w:r>
    </w:p>
    <w:p>
      <w:pPr>
        <w:pStyle w:val="TextBody"/>
        <w:bidi w:val="0"/>
        <w:spacing w:before="240" w:after="0"/>
        <w:jc w:val="left"/>
        <w:rPr>
          <w:rFonts w:ascii="Times New Roman" w:hAnsi="Times New Roman"/>
          <w:sz w:val="20"/>
        </w:rPr>
      </w:pPr>
      <w:r>
        <w:rPr>
          <w:rFonts w:ascii="Times New Roman" w:hAnsi="Times New Roman"/>
          <w:sz w:val="20"/>
        </w:rPr>
        <w:t xml:space="preserve">If required by Section 4.17 hereof, the Borrower will cause such Subsidiary to comply with the provisions of Section 4.17 hereof and this Article 11,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i/>
          <w:sz w:val="20"/>
        </w:rPr>
        <w:t>Guarantors May Consolidate, etc., on Certain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11.05 hereof, no Guarantor will, and the Borrower will not permit any Subsidiary Guarantor to, consolidate, amalgamate or merge with or into or wind up into (whether or not such Guarantor is the surviving Person), or sell, assign, transfer, lease, convey or otherwise dispose of all or substantially all of its consolidated properties or assets taken as a whole, in one or more related transactions, to any Person (other than the Borrower or a Guarantor) unless: </w:t>
      </w:r>
    </w:p>
    <w:p>
      <w:pPr>
        <w:pStyle w:val="TextBody"/>
        <w:bidi w:val="0"/>
        <w:spacing w:before="120" w:after="0"/>
        <w:jc w:val="left"/>
        <w:rPr>
          <w:rFonts w:ascii="Times New Roman" w:hAnsi="Times New Roman"/>
          <w:sz w:val="20"/>
        </w:rPr>
      </w:pPr>
      <w:r>
        <w:rPr>
          <w:rFonts w:ascii="Times New Roman" w:hAnsi="Times New Roman"/>
          <w:sz w:val="20"/>
        </w:rPr>
        <w:t>(1) (a) such Guarantor is the surviving Person or the Person formed by or surviving any such consolidation, amalgamation or merger (if other than such Guarantor) or to which such sale, assignment, transfer, lease, conveyance or other disposition will have been made is a Person organized or existing under the laws of the jurisdiction of organization of such Guarantor, as applicable, or the laws of the United States, any state thereof, the District of Columbia, or any territory thereof (such surviving Guarantor or such Person, as the case may be, being herein called the “</w:t>
      </w:r>
      <w:r>
        <w:rPr>
          <w:rFonts w:ascii="Times New Roman" w:hAnsi="Times New Roman"/>
          <w:i/>
          <w:sz w:val="20"/>
        </w:rPr>
        <w:t>Successor Guarantor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Successor Guarantor, if other than such Guarantor, expressly assumes all the obligations of such Guarantor under this Agreement and such Guarantor’s related Guarantee pursuant to a joinder to this Agreement and a new Guaranty, joinder or other documents or instruments (each in form and substance satisfactory to the Administrative Agent and the Lender) evidencing its joinder to the Loan Documents (including the Security Documents) as Successor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immediately after such transaction, no Default exists; and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shall have delivered to the Administrative Agent an Officer’s Certificate and an Opinion of Counsel, each stating that such consolidation, merger, amalgamation or transfer and such Guaranty, joinder and/or other documents or instruments, if any, comply with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the Subsidiary Guarantors, the transaction is not prohibited by Section 4.10(a) 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described in this Agreement, the Successor Guarantor will succeed to, and be substituted for, such Guarantor under this Agreement and such Guarantor’s Guarantee. Notwithstanding the foregoing, any Subsidiary Guarantor may (1) merge or consolidate with or into, wind up into or transfer all or part of its properties and assets to another Subsidiary Guarantor or the Borrower, (2) merge with an Affiliate of the Borrower solely for the purpose of reincorporating the Subsidiary Guarantor in the United States, any state thereof, the District of Columbia or any territory thereof or (3) convert into a corporation, partnership, limited partnership, limited liability corporation or trust organized or existing under the laws of the jurisdiction of organization of such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or conveyance and upon the assumption by the Successor Guarantor, by joinder to this Agreement and a new Guaranty, joinder or other documents or instruments, executed and delivered to the Administrative Agent and satisfactory in form to the Administrative Agent and the Lender, of the Guarantee set forth in this Article 11 and the due and punctual performance of all of the covenants and conditions of this Agreement to be performed by the Guarantor, such Successor Guarantor will succeed to and be substituted for the Guarantor with the same effect as if it had been named herein as a Guarantor. All the Guarantees so issued will in all respects have the same legal rank and benefit under this Agreement as the Guarantees theretofore and thereafter issued in accordance with the terms of this Agreement as though all of such Guarantees had been issued at the date of the execution hereof.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Articles 4 and 5 hereof, and notwithstanding clauses 1(a) and (b) of this Section 11.04, nothing contained in this Agreement or in any of the other Loan Documents will prevent any consolidation or merger of a Guarantor with or into the Borrower or another Guarantor, or will prevent any sale or conveyance of the property of a Guarantor as an entirety or substantially as an entirety to the Borrower or another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i/>
          <w:sz w:val="20"/>
        </w:rPr>
        <w:t>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Guarantee by a Subsidiary Guarantor will provide by its terms that it will be automatically and unconditionally released and discharged under its Guarantee upon: </w:t>
      </w:r>
    </w:p>
    <w:p>
      <w:pPr>
        <w:pStyle w:val="TextBody"/>
        <w:bidi w:val="0"/>
        <w:spacing w:before="120" w:after="0"/>
        <w:jc w:val="left"/>
        <w:rPr>
          <w:rFonts w:ascii="Times New Roman" w:hAnsi="Times New Roman"/>
          <w:sz w:val="20"/>
        </w:rPr>
      </w:pPr>
      <w:r>
        <w:rPr>
          <w:rFonts w:ascii="Times New Roman" w:hAnsi="Times New Roman"/>
          <w:sz w:val="20"/>
        </w:rPr>
        <w:t xml:space="preserve">(1) (a) any sale, exchange or transfer (by merger, amalgamation, consolidation or otherwise) of (i) the Capital Stock of such Subsidiary Guarantor, after which the applicable Subsidiary Guarantor is no longer a Restricted Subsidiary or (ii) all or substantially all the assets of such Subsidiary Guarantor, in each case if such sale, exchange or transfer is made in compliance with this applicable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release or discharge by such Subsidiary Guarantor of Indebtedness under (i) the Senior Credit Facilities, except a discharge or release in connection with the repayment in full and termination of commitments under the Senior Credit Facilities without being replaced with another Senior Credit Facility or (ii) in the case of a Guarantee made by a Subsidiary Guarantor (each, an “</w:t>
      </w:r>
      <w:r>
        <w:rPr>
          <w:rFonts w:ascii="Times New Roman" w:hAnsi="Times New Roman"/>
          <w:i/>
          <w:sz w:val="20"/>
        </w:rPr>
        <w:t>Other Guarantee</w:t>
      </w:r>
      <w:r>
        <w:rPr>
          <w:rFonts w:ascii="Times New Roman" w:hAnsi="Times New Roman"/>
          <w:sz w:val="20"/>
        </w:rPr>
        <w:t xml:space="preserve">”) as a result of its guarantee of Additional First Lien Obligations, Junior Lien Obligations, or capital markets debt securities of the Borrower or a Guarantor pursuant to Section 4.17 hereof, the relevant Additional First Lien Obligations, Junior Lien Obligations, or capital markets debt securities, except, in the case of clause (i) or (ii), a discharge or release by or as a result of payment by such Subsidiary Guarantor under the Indebtedness specified in such clause (i) or (ii) (it being understood that a release subject to a contingent reinstatement is still a release, and if any such Indebtedness of such Subsidiary Guarantor under the Senior Credit Facilities or any Other Guarantee is so reinstated, such Guarantee shall also be reinstated); </w:t>
      </w:r>
    </w:p>
    <w:p>
      <w:pPr>
        <w:pStyle w:val="TextBody"/>
        <w:bidi w:val="0"/>
        <w:spacing w:before="120" w:after="0"/>
        <w:jc w:val="left"/>
        <w:rPr>
          <w:rFonts w:ascii="Times New Roman" w:hAnsi="Times New Roman"/>
          <w:sz w:val="20"/>
        </w:rPr>
      </w:pPr>
      <w:r>
        <w:rPr>
          <w:rFonts w:ascii="Times New Roman" w:hAnsi="Times New Roman"/>
          <w:sz w:val="20"/>
        </w:rPr>
        <w:t xml:space="preserve">(c) the designation of any Restricted Subsidiary that is a Subsidiary Guarantor as an Unrestricted Subsidiary in accordance with the terms of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(d) [reserved]; and </w:t>
      </w:r>
    </w:p>
    <w:p>
      <w:pPr>
        <w:pStyle w:val="TextBody"/>
        <w:bidi w:val="0"/>
        <w:spacing w:before="120" w:after="0"/>
        <w:jc w:val="left"/>
        <w:rPr>
          <w:rFonts w:ascii="Times New Roman" w:hAnsi="Times New Roman"/>
          <w:sz w:val="20"/>
        </w:rPr>
      </w:pPr>
      <w:r>
        <w:rPr>
          <w:rFonts w:ascii="Times New Roman" w:hAnsi="Times New Roman"/>
          <w:sz w:val="20"/>
        </w:rPr>
        <w:t xml:space="preserve">(2) delivery by the Borrower to the Administrative Agent of an Officer’s Certificate and an Opinion of Counsel, each stating that all conditions precedent provided for in this Agreement relating to such transaction have been complied with and that the requested release is permitted under this Agreement (and the Lender hereby authorizes the Administrative Agent to rely on such Officer’s Certificate in providing the requested release). </w:t>
      </w:r>
    </w:p>
    <w:p>
      <w:pPr>
        <w:pStyle w:val="TextBody"/>
        <w:bidi w:val="0"/>
        <w:spacing w:before="240" w:after="0"/>
        <w:jc w:val="left"/>
        <w:rPr>
          <w:rFonts w:ascii="Times New Roman" w:hAnsi="Times New Roman"/>
          <w:sz w:val="20"/>
        </w:rPr>
      </w:pPr>
      <w:r>
        <w:rPr>
          <w:rFonts w:ascii="Times New Roman" w:hAnsi="Times New Roman"/>
          <w:sz w:val="20"/>
        </w:rPr>
        <w:t xml:space="preserve">Any Guarantor not released from its obligations under its Guarantee as provided in this Section 11.05 will remain liable for the full amount of principal of, premium on, if any, and interest, if any, on, the Term Loan and for the other obligations of any Guarantor under this Agreement as provided in this Article 11. </w:t>
      </w:r>
    </w:p>
    <w:p>
      <w:pPr>
        <w:pStyle w:val="TextBody"/>
        <w:bidi w:val="0"/>
        <w:spacing w:before="48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CONDITIONS PRECEDENT TO CREDIT EXTENSIONS.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Conditions to Initial Credit Extension</w:t>
      </w:r>
      <w:r>
        <w:rPr>
          <w:rFonts w:ascii="Times New Roman" w:hAnsi="Times New Roman"/>
          <w:sz w:val="20"/>
        </w:rPr>
        <w:t xml:space="preserve">. The obligation of the Lender to make a Credit Extension hereunder on the Closing Date is subject to satisfaction (or waiver by the Lender in its sole discretion, which waiver of any unsatisfied condition will be determined to have been granted by the Lender upon its funding of the Term Loan on the Closing Date)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and the Lender’s receipt of the following, each of which shall be originals or facsimiles (followed promptly by originals) unless otherwise specified, each properly executed by a Responsible Officer of the signing Loan Party each in form and substance reasonably satisfactory to the Lender: </w:t>
      </w:r>
    </w:p>
    <w:p>
      <w:pPr>
        <w:pStyle w:val="TextBody"/>
        <w:bidi w:val="0"/>
        <w:spacing w:before="120" w:after="0"/>
        <w:jc w:val="left"/>
        <w:rPr>
          <w:rFonts w:ascii="Times New Roman" w:hAnsi="Times New Roman"/>
          <w:sz w:val="20"/>
        </w:rPr>
      </w:pPr>
      <w:r>
        <w:rPr>
          <w:rFonts w:ascii="Times New Roman" w:hAnsi="Times New Roman"/>
          <w:sz w:val="20"/>
        </w:rPr>
        <w:t xml:space="preserve">(i) executed counterparts of this Agreement and the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Term Note executed by the Borrower in favor of the Lender; </w:t>
      </w:r>
    </w:p>
    <w:p>
      <w:pPr>
        <w:pStyle w:val="TextBody"/>
        <w:bidi w:val="0"/>
        <w:spacing w:before="240" w:after="0"/>
        <w:jc w:val="left"/>
        <w:rPr>
          <w:rFonts w:ascii="Times New Roman" w:hAnsi="Times New Roman"/>
          <w:sz w:val="20"/>
        </w:rPr>
      </w:pPr>
      <w:r>
        <w:rPr>
          <w:rFonts w:ascii="Times New Roman" w:hAnsi="Times New Roman"/>
          <w:sz w:val="20"/>
        </w:rPr>
        <w:t xml:space="preserve">(iii) each Security Document required to be executed on the Closing Date, duly executed by each Loan Party thereto: </w:t>
      </w:r>
    </w:p>
    <w:p>
      <w:pPr>
        <w:pStyle w:val="TextBody"/>
        <w:bidi w:val="0"/>
        <w:spacing w:before="240" w:after="0"/>
        <w:jc w:val="left"/>
        <w:rPr>
          <w:rFonts w:ascii="Times New Roman" w:hAnsi="Times New Roman"/>
          <w:sz w:val="20"/>
        </w:rPr>
      </w:pPr>
      <w:r>
        <w:rPr>
          <w:rFonts w:ascii="Times New Roman" w:hAnsi="Times New Roman"/>
          <w:sz w:val="20"/>
        </w:rPr>
        <w:t xml:space="preserve">(iv) such certificates of good standing from the applicable secretary of the state of organization of each Loan Party, such certificates of resolutions or other action, incumbency certificates and/or other certificates of Responsible Officers of each Loan Party as the Lender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(v) an opinion from Davis Polk &amp; Wardwell LLP, New York counsel to the Loan Parties, (ii) an opinion from Young Conaway Stargatt &amp; Taylor, LLP, Delaware counsel to the Loan Parties and (iii) an opinion from Gordon Rees Scully Manuskhani, LLP, New Mexico and Maryland counsel to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(vi) a certificate attesting to the Solvency of the Borrower and its Restricted Subsidiaries (taken as a whole) on the Closing Date after giving effect to the Transaction, from the Chief Financial Officer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(vii) evidence that all insurance required to be maintained pursuant to the Loan Documents has been obtained and is in effect and that the Administrative Agent has been named as lender’s loss payee and/or additional insured, as applicable, under each insurance policy with respect to such insurance as to which the Lender shall have requested the Administrative Agent to be so named; </w:t>
      </w:r>
    </w:p>
    <w:p>
      <w:pPr>
        <w:pStyle w:val="TextBody"/>
        <w:bidi w:val="0"/>
        <w:spacing w:before="240" w:after="0"/>
        <w:jc w:val="left"/>
        <w:rPr>
          <w:rFonts w:ascii="Times New Roman" w:hAnsi="Times New Roman"/>
          <w:sz w:val="20"/>
        </w:rPr>
      </w:pPr>
      <w:r>
        <w:rPr>
          <w:rFonts w:ascii="Times New Roman" w:hAnsi="Times New Roman"/>
          <w:sz w:val="20"/>
        </w:rPr>
        <w:t xml:space="preserve">(viii) a Committed Loan Notice relating to the Credit Extensions in an amount equal to the Closing Date Commitment; </w:t>
      </w:r>
    </w:p>
    <w:p>
      <w:pPr>
        <w:pStyle w:val="TextBody"/>
        <w:bidi w:val="0"/>
        <w:spacing w:before="240" w:after="0"/>
        <w:jc w:val="left"/>
        <w:rPr>
          <w:rFonts w:ascii="Times New Roman" w:hAnsi="Times New Roman"/>
          <w:sz w:val="20"/>
        </w:rPr>
      </w:pPr>
      <w:r>
        <w:rPr>
          <w:rFonts w:ascii="Times New Roman" w:hAnsi="Times New Roman"/>
          <w:sz w:val="20"/>
        </w:rPr>
        <w:t xml:space="preserve">(ix) copies of a recent Lien and judgment search in each jurisdiction reasonably requested by the Lender with respect to the Loan Parties; and </w:t>
      </w:r>
    </w:p>
    <w:p>
      <w:pPr>
        <w:pStyle w:val="TextBody"/>
        <w:bidi w:val="0"/>
        <w:spacing w:before="240" w:after="0"/>
        <w:jc w:val="left"/>
        <w:rPr>
          <w:rFonts w:ascii="Times New Roman" w:hAnsi="Times New Roman"/>
          <w:sz w:val="20"/>
        </w:rPr>
      </w:pPr>
      <w:r>
        <w:rPr>
          <w:rFonts w:ascii="Times New Roman" w:hAnsi="Times New Roman"/>
          <w:sz w:val="20"/>
        </w:rPr>
        <w:t xml:space="preserve">(x) an Intercompany Note duly executed by each Loan Party. </w:t>
      </w:r>
    </w:p>
    <w:p>
      <w:pPr>
        <w:pStyle w:val="TextBody"/>
        <w:bidi w:val="0"/>
        <w:spacing w:before="240" w:after="0"/>
        <w:jc w:val="left"/>
        <w:rPr>
          <w:rFonts w:ascii="Times New Roman" w:hAnsi="Times New Roman"/>
          <w:sz w:val="20"/>
        </w:rPr>
      </w:pPr>
      <w:r>
        <w:rPr>
          <w:rFonts w:ascii="Times New Roman" w:hAnsi="Times New Roman"/>
          <w:sz w:val="20"/>
        </w:rPr>
        <w:t xml:space="preserve">(b) All fees and expenses required to be paid to the Lender and the Administrative Agent hereunder and pursuant to the Commitment Letter, the Fee Letter and/or the Administrative Agent Fee Letter and invoiced on or before the Closing Date shall have been paid in full in cash or directed by the Borrower to be paid with the proceeds of the Term Loans made on the Closing Date. The Administrative Agent shall have received a fully executed copy of the Administrative Agent Fee Letter.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[Reserved]. </w:t>
      </w:r>
    </w:p>
    <w:p>
      <w:pPr>
        <w:pStyle w:val="TextBody"/>
        <w:bidi w:val="0"/>
        <w:spacing w:before="240" w:after="0"/>
        <w:jc w:val="left"/>
        <w:rPr>
          <w:rFonts w:ascii="Times New Roman" w:hAnsi="Times New Roman"/>
          <w:sz w:val="20"/>
        </w:rPr>
      </w:pPr>
      <w:r>
        <w:rPr>
          <w:rFonts w:ascii="Times New Roman" w:hAnsi="Times New Roman"/>
          <w:sz w:val="20"/>
        </w:rPr>
        <w:t xml:space="preserve">(f)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 the Borrower, Holdings, each of the other Grantors (as defined in the Existing Intercreditor Agreement) and Lender in its capacity as sole lender and representative under the Term Facility (or the Administrative Agent on its behalf) shall have executed and delivered the Intercreditor Joinder Agreement, (ii) the Borrower shall have satisfied all other conditions required to validly join the Lender (or the administrative Agent on its behalf) in accordance with Section 5.13 of the Existing Intercreditor Agreement, and the Applicable Authorized Representative (as defined in the Existing Intercreditor Agreement) shall have confirmed in writing (including via email) that the Intercreditor Joinder Agreement and the Loan Documents satisfy the requirements of Section 5.13 of the Existing Intercreditor Agreement, and (iii) the Obligations hereunder shall be </w:t>
      </w:r>
      <w:r>
        <w:rPr>
          <w:rFonts w:ascii="Times New Roman" w:hAnsi="Times New Roman"/>
          <w:i/>
          <w:sz w:val="20"/>
        </w:rPr>
        <w:t>pari passu</w:t>
      </w:r>
      <w:r>
        <w:rPr>
          <w:rFonts w:ascii="Times New Roman" w:hAnsi="Times New Roman"/>
          <w:sz w:val="20"/>
        </w:rPr>
        <w:t xml:space="preserve"> with the Existing First Lien Obligations.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Section 4.01, this Agreement shall not impair the availability of the Term Facility on the Closing Date if the conditions set forth in this Section 4.01 are satisfied or waived (it being understood that, to the extent any security interest in the intended Collateral or any deliverable related to the perfection of security interests in the intended collateral under the Term Facility (other than any Collateral the security interest in which may be perfected by the filing of a UCC financing statement or the possession of the stock certificate of the Borrower) is not or cannot be provided and/or perfected on the Closing Date after your use of reasonable best efforts to do so, then the provision and/or perfection of such security interest(s) or deliverable shall not constitute a condition precedent to the availability of the Term Facility on the Closing Date but shall be required to be delivered sixty (60) days after the Closing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Borrower, any Guarantor or the Administrative Agent to the others is duly given if in writing and delivered in Person or by first class mail (registered or certified, return receipt requested), email or facsimile transmission or overnight air courier guaranteeing next day delivery, to the others’ address: </w:t>
      </w:r>
    </w:p>
    <w:p>
      <w:pPr>
        <w:pStyle w:val="TextBody"/>
        <w:bidi w:val="0"/>
        <w:spacing w:before="120" w:after="0"/>
        <w:jc w:val="left"/>
        <w:rPr>
          <w:rFonts w:ascii="Times New Roman" w:hAnsi="Times New Roman"/>
          <w:sz w:val="20"/>
        </w:rPr>
      </w:pPr>
      <w:r>
        <w:rPr>
          <w:rFonts w:ascii="Times New Roman" w:hAnsi="Times New Roman"/>
          <w:sz w:val="20"/>
        </w:rPr>
        <w:t xml:space="preserve">If to the Borrower and/or any Guarantor: Sabre GLBL Inc. </w:t>
      </w:r>
    </w:p>
    <w:p>
      <w:pPr>
        <w:pStyle w:val="TextBody"/>
        <w:bidi w:val="0"/>
        <w:spacing w:before="120" w:after="0"/>
        <w:jc w:val="left"/>
        <w:rPr>
          <w:rFonts w:ascii="Times New Roman" w:hAnsi="Times New Roman"/>
          <w:sz w:val="20"/>
        </w:rPr>
      </w:pPr>
      <w:r>
        <w:rPr>
          <w:rFonts w:ascii="Times New Roman" w:hAnsi="Times New Roman"/>
          <w:sz w:val="20"/>
        </w:rPr>
        <w:t xml:space="preserve">3150 Sabre Drive, </w:t>
      </w:r>
    </w:p>
    <w:p>
      <w:pPr>
        <w:pStyle w:val="TextBody"/>
        <w:bidi w:val="0"/>
        <w:spacing w:before="0" w:after="0"/>
        <w:jc w:val="left"/>
        <w:rPr>
          <w:rFonts w:ascii="Times New Roman" w:hAnsi="Times New Roman"/>
          <w:sz w:val="20"/>
        </w:rPr>
      </w:pPr>
      <w:r>
        <w:rPr>
          <w:rFonts w:ascii="Times New Roman" w:hAnsi="Times New Roman"/>
          <w:sz w:val="20"/>
        </w:rPr>
        <w:t xml:space="preserve">Southlake, TX 76092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Rochelle.Boas@sabre.com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Davis Polk &amp; Wardwell LLP </w:t>
      </w:r>
    </w:p>
    <w:p>
      <w:pPr>
        <w:pStyle w:val="TextBody"/>
        <w:bidi w:val="0"/>
        <w:spacing w:before="0" w:after="0"/>
        <w:jc w:val="left"/>
        <w:rPr>
          <w:rFonts w:ascii="Times New Roman" w:hAnsi="Times New Roman"/>
          <w:sz w:val="20"/>
        </w:rPr>
      </w:pPr>
      <w:r>
        <w:rPr>
          <w:rFonts w:ascii="Times New Roman" w:hAnsi="Times New Roman"/>
          <w:sz w:val="20"/>
        </w:rPr>
        <w:t xml:space="preserve">450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Facsimile: (212) 701-5839 </w:t>
      </w:r>
    </w:p>
    <w:p>
      <w:pPr>
        <w:pStyle w:val="TextBody"/>
        <w:bidi w:val="0"/>
        <w:spacing w:before="0" w:after="0"/>
        <w:jc w:val="left"/>
        <w:rPr>
          <w:rFonts w:ascii="Times New Roman" w:hAnsi="Times New Roman"/>
          <w:sz w:val="20"/>
        </w:rPr>
      </w:pPr>
      <w:r>
        <w:rPr>
          <w:rFonts w:ascii="Times New Roman" w:hAnsi="Times New Roman"/>
          <w:sz w:val="20"/>
        </w:rPr>
        <w:t xml:space="preserve">Attention: Yasin Keshvargar </w:t>
      </w:r>
    </w:p>
    <w:p>
      <w:pPr>
        <w:pStyle w:val="TextBody"/>
        <w:bidi w:val="0"/>
        <w:spacing w:before="120" w:after="0"/>
        <w:jc w:val="left"/>
        <w:rPr>
          <w:rFonts w:ascii="Times New Roman" w:hAnsi="Times New Roman"/>
          <w:sz w:val="20"/>
        </w:rPr>
      </w:pPr>
      <w:r>
        <w:rPr>
          <w:rFonts w:ascii="Times New Roman" w:hAnsi="Times New Roman"/>
          <w:sz w:val="20"/>
        </w:rPr>
        <w:t xml:space="preserve">If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50 South Sixth Street, Suite 1290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0" w:after="0"/>
        <w:jc w:val="left"/>
        <w:rPr>
          <w:rFonts w:ascii="Times New Roman" w:hAnsi="Times New Roman"/>
          <w:sz w:val="20"/>
        </w:rPr>
      </w:pPr>
      <w:r>
        <w:rPr>
          <w:rFonts w:ascii="Times New Roman" w:hAnsi="Times New Roman"/>
          <w:sz w:val="20"/>
        </w:rPr>
        <w:t xml:space="preserve">Attn: Annmarie Warren </w:t>
      </w:r>
    </w:p>
    <w:p>
      <w:pPr>
        <w:pStyle w:val="TextBody"/>
        <w:bidi w:val="0"/>
        <w:spacing w:before="0" w:after="0"/>
        <w:jc w:val="left"/>
        <w:rPr>
          <w:rFonts w:ascii="Times New Roman" w:hAnsi="Times New Roman"/>
          <w:sz w:val="20"/>
        </w:rPr>
      </w:pPr>
      <w:r>
        <w:rPr>
          <w:rFonts w:ascii="Times New Roman" w:hAnsi="Times New Roman"/>
          <w:sz w:val="20"/>
        </w:rPr>
        <w:t xml:space="preserve">Phone: (612) 217-5669 </w:t>
      </w:r>
    </w:p>
    <w:p>
      <w:pPr>
        <w:pStyle w:val="TextBody"/>
        <w:bidi w:val="0"/>
        <w:spacing w:before="0" w:after="0"/>
        <w:jc w:val="left"/>
        <w:rPr>
          <w:rFonts w:ascii="Times New Roman" w:hAnsi="Times New Roman"/>
          <w:sz w:val="20"/>
        </w:rPr>
      </w:pPr>
      <w:r>
        <w:rPr>
          <w:rFonts w:ascii="Times New Roman" w:hAnsi="Times New Roman"/>
          <w:sz w:val="20"/>
        </w:rPr>
        <w:t xml:space="preserve">Email: awarren@wilmingtontrust.com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Arnold &amp; Porter Kaye Scholer LLP </w:t>
      </w:r>
    </w:p>
    <w:p>
      <w:pPr>
        <w:pStyle w:val="TextBody"/>
        <w:bidi w:val="0"/>
        <w:spacing w:before="0" w:after="0"/>
        <w:jc w:val="left"/>
        <w:rPr>
          <w:rFonts w:ascii="Times New Roman" w:hAnsi="Times New Roman"/>
          <w:sz w:val="20"/>
        </w:rPr>
      </w:pPr>
      <w:r>
        <w:rPr>
          <w:rFonts w:ascii="Times New Roman" w:hAnsi="Times New Roman"/>
          <w:sz w:val="20"/>
        </w:rPr>
        <w:t xml:space="preserve">250 West 55th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rFonts w:ascii="Times New Roman" w:hAnsi="Times New Roman"/>
          <w:sz w:val="20"/>
        </w:rPr>
      </w:pPr>
      <w:r>
        <w:rPr>
          <w:rFonts w:ascii="Times New Roman" w:hAnsi="Times New Roman"/>
          <w:sz w:val="20"/>
        </w:rPr>
        <w:t xml:space="preserve">Attention: Alan Glantz </w:t>
      </w:r>
    </w:p>
    <w:p>
      <w:pPr>
        <w:pStyle w:val="TextBody"/>
        <w:bidi w:val="0"/>
        <w:spacing w:before="0" w:after="0"/>
        <w:jc w:val="left"/>
        <w:rPr>
          <w:rFonts w:ascii="Times New Roman" w:hAnsi="Times New Roman"/>
          <w:sz w:val="20"/>
        </w:rPr>
      </w:pPr>
      <w:r>
        <w:rPr>
          <w:rFonts w:ascii="Times New Roman" w:hAnsi="Times New Roman"/>
          <w:sz w:val="20"/>
        </w:rPr>
        <w:t xml:space="preserve">Phone: (212) 836-7253 </w:t>
      </w:r>
    </w:p>
    <w:p>
      <w:pPr>
        <w:pStyle w:val="TextBody"/>
        <w:bidi w:val="0"/>
        <w:spacing w:before="0" w:after="0"/>
        <w:jc w:val="left"/>
        <w:rPr>
          <w:rFonts w:ascii="Times New Roman" w:hAnsi="Times New Roman"/>
          <w:sz w:val="20"/>
        </w:rPr>
      </w:pPr>
      <w:r>
        <w:rPr>
          <w:rFonts w:ascii="Times New Roman" w:hAnsi="Times New Roman"/>
          <w:sz w:val="20"/>
        </w:rPr>
        <w:t xml:space="preserve">Email: alan.glantz@arnoldporter.com </w:t>
      </w:r>
    </w:p>
    <w:p>
      <w:pPr>
        <w:pStyle w:val="TextBody"/>
        <w:bidi w:val="0"/>
        <w:spacing w:before="240" w:after="0"/>
        <w:jc w:val="left"/>
        <w:rPr>
          <w:rFonts w:ascii="Times New Roman" w:hAnsi="Times New Roman"/>
          <w:sz w:val="20"/>
        </w:rPr>
      </w:pPr>
      <w:r>
        <w:rPr>
          <w:rFonts w:ascii="Times New Roman" w:hAnsi="Times New Roman"/>
          <w:sz w:val="20"/>
        </w:rPr>
        <w:t xml:space="preserve">The Borrower, any Guarantor or the Administrative Agent, by notice to the others,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will be deemed to have been duly given: at the time delivered by hand, if personally delivered; five Business Days after being deposited in the mail, postage prepaid, if mailed; when receipt acknowledged, if transmitted by facsimile or e-mail in pdf format; and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in the manner provided above within the time prescribed,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Borrower to the Administrative Agent to take any action under this Agreement, the Borrower shall furnish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in form and substance reasonably satisfactory to the Administrative Agent (which must include the statements set forth in Section 13.04 hereof) stating that, in the opinion of the signers, all conditions precedent and covenants, if any, provided for in this Agreement relating to the proposed action have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(2) an Opinion of Counsel in form and substance reasonably satisfactory to the Administrative Agent (which must include the statements set forth in Section 13.04 hereof) stating that, in the opinion of such counsel, all such conditions precedent and covenants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i/>
          <w:sz w:val="20"/>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Agreement must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statement that, in the opinion of such Person, he or she has made such examination or investigation as is necessary to enable him or her to express an informed opinion as to whether or not such covenant or condition has been satisfied (and, in the case of an Opinion of Counsel, may be limited to reliance on an Officer’s Certificate as to matters of fact); and </w:t>
      </w:r>
    </w:p>
    <w:p>
      <w:pPr>
        <w:pStyle w:val="TextBody"/>
        <w:bidi w:val="0"/>
        <w:spacing w:before="120" w:after="0"/>
        <w:jc w:val="left"/>
        <w:rPr>
          <w:rFonts w:ascii="Times New Roman" w:hAnsi="Times New Roman"/>
          <w:sz w:val="20"/>
        </w:rPr>
      </w:pPr>
      <w:r>
        <w:rPr>
          <w:rFonts w:ascii="Times New Roman" w:hAnsi="Times New Roman"/>
          <w:sz w:val="20"/>
        </w:rPr>
        <w:t xml:space="preserve">(4) a statement as to whether or not, in the opinion of such Person, such condition or covenant has been satisfied; </w:t>
      </w:r>
      <w:r>
        <w:rPr>
          <w:rFonts w:ascii="Times New Roman" w:hAnsi="Times New Roman"/>
          <w:i/>
          <w:sz w:val="20"/>
        </w:rPr>
        <w:t xml:space="preserve">provided </w:t>
      </w:r>
      <w:r>
        <w:rPr>
          <w:rFonts w:ascii="Times New Roman" w:hAnsi="Times New Roman"/>
          <w:sz w:val="20"/>
        </w:rPr>
        <w:t xml:space="preserve">that with respect to matters of fact, an Opinion of Counsel may rely on an Officer’s Certificate or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i/>
          <w:sz w:val="20"/>
        </w:rPr>
        <w:t>No Personal Liability of Directors, Officers, Employees and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past, present or future director, officer, employee, incorporator, member, partner or stockholder of the Borrower or any Guarantor or any of their direct or indirect parent companies (other than the Borrower and the Guarantors), as such, will have any liability for any obligations of the Borrower or the Guarantors under the Term Loan, this Agreement, the Loan Documents or the Security Documents or for any claim based on, in respect of, or by reason of, such obligations or their creation.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i/>
          <w:sz w:val="20"/>
        </w:rPr>
        <w:t>Governing Law; Waiver of Jury Trial; Consent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THE TERM LOAN, THE GUARANTEES AND, EXCEPT AS OTHERWISE EXPRESSLY PROVIDED THEREIN, THE SECURITY DOCUMENTS AND OTHER LOAN DOCUMENTS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To the fullest extent permitted by applicable law, the Borrower and each Guarantor hereby irrevocably submits to the jurisdiction of any Federal or State court located in the Borough of Manhattan in The City of New York, New York in any suit, action or proceeding based on or arising out of or relating to this Agreement, the other Loan Documents or the Term Loan and irrevocably agrees that all claims in respect of such suit or proceeding may be determined in any such court. The Borrower and each Guarantor irrevocably waives, to the fullest extent permitted by law, any objection which it may have to the laying of the venue of any such suit, action or proceeding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(c) EACH OF THE BORROWER, THE GUARANTORS, THE LENDER AND THE ADMINISTRATIVE AGENT HEREBY IRREVOCABLY WAIVES, TO THE FULLEST EXTENT PERMITTED BY APPLICABLE LAW, ANY AND ALL RIGHT TO TRIAL BY JURY IN ANY LEGAL PROCEEDING ARISING OUT OF OR RELATING TO THIS AGREEMENT, THE TERM LOAN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i/>
          <w:sz w:val="20"/>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not be used to interpret any other credit agreement, indenture, loan or debt agreement of the Borrower or its Subsidiaries or of any other Person. Any such credit agreement, indenture, loan or debt agreement may not be used to interpret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13.09 </w:t>
      </w:r>
      <w:r>
        <w:rPr>
          <w:rFonts w:ascii="Times New Roman" w:hAnsi="Times New Roman"/>
          <w:i/>
          <w:sz w:val="20"/>
        </w:rPr>
        <w:t>Successors; Register.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Borrower in this Agreement will bind its successors. All agreements of the Administrative Agent in this Agreement will bind its successors. All agreements of each Guarantor in this Agreement will bind its successors, except as otherwise provided in Section 10.04 hereof. Notwithstanding the foregoing, the Lender shall not (and shall not be permitted to) assign any of its rights or obligations under this Agreement or any of the other Loan Documents without (i) a written agreement evidencing such assignment being entered into in writing among (and being in form and substance satisfactory to) the Borrower, the Lender and the Administrative Agent and (ii) the Administrative Agent receiving such tax forms, Administrative Questionnaires, assignment fees, and documentation and other information required by bank regulatory authorities under applicable “know your customer” and anti-money laundering rules and regulations, including the USA PATRIOT Act, in each case as requested by the Administrative Agent. </w:t>
      </w:r>
    </w:p>
    <w:p>
      <w:pPr>
        <w:pStyle w:val="TextBody"/>
        <w:bidi w:val="0"/>
        <w:spacing w:before="240" w:after="0"/>
        <w:jc w:val="left"/>
        <w:rPr>
          <w:rFonts w:ascii="Times New Roman" w:hAnsi="Times New Roman"/>
          <w:sz w:val="20"/>
        </w:rPr>
      </w:pPr>
      <w:r>
        <w:rPr>
          <w:rFonts w:ascii="Times New Roman" w:hAnsi="Times New Roman"/>
          <w:sz w:val="20"/>
        </w:rPr>
        <w:t>The Administrative Agent, acting solely for this purpose as a non-fiduciary agent of the Borrower, shall maintain at one of its offices in the United States a register for the recordation of the name and address of the Lender, and the Commitments of, and principal amounts (and related interest amounts) of the Term Loans (the “</w:t>
      </w:r>
      <w:r>
        <w:rPr>
          <w:rFonts w:ascii="Times New Roman" w:hAnsi="Times New Roman"/>
          <w:i/>
          <w:sz w:val="20"/>
        </w:rPr>
        <w:t>Register</w:t>
      </w:r>
      <w:r>
        <w:rPr>
          <w:rFonts w:ascii="Times New Roman" w:hAnsi="Times New Roman"/>
          <w:sz w:val="20"/>
        </w:rPr>
        <w:t xml:space="preserve">”). The entries in the Register shall be conclusive, absent manifest error, and the Borrower, the Agents and the Lender shall treat each Person whose name is recorded in the Register pursuant to the terms hereof as the Lender hereunder for all purposes of this Agreement, notwithstanding notice to the contrary. The Register shall be available for inspection by the Borrower, any Agent and, with respect to its own Term Loans, the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i/>
          <w:sz w:val="20"/>
        </w:rPr>
        <w:t>Attorney Costs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agrees (a) to pay or reimburse the Administrative Agent and the Lender for all reasonable and documented out of 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of (x) one primary counsel to the Administrative Agent and, if reasonably necessary, one local and foreign counsel to the Administrative Agent in each relevant jurisdiction and (y) one primary counsel to the Lender and one local and foreign counsel to the Lender in each relevant jurisdiction, in the case of an actual conflict of interest, one additional counsel to the affected parties taken as a whole, and (b) to pay or reimburse the Administrative Agent, each other Agent and the Lender for all reasonable and documented out-of-pocket costs and expenses incurred in connection with the enforcement of any rights or remedies under this Agreement or the other Loan Documents (including all such costs and expenses incurred during any legal proceeding, including any proceeding under any Bankruptcy Law, and including all Attorney Costs of (x) one primary counsel to the Administrative Agent and, if reasonably necessary, one local and foreign counsel to the Administrative Agent in each relevant jurisdiction and (y) one primary counsel to the Lender and, if reasonably necessary, one local and foreign counsel to the Lender in each relevant jurisdiction). The foregoing costs shall include all reasonable search, filing, recording and title insurance charges and fees related thereto, and other documented out-of-pocket expenses incurred by the Administrative Agent. The agreements in this Section 13.10 shall survive the termination of the Commitment and repayment of all other Obligations. All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under this Section 13.10 shall be paid promptly following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or such Guarantor by the Administrative Agent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i/>
          <w:sz w:val="20"/>
        </w:rPr>
        <w:t>Payments Set Aside.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payment by or on behalf of the Borrower is made to the Administrative Agent or the Lender, or the Administrative Agent or the Lender exercises its right of setoff, and such payment or the proceeds of such setoff or any part thereof is subsequently invalidated, declared to be fraudulent or preferential, set aside or required (including pursuant to any settlement entered into by such Agent or the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the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Federal Funds Rate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i/>
          <w:sz w:val="20"/>
        </w:rPr>
        <w:t>Indemnification by the Borrower.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Borrower shall indemnify and hold harmless the Administrative Agent, the Lender and their respective Affiliates, directors, officers, employees, agents, trustees or advisors (collectively the “</w:t>
      </w:r>
      <w:r>
        <w:rPr>
          <w:rFonts w:ascii="Times New Roman" w:hAnsi="Times New Roman"/>
          <w:i/>
          <w:sz w:val="20"/>
        </w:rPr>
        <w:t>Indemnitees</w:t>
      </w:r>
      <w:r>
        <w:rPr>
          <w:rFonts w:ascii="Times New Roman" w:hAnsi="Times New Roman"/>
          <w:sz w:val="20"/>
        </w:rPr>
        <w:t>”) from and against any and all liabilities, obligations, losses, damages, penalties, claims, demands, actions, judgments, suits, costs, reasonable and documented or invoiced out-of-pocket fees and expenses, and disbursements (including Attorney Costs) of any kind or nature whatsoever which may at any time be imposed on, incurred by or asserted against any such Indemnitee in any way relating to or arising out of or in connection with (but limited, in the case of Attorney Costs, to the reasonable and documented out-of-pocket fees, disbursements and other charges of (x) one counsel to the Administrative Agent and its Agent-Related Persons taken as a whole and, if reasonably necessary, a single local counsel for the Administrative Agent and its Agent-Related Persons taken as a whole in each relevant jurisdiction and (y) one counsel to all other Indemnitees taken as a whole and, if reasonably necessary, a single local counsel for all other Indemnitees taken as a whole in each relevant jurisdiction, and solely in the case of a conflict of interest, one additional counsel in each relevant jurisdiction to each group of affected Indemnitees similarly situated taken as a whole) (a) the execution, delivery, enforcement, performance or administration of any Loan Document or any other agreement, letter or instrument delivered in connection with the transactions contemplated thereby or the consummation of the transactions contemplated thereby, (b) any Commitment, Term Loan or the use or proposed use of the proceeds therefrom, (c) any actual or alleged presence or release of Hazardous Materials on or from any property currently or formerly owned or operated by the Borrower, any Subsidiary or any other Loan Party, or any Environmental Liability arising out of the activities or operations of the Borrower, any Subsidiary or any other Loan Party,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w:t>
      </w:r>
      <w:r>
        <w:rPr>
          <w:rFonts w:ascii="Times New Roman" w:hAnsi="Times New Roman"/>
          <w:i/>
          <w:sz w:val="20"/>
        </w:rPr>
        <w:t>Indemnified Liabilities</w:t>
      </w:r>
      <w:r>
        <w:rPr>
          <w:rFonts w:ascii="Times New Roman" w:hAnsi="Times New Roman"/>
          <w:sz w:val="20"/>
        </w:rPr>
        <w:t xml:space="preserve">”); provided that such indemnity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as to any Indemnitee, be available to the extent that such liabilities, obligations, losses, damages, penalties, claims, demands, actions, judgments, suits, costs, expenses or disbursements resulted from (x) the gross negligence, bad faith (other than in the case of the Administrative Agent and its Agent-Related Persons) or willful misconduct of such Indemnitee or Related Indemnified Person, as determined by a court of competent jurisdiction in a final and non-appealable judgment, (y) other than in the case of the Administrative Agent and its Agent-Related Persons, a material breach of any obligations under any Loan Document by such Indemnitee or Related Indemnified Person, as determined by a court of competent jurisdiction in a final and non-appealable judgment, or (z) any dispute that is among Indemnitees (other than any dispute involving claims against the Administrative Agent, or any other Agent, in each case in their respective capacities as such) that a court of competent jurisdiction has determined in a final and non-appealable judgment did not involve actions or omissions of any direct or indirect parent or controlling person of the Borrower or their Subsidiaries. No Indemnitee shall be liable for any damages arising from the use by others of any information or other materials obtained through IntraLinks or other similar information transmission systems in connection with this Agreement unless determined by a court of competent jurisdiction in a final and non-appealable judgment to have resulted from the gross negligence, bad faith (other than in the case of the Administrative Agent and its Agent-Related Persons) or willful misconduct of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In the case of an investigation, litigation or other proceeding to which the indemnity in this Section 13.12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Section 13.12 shall be paid within 30 days after written demand therefor; provided, however, that such Indemnitee shall promptly refund such amount to the extent that there is a final, non-appealable judgment of a court of competent jurisdiction that such Indemnitee was not entitled to indemnification or contribution rights with respect to such payment pursuant to the express terms of this Section 13.12. The agreements in this Section 13.10 shall survive the resignation of the Administrative Agent, the replacement of the Lender, the termination of the Commitment and the repayment, satisfaction or discharge of all the other Loan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i/>
          <w:sz w:val="20"/>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Agreement or any other Loan Document is invalid, illegal or unenforceable, the validity, legality and enforceability of the remaining provisions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13.14 </w:t>
      </w:r>
      <w:r>
        <w:rPr>
          <w:rFonts w:ascii="Times New Roman" w:hAnsi="Times New Roman"/>
          <w:i/>
          <w:sz w:val="20"/>
        </w:rPr>
        <w:t>Counterpart Originals.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i/>
          <w:sz w:val="20"/>
        </w:rPr>
        <w:t>Integration.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hAnsi="Times New Roman"/>
          <w:i/>
          <w:sz w:val="20"/>
        </w:rPr>
        <w:t>provided</w:t>
      </w:r>
      <w:r>
        <w:rPr>
          <w:rFonts w:ascii="Times New Roman" w:hAnsi="Times New Roman"/>
          <w:sz w:val="20"/>
        </w:rPr>
        <w:t xml:space="preserve"> that the inclusion of supplemental rights or remedies in favor of the Administrative Agent or the Lender in any other Loan Document shall not be deemed a conflict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13.16 </w:t>
      </w:r>
      <w:r>
        <w:rPr>
          <w:rFonts w:ascii="Times New Roman" w:hAnsi="Times New Roman"/>
          <w:i/>
          <w:sz w:val="20"/>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Cross-Reference Table and Headings of the Articles and Sections of this Agreement have been inserted for convenience of reference only, are not to be considered a part of this Agreement and will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13.17 </w:t>
      </w:r>
      <w:r>
        <w:rPr>
          <w:rFonts w:ascii="Times New Roman" w:hAnsi="Times New Roman"/>
          <w:i/>
          <w:sz w:val="20"/>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Administrative Agent be responsible or liable for any failure or delay in the performance of its obligations hereunder arising out of or caused by, directly or indirectly, forces beyond its control, including, without limitation, (i) any act or provision of any present or future law or regulation or governmental authority, (ii) any act of God, (iii) natural disaster, (iv) war, (v) terrorism, (vi) civil unrest, (vii) accidents, (viii) labor dispute, (ix) disease, (x) epidemic or pandemic, (xi) quarantine, (xii) national emergency, (xiii) loss or malfunction of utility or computer software or hardware, (xiv) communications system failure, (xv) malware or ransomware or (xvi) unavailability of the Federal Reserve Bank wire or telex system or other wire or other funds transfer systems, or (xvii) unavailability of any securities clearing system; it being understood that the Administrative Agent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13.18 </w:t>
      </w:r>
      <w:r>
        <w:rPr>
          <w:rFonts w:ascii="Times New Roman" w:hAnsi="Times New Roman"/>
          <w:i/>
          <w:sz w:val="20"/>
        </w:rPr>
        <w:t>Binding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become effective when it shall have been executed by the Borrower and Holdings and the Administrative Agent shall have been notified by the Lender (or counsel to the Lender) that the Lender has executed it and thereafter shall be binding upon and inure to the benefit of the Borrower and Holdings, the Administrative Agent and the Lender and their respective successors and assigns. Notwithstanding the foregoing, the parties hereto agree that (a) the Lender Notes Trustee, the Lender Notes Collateral Agent and the Holders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Lender Notes are express third-party beneficiaries of, and may enforce, the provisions in this Agreement that are expressly in their favor, and (b) that the provisions in this Agreement that are expressly in favor of the Lender Notes Trustee, the Lender Notes Collateral Agent and/or the Holders of the Lender Notes and the definitions “Lender Notes,” “Lender Notes Trustee,” “Lender Notes Collateral Agent” and “Holders of the Lender Notes” (and any other provisions of this Agreement to the extent a modification thereof would adversely modify the substance of any of the foregoing as it affects the Lender Notes Trustee, the Lender Notes Collateral Agent and/or the Holders of the Lender Notes) shall not be materially amended, waived or otherwise modified, in each case, in any way adverse to the Lender Notes Trustee, the Lender Notes Collateral Agent and/or the Holders of the Lender Notes without the prior written consent of the Lender Notes Trustee, the Lender Notes Collateral Agent (each acting at the direction of the Holders of the Lender Notes holding a majority of Lender Notes) and the Holders of the Lender Notes holding a majority of Lender Notes (which consent shall be given and deemed satisfied by receipt of a Lender Notes Trustee Direction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13.19 </w:t>
      </w:r>
      <w:r>
        <w:rPr>
          <w:rFonts w:ascii="Times New Roman" w:hAnsi="Times New Roman"/>
          <w:i/>
          <w:sz w:val="20"/>
        </w:rPr>
        <w:t>Lender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 of this Section 13.19 are for the sole benefit of the Lender and shall not afford any right to, or constitute a defense available to, any Loan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13.20 </w:t>
      </w:r>
      <w:r>
        <w:rPr>
          <w:rFonts w:ascii="Times New Roman" w:hAnsi="Times New Roman"/>
          <w:i/>
          <w:sz w:val="20"/>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Administrative Agent, like all financial institutions and in order to help fight the funding of terrorism and money laundering, is required to obtain, verify, and record information that identifies each person or legal entity that establishes a relationship or opens an account with the Administrative Agent. The parties to this Agreement agree that they will provide the Administrative Agent with such information as it may request in order for the Administrative Agent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13.21 </w:t>
      </w:r>
      <w:r>
        <w:rPr>
          <w:rFonts w:ascii="Times New Roman" w:hAnsi="Times New Roman"/>
          <w:i/>
          <w:sz w:val="20"/>
        </w:rPr>
        <w:t>Copies of 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written request from the Lender, the Borrower shall provide copies of this Agreement or the Security Documents to the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13.22 </w:t>
      </w:r>
      <w:r>
        <w:rPr>
          <w:rFonts w:ascii="Times New Roman" w:hAnsi="Times New Roman"/>
          <w:i/>
          <w:sz w:val="20"/>
        </w:rPr>
        <w:t>Intercreditor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LENDER AUTHORIZES AND INSTRUCTS THE ADMINISTRATIVE AGENT TO ENTER INTO ANY INTERCREDITOR AGREEMENT ON BEHALF OF THE LENDER, AND TO TAKE ALL ACTIONS (AND EXECUTE ALL DOCUMENTS) REQUIRED (OR DEEMED ADVISABLE) BY IT IN ACCORDANCE WITH THE TERMS OF ANY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LENDER HEREBY ACKNOWLEDGE THAT (A) NOTWITHSTANDING ANYTHING TO THE CONTRARY IN THE SECURITY DOCUMENTS, THE RIGHTS, OBLIGATIONS AND REMEDIES OF THE ADMINISTRATIVE AGENT AND THE SECURED PARTIES UNDER SUCH SECURITY DOCUMENTS WILL BE, UPON EXECUTION BY THE ADMINISTRATIVE AGENT, SUBJECT TO THE PROVISIONS OF EACH INTERCREDITOR AGREEMENT AND (B) IN THE EVENT OF ANY CONFLICT OR INCONSISTENCY BETWEEN THE PROVISIONS OF ANY INTERCREDITOR AGREEMENT AND THIS AGREEMENT, THE PROVISIONS OF SUCH INTERCREDITOR AGREEMENT SHALL CONTROL. THE LENDER HEREBY AUTHORIZE THE ADMINISTRATIVE AGENT, AS APPLICABLE, TO TAKE SUCH ACTIONS, INCLUDING MAKING FILINGS AND ENTERING INTO AGREEMENTS AND ANY AMENDMENTS OR SUPPLEMENTS TO ANY SECURITY DOCUMENT, AS MAY BE NECESSARY OR DESIRABLE TO REFLECT THE INTENT OF THIS SECTION 13.22. </w:t>
      </w:r>
    </w:p>
    <w:p>
      <w:pPr>
        <w:pStyle w:val="TextBody"/>
        <w:bidi w:val="0"/>
        <w:spacing w:before="240" w:after="0"/>
        <w:jc w:val="left"/>
        <w:rPr>
          <w:rFonts w:ascii="Times New Roman" w:hAnsi="Times New Roman"/>
          <w:sz w:val="20"/>
        </w:rPr>
      </w:pPr>
      <w:r>
        <w:rPr>
          <w:rFonts w:ascii="Times New Roman" w:hAnsi="Times New Roman"/>
          <w:sz w:val="20"/>
        </w:rPr>
        <w:t xml:space="preserve">(c) THE PROVISIONS OF THIS SECTION 13.22 ARE NOT INTENDED TO SUMMARIZE ALL RELEVANT PROVISIONS OF ANY INTERCREDITOR AGREEMENT, WHICH WILL BE IN THE FORM APPROVED BY AND REASONABLY SATISFACTORY TO THE ADMINISTRATIVE AGENT, THE LENDER AND THE BORROWER AS PERMITTED BY THIS AGREEMENT. REFERENCE MUST BE MADE TO ANY INTERCREDITOR AGREEMENT ITSELF TO UNDERSTAND ALL TERMS AND CONDITIONS THEREOF. THE LENDER IS RESPONSIBLE FOR MAKING ITS OWN ANALYSIS AND REVIEW OF ANY INTERCREDITOR AGREEMENT AND THE TERMS AND PROVISIONS THEREOF, AND NO AGENT (AND NONE OF ITS AFFILIATES) MAKES ANY REPRESENTATION TO THE LENDER AS TO THE SUFFICIENCY OR ADVISABILITY OF THE PROVISIONS CONTAINED IN ANY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Lender Notes Trustee or Lender Notes Collateral Agent takes any action or provides any direction under this Agreement, each of the Lender Notes Trustee and Lender Notes Collateral Agent shall do so solely at the direction of Holders of the Lender Notes holding the requisite amount of Lender Notes under and as determined in accordance with the Lender Indenture and each of the Lender Notes Trustee and Lender Notes Collateral Agent shall be entitled to all of the rights, privileges, immunities and indemnities granted to it under the Lender Indenture. Notwithstanding the fact that the entity serving as Lender Notes Trustee and Lender Notes Collateral Agent may be the same or an affiliate of the entity serving as Administrative Agent and Collateral Agent, neither the Lender Notes Trustee nor the Lender Notes Collateral Agent shall have any responsibility or liability for the actions or inactions of the Administrative Agent and Collateral Agent hereunder and under the related Loan Documents, and shall not be charged with knowledge of any event, fact or circumstance under this Agreement, any Loan Document or otherwise known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13.23 </w:t>
      </w:r>
      <w:r>
        <w:rPr>
          <w:rFonts w:ascii="Times New Roman" w:hAnsi="Times New Roman"/>
          <w:i/>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required by law, any and all payments by the Borrower or any Guarantor to or for the account of any Agent or any Lender under any Loan Document shall be made free and clear of and without deduction or withholding (including backup withholding) for any and all present or future taxes, duties, levies, imposts, deductions, assessments, fees, withholdings or similar charges, and all liabilities (including additions to tax, penalties and interest) imposed by any Governmental Authority with respect thereto, (all taxes, duties, levies, imposts, deductions, assessments, fees, withholdings or similar charges and liabilities being hereinafter referred to as “Taxes”). If a Loan Party is required by any laws to deduct or withhold any Taxes or Other Taxes (as defined below) from or in respect of any sum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any Loan Document to any Agent or any Lender, (i) the sum payable shall be increased as necessary so that after making all required deductions or withholdings (including deductions or withholdings applicable to additional sums payable under this Section 13.23(a)), each of such Agent and such Lender receives an amount equal to the sum it would have received had no such deductions or withholdings been made, (ii) that Loan Party shall make such deductions or withholdings, (iii) the Loan Party shall pay the full amount deducted or withheld to the relevant taxing authority, and (iv) within thirty (30) days after the date of such payment (or, if receipts or evidence are not available within thirty (30) days, as soon as practicable thereafter), that Loan Party shall furnish to such Agent or Lender (as the case may be) the original or a facsimile copy of a receipt evidencing payment thereof to the extent such a receipt has been made available to that Loan Party, or such other evidence of payment as is reasonably acceptable to such Agent or Lender. If a Loan Party fails to pay any Taxes or Other Taxes when due to the appropriate taxing authority or fails to remit to any Agent or any Lender the required receipts or other required documentary evidence that has been made available to that Loan Party, that Loan Party shall indemnify such Agent and such Lender for any incremental taxes, interest or penalties that may become payable by such Agent or such Lender arising out of such failure. </w:t>
      </w:r>
    </w:p>
    <w:p>
      <w:pPr>
        <w:pStyle w:val="TextBody"/>
        <w:bidi w:val="0"/>
        <w:spacing w:before="240" w:after="0"/>
        <w:jc w:val="left"/>
        <w:rPr>
          <w:rFonts w:ascii="Times New Roman" w:hAnsi="Times New Roman"/>
          <w:sz w:val="20"/>
        </w:rPr>
      </w:pPr>
      <w:r>
        <w:rPr>
          <w:rFonts w:ascii="Times New Roman" w:hAnsi="Times New Roman"/>
          <w:sz w:val="20"/>
        </w:rPr>
        <w:t>(b) Each Agent or Lender that is not a “United States person” within the meaning of Section 7701(a)(30) of the Code (each a “</w:t>
      </w:r>
      <w:r>
        <w:rPr>
          <w:rFonts w:ascii="Times New Roman" w:hAnsi="Times New Roman"/>
          <w:b/>
          <w:sz w:val="20"/>
        </w:rPr>
        <w:t>Foreign Lender</w:t>
      </w:r>
      <w:r>
        <w:rPr>
          <w:rFonts w:ascii="Times New Roman" w:hAnsi="Times New Roman"/>
          <w:sz w:val="20"/>
        </w:rPr>
        <w:t xml:space="preserve">”) agrees to complete and deliver to the Borrower and the Administrative Agent prior to the date on which the first payment is due to it hereunder, unless it is unable to do so solely as a result of a change in applicable Law after the initial Credit Extension on the Closing Date, an accurate, complete and executed copy of (i) Internal Revenue Service Form W-8BEN, W-8BEN-E or successor form, as applicable, certifying that it is entitled to benefits under an income tax treaty to which the United States is a party that provides an exemption from or a reduction of the rate of U.S. federal withholding tax on payments of interest; (ii) Internal Revenue Service Form W-8ECI or successor form certifying that the income receivable pursuant to any Loan Document is effectively connected with the conduct of a trade or business in the United States; (iii) if the Foreign Lender is claiming the benefits of the exemption for “portfolio interest” under Section 881(c) of the Code, (A) a certificate substantially in the form of Exhibit H-1 to the effect that such Foreign Lender is not a “bank” described in Section 881(c)(3)(A) of the Code, “a 10-percent shareholder” of the Borrower described in Section 871(h)(3)(B) of the Code, or “a controlled foreign corporation” within the meaning of Section 881(c)(3)(C) of the Code and (B) an Internal Revenue Service Form W-8BEN, W-8BEN-E or successor form, as applicable, or (iv) to the extent a Foreign Lender is not the beneficial owner, executed copies of Internal Revenue Service Form W-8IMY, accompanied by Internal Revenue Service Forms W-8ECI, W-8BEN or W-8BEN-E, as applicable, a certificate substantially in the form of Exhibit H-2 or H-3, Internal Revenue Service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certificate substantially in the form of Exhibit H-4 on behalf of each such direct and indirect partner. </w:t>
      </w:r>
    </w:p>
    <w:p>
      <w:pPr>
        <w:pStyle w:val="TextBody"/>
        <w:bidi w:val="0"/>
        <w:spacing w:before="240" w:after="0"/>
        <w:jc w:val="left"/>
        <w:rPr>
          <w:rFonts w:ascii="Times New Roman" w:hAnsi="Times New Roman"/>
          <w:sz w:val="20"/>
        </w:rPr>
      </w:pPr>
      <w:r>
        <w:rPr>
          <w:rFonts w:ascii="Times New Roman" w:hAnsi="Times New Roman"/>
          <w:sz w:val="20"/>
        </w:rPr>
        <w:t xml:space="preserve">(c) Thereafter and from time to time, each such Foreign Lender shall, unless it is unable to do so solely as a result of a change in applicable law after the Closing Date, other than in the case of clause (B) below, (i) promptly submit to the Borrower and the Administrative Agent such additional duly completed and signed copies of one or more of such forms or certificates (or such successor forms or certificates as shall be adopted from time to time by the relevant United States taxing authorities) as may then be available to secure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exemption from or reduction in the rate of U.S. withholding tax (A) on or before the date that any such form, certificate or other evidence expires or becomes obsolete, (B) after the occurrence of a change in the Foreign Lender’s circumstances requiring a change in the most recent form, certificate or evidence previously delivered by it to the Borrower and the Administrative Agent, and (C) from time to time thereafter if reasonably requested by the Borrower or the Administrative Agent, and (ii) promptly notify the Borrower and the Administrative Agent of any change in the Foreign Lender’s circumstances which would modify or render invalid or inaccurate any claimed exemption or reduction. </w:t>
      </w:r>
    </w:p>
    <w:p>
      <w:pPr>
        <w:pStyle w:val="TextBody"/>
        <w:bidi w:val="0"/>
        <w:spacing w:before="240" w:after="0"/>
        <w:jc w:val="left"/>
        <w:rPr>
          <w:rFonts w:ascii="Times New Roman" w:hAnsi="Times New Roman"/>
          <w:sz w:val="20"/>
        </w:rPr>
      </w:pPr>
      <w:r>
        <w:rPr>
          <w:rFonts w:ascii="Times New Roman" w:hAnsi="Times New Roman"/>
          <w:sz w:val="20"/>
        </w:rPr>
        <w:t xml:space="preserve">(d) Each Agent and Lender (including, for the avoidance of doubt, “U.S. Lenders,” as defined below) agrees to all reasonable requests of the Borrower that each comply with any certification, identification, information, documentation or other reporting requirement if such compliance is required by Law, regulation, administrative practice or an applicable treaty as a precondition to exemption from, or reduction in the rate of deduction or withholding of any Taxes or Other Taxes for which a Lender or Agent receives indemnity payments or additional amounts pursuant to this Section 13.23; provided that no such Agent or Lender shall be required to comply unless (i) it is not prohibited by any applicable Law from complying, (ii) such compliance will not result in any prejudice to its interest (other than any de minimis prejudice), (iii) Borrower has provided the required forms or documentation to such Agent or Lender reasonably in advance of the deadline for the filing or submission of such forms or other documentation with such forms duly completed by the Borrower with such information available to the Borrower, and (iv) Borrower shall be responsible for all reasonable costs and expenses incurred by such Agent or Lender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(e) Each Agent or Lender that is a “United States person” (within the meaning of Section 7701(a)(3) of the Code) (each a “U.S. Lender”) agrees to complete and deliver to the Borrower and the Administrative Agent an accurate, complete and executed copy of Internal Revenue Service Form W-9 or successor form certifying that such Agent or Lender is not subject to United States federal backup withholding tax (i) on or prior to the Closing Date (or on or prior to the date on which it becomes a party to this Agreement), (ii) on or before the date on which such form expires or becomes obsolete, (iii) after the occurrence of a change in the Agent’s or Lender’s circumstances requiring a change in the most recent form previously delivered by it to the Borrower and the Administrative Agent, and (iv) from time to time thereafter if reasonably requested by the Borrower or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each relevant Loan Party and the Agent to comply with their obligations under FATCA and to determine that such Lender has complied with such Lender’s obligations under FATCA or to determine the amount to deduct and withhold from such payment. Solely for purposes of this Section 13.23(g), “FATCA” shall include any amendments made to FATCA after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Loan Parties agree to pay any and all present or future stamp, court or documentary taxes and any other excise, property, intangible, filing or mortgage recording taxes or charges or similar levies which arise from any payment made under any Loan Document or from the execution, delivery, performance, enforcement or registration of, or otherwise with respect to, any Loan Document (all such taxes described in this Section 13.23(g) being hereinafter referred to as “Other Taxes”). </w:t>
      </w:r>
    </w:p>
    <w:p>
      <w:pPr>
        <w:pStyle w:val="TextBody"/>
        <w:bidi w:val="0"/>
        <w:spacing w:before="240" w:after="0"/>
        <w:jc w:val="left"/>
        <w:rPr>
          <w:rFonts w:ascii="Times New Roman" w:hAnsi="Times New Roman"/>
          <w:sz w:val="20"/>
        </w:rPr>
      </w:pPr>
      <w:r>
        <w:rPr>
          <w:rFonts w:ascii="Times New Roman" w:hAnsi="Times New Roman"/>
          <w:sz w:val="20"/>
        </w:rPr>
        <w:t xml:space="preserve">(h) If any Taxes or Other Taxes (including any amount paid or withheld by the Administrative Agent and indemnified by the Lender pursuant to Section 7.11) are directly asserted against any Agent or Lender with respect to any payment received by such Agent or Lender in respect of any Loan Document, such Agent or Lender may pay such Taxes or Other Taxes and each Loan Party will promptly pay such additional amounts (including any amount paid or withheld by the Administrative Agent and indemnified by the Lender pursuant to Section 7.11, but without duplication) so that each of such Agent and such Lender receives an amount equal to the sum that it would have received had no such Taxes or Other Taxes been asserted. Payments under this Section 13.23(h) shall be made within fifteen (15) Business Days after the date on which the any Loan Party receives written demand for payment from such Agent or Lender, such written demand shall include a copy of the notice of assessment or other evidence of the requirement to pay such amount received from the relevant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(i) [Reserved]. </w:t>
      </w:r>
    </w:p>
    <w:p>
      <w:pPr>
        <w:pStyle w:val="TextBody"/>
        <w:bidi w:val="0"/>
        <w:spacing w:before="240" w:after="0"/>
        <w:jc w:val="left"/>
        <w:rPr>
          <w:rFonts w:ascii="Times New Roman" w:hAnsi="Times New Roman"/>
          <w:sz w:val="20"/>
        </w:rPr>
      </w:pPr>
      <w:r>
        <w:rPr>
          <w:rFonts w:ascii="Times New Roman" w:hAnsi="Times New Roman"/>
          <w:sz w:val="20"/>
        </w:rPr>
        <w:t xml:space="preserve">(j) Each Loan Party and the Administrative Agent may deduct and withhold any taxes required by any Laws to be deducted and withheld from any payment under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(k) Any gross-up obligations of any Loan Party pursuant to this Section 13.23 shall be deemed an accrual of interest for purposes of determining the Obligations pursuant to the Loan Documents, but which shall for the avoidance of doubt be due and payable by the Loan Parties in accordance with this Section 13.23. </w:t>
      </w:r>
    </w:p>
    <w:p>
      <w:pPr>
        <w:pStyle w:val="TextBody"/>
        <w:bidi w:val="0"/>
        <w:spacing w:before="240" w:after="0"/>
        <w:jc w:val="left"/>
        <w:rPr>
          <w:rFonts w:ascii="Times New Roman" w:hAnsi="Times New Roman"/>
          <w:sz w:val="20"/>
        </w:rPr>
      </w:pPr>
      <w:r>
        <w:rPr>
          <w:rFonts w:ascii="Times New Roman" w:hAnsi="Times New Roman"/>
          <w:sz w:val="20"/>
        </w:rPr>
        <w:t xml:space="preserve">(o) The agreements in this Section 13.23 shall survive the termination of this Agreement and the payment of the Loans and all other amounts payable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Dated as of September 28,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8"/>
        <w:gridCol w:w="76"/>
        <w:gridCol w:w="3218"/>
      </w:tblGrid>
      <w:tr>
        <w:trPr/>
        <w:tc>
          <w:tcPr>
            <w:tcW w:w="788"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Sabre GLBL Inc.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20"/>
              <w:jc w:val="left"/>
              <w:rPr>
                <w:rFonts w:ascii="Times New Roman" w:hAnsi="Times New Roman"/>
                <w:sz w:val="20"/>
              </w:rPr>
            </w:pPr>
            <w:r>
              <w:rPr>
                <w:rFonts w:ascii="Times New Roman" w:hAnsi="Times New Roman"/>
                <w:sz w:val="20"/>
              </w:rPr>
              <w:t>/s/ Roushan Zenooz</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Sabre Holdings Corporation</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20"/>
              <w:jc w:val="left"/>
              <w:rPr>
                <w:rFonts w:ascii="Times New Roman" w:hAnsi="Times New Roman"/>
                <w:sz w:val="20"/>
              </w:rPr>
            </w:pPr>
            <w:r>
              <w:rPr>
                <w:rFonts w:ascii="Times New Roman" w:hAnsi="Times New Roman"/>
                <w:sz w:val="20"/>
              </w:rPr>
              <w:t xml:space="preserve">/s/ 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lastminute.com LLC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PRISM Group, Inc.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PRISM Technologies, LLC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Sabre International Newco, Inc.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SabreMark G.P., LLC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78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First Lien Pari Passu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4"/>
        <w:gridCol w:w="61"/>
        <w:gridCol w:w="3367"/>
      </w:tblGrid>
      <w:tr>
        <w:trPr/>
        <w:tc>
          <w:tcPr>
            <w:tcW w:w="65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SabreMark Limited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 SabreMark G.P., LLC, its General Partner</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TVL HOLDINGS I, LLC</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TVL HOLDINGS, INC.</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Treasurer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TVL LLC</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Treasurer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TVL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By: TVL LLC, its General Partner</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TVL COMMON, Inc.</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RSI Midco, Inc.</w:t>
            </w:r>
          </w:p>
        </w:tc>
      </w:tr>
      <w:tr>
        <w:trPr>
          <w:trHeight w:val="240" w:hRule="atLeast"/>
        </w:trPr>
        <w:tc>
          <w:tcPr>
            <w:tcW w:w="654" w:type="dxa"/>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2"/>
        <w:gridCol w:w="60"/>
        <w:gridCol w:w="3370"/>
      </w:tblGrid>
      <w:tr>
        <w:trPr/>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Radixx Solutions International, Inc.</w:t>
            </w:r>
          </w:p>
        </w:tc>
      </w:tr>
      <w:tr>
        <w:trPr>
          <w:trHeight w:val="24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Sabre GDC, LLC</w:t>
            </w:r>
          </w:p>
        </w:tc>
      </w:tr>
      <w:tr>
        <w:trPr>
          <w:trHeight w:val="24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Roushan Zenooz</w:t>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Roushan Zenooz </w:t>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0"/>
              <w:jc w:val="left"/>
              <w:rPr>
                <w:rFonts w:ascii="Times New Roman" w:hAnsi="Times New Roman"/>
                <w:sz w:val="20"/>
              </w:rPr>
            </w:pPr>
            <w:r>
              <w:rPr>
                <w:rFonts w:ascii="Times New Roman" w:hAnsi="Times New Roman"/>
                <w:sz w:val="20"/>
              </w:rPr>
              <w:t>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Wilmington Trust, National Association</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left"/>
              <w:rPr/>
            </w:pPr>
            <w:r>
              <w:rPr/>
              <w:t>/s/ Annmarie Warren</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Annmarie Warren</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Assistant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First Lien Pari Passu Credit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Financial Borrower, LLC</w:t>
            </w:r>
          </w:p>
          <w:p>
            <w:pPr>
              <w:pStyle w:val="TableContents"/>
              <w:bidi w:val="0"/>
              <w:spacing w:before="0" w:after="20"/>
              <w:jc w:val="left"/>
              <w:rPr>
                <w:rFonts w:ascii="Times New Roman" w:hAnsi="Times New Roman"/>
                <w:sz w:val="20"/>
              </w:rPr>
            </w:pPr>
            <w:r>
              <w:rPr>
                <w:rFonts w:ascii="Times New Roman" w:hAnsi="Times New Roman"/>
                <w:sz w:val="20"/>
              </w:rPr>
              <w:t>as Lender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Roushan Zenooz</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Roushan Zenooz</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the First Lien Pari Passu Credit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COMMITTED LOAN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50 South Sixth Street, Suite 1290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0" w:after="0"/>
        <w:jc w:val="left"/>
        <w:rPr>
          <w:rFonts w:ascii="Times New Roman" w:hAnsi="Times New Roman"/>
          <w:sz w:val="20"/>
        </w:rPr>
      </w:pPr>
      <w:r>
        <w:rPr>
          <w:rFonts w:ascii="Times New Roman" w:hAnsi="Times New Roman"/>
          <w:sz w:val="20"/>
        </w:rPr>
        <w:t xml:space="preserve">Attention: Annmarie Warren </w:t>
      </w:r>
    </w:p>
    <w:p>
      <w:pPr>
        <w:pStyle w:val="TextBody"/>
        <w:bidi w:val="0"/>
        <w:spacing w:before="0" w:after="0"/>
        <w:jc w:val="left"/>
        <w:rPr>
          <w:rFonts w:ascii="Times New Roman" w:hAnsi="Times New Roman"/>
          <w:sz w:val="20"/>
        </w:rPr>
      </w:pPr>
      <w:r>
        <w:rPr>
          <w:rFonts w:ascii="Times New Roman" w:hAnsi="Times New Roman"/>
          <w:sz w:val="20"/>
        </w:rPr>
        <w:t xml:space="preserve">Telephone: 612-217-5669 </w:t>
      </w:r>
    </w:p>
    <w:p>
      <w:pPr>
        <w:pStyle w:val="TextBody"/>
        <w:bidi w:val="0"/>
        <w:spacing w:before="0" w:after="0"/>
        <w:jc w:val="left"/>
        <w:rPr>
          <w:rFonts w:ascii="Times New Roman" w:hAnsi="Times New Roman"/>
          <w:sz w:val="20"/>
        </w:rPr>
      </w:pPr>
      <w:r>
        <w:rPr>
          <w:rFonts w:ascii="Times New Roman" w:hAnsi="Times New Roman"/>
          <w:sz w:val="20"/>
        </w:rPr>
        <w:t xml:space="preserve">Email: awarren@wilmingtontrust.com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SABRE GLBL INC., a Delaware corporation (the “</w:t>
      </w:r>
      <w:r>
        <w:rPr>
          <w:rFonts w:ascii="Times New Roman" w:hAnsi="Times New Roman"/>
          <w:sz w:val="20"/>
          <w:u w:val="single"/>
        </w:rPr>
        <w:t>Borrower</w:t>
      </w:r>
      <w:r>
        <w:rPr>
          <w:rFonts w:ascii="Times New Roman" w:hAnsi="Times New Roman"/>
          <w:sz w:val="20"/>
        </w:rPr>
        <w:t>”), SABRE HOLDINGS CORPORATION, a Delaware corporation (“</w:t>
      </w:r>
      <w:r>
        <w:rPr>
          <w:rFonts w:ascii="Times New Roman" w:hAnsi="Times New Roman"/>
          <w:sz w:val="20"/>
          <w:u w:val="single"/>
        </w:rPr>
        <w:t>Holdings</w:t>
      </w:r>
      <w:r>
        <w:rPr>
          <w:rFonts w:ascii="Times New Roman" w:hAnsi="Times New Roman"/>
          <w:sz w:val="20"/>
        </w:rPr>
        <w:t xml:space="preserve">”), the Subsidiary Guarantors party thereto, Wilmington Trust, National Association, as Administrative Agent, and each Lender from time to time party thereto. Capitalized terms used herein and not otherwise defined herein shall have the meanings assigned to such terms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gives you notice, irrevocably, pursuant to Section 2.02(c) of the Credit Agreement that it hereby requests a Borrowing of new Loans to be made on the terms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52"/>
        <w:gridCol w:w="121"/>
        <w:gridCol w:w="3432"/>
      </w:tblGrid>
      <w:tr>
        <w:trPr/>
        <w:tc>
          <w:tcPr>
            <w:tcW w:w="66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6652" w:type="dxa"/>
            <w:tcBorders/>
          </w:tcPr>
          <w:p>
            <w:pPr>
              <w:pStyle w:val="TableContents"/>
              <w:bidi w:val="0"/>
              <w:spacing w:before="0" w:after="0"/>
              <w:jc w:val="left"/>
              <w:rPr>
                <w:rFonts w:ascii="Times New Roman" w:hAnsi="Times New Roman"/>
                <w:sz w:val="20"/>
              </w:rPr>
            </w:pPr>
            <w:r>
              <w:rPr>
                <w:rFonts w:ascii="Times New Roman" w:hAnsi="Times New Roman"/>
                <w:sz w:val="20"/>
              </w:rPr>
              <w:t>(A)  Date of Borrowing (which is a Business Day): </w:t>
            </w:r>
            <w:r>
              <w:rPr>
                <w:rFonts w:ascii="Times New Roman" w:hAnsi="Times New Roman"/>
                <w:sz w:val="20"/>
                <w:u w:val="single"/>
              </w:rPr>
              <w:t>                                                             </w:t>
            </w:r>
          </w:p>
        </w:tc>
        <w:tc>
          <w:tcPr>
            <w:tcW w:w="121" w:type="dxa"/>
            <w:tcBorders/>
            <w:vAlign w:val="bottom"/>
          </w:tcPr>
          <w:p>
            <w:pPr>
              <w:pStyle w:val="TableContents"/>
              <w:bidi w:val="0"/>
              <w:spacing w:before="0" w:after="283"/>
              <w:jc w:val="left"/>
              <w:rPr/>
            </w:pPr>
            <w:r>
              <w:rPr/>
              <w:t>  </w:t>
            </w:r>
          </w:p>
        </w:tc>
        <w:tc>
          <w:tcPr>
            <w:tcW w:w="3432" w:type="dxa"/>
            <w:tcBorders/>
          </w:tcPr>
          <w:p>
            <w:pPr>
              <w:pStyle w:val="TableContents"/>
              <w:bidi w:val="0"/>
              <w:spacing w:before="0" w:after="283"/>
              <w:jc w:val="left"/>
              <w:rPr>
                <w:sz w:val="4"/>
                <w:szCs w:val="4"/>
              </w:rPr>
            </w:pPr>
            <w:r>
              <w:rPr>
                <w:sz w:val="4"/>
                <w:szCs w:val="4"/>
              </w:rPr>
            </w:r>
          </w:p>
        </w:tc>
      </w:tr>
      <w:tr>
        <w:trPr>
          <w:trHeight w:val="120" w:hRule="atLeast"/>
        </w:trPr>
        <w:tc>
          <w:tcPr>
            <w:tcW w:w="6652"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r>
      <w:tr>
        <w:trPr/>
        <w:tc>
          <w:tcPr>
            <w:tcW w:w="6652" w:type="dxa"/>
            <w:tcBorders/>
          </w:tcPr>
          <w:p>
            <w:pPr>
              <w:pStyle w:val="TableContents"/>
              <w:bidi w:val="0"/>
              <w:spacing w:before="0" w:after="0"/>
              <w:jc w:val="left"/>
              <w:rPr>
                <w:rFonts w:ascii="Times New Roman" w:hAnsi="Times New Roman"/>
                <w:sz w:val="20"/>
              </w:rPr>
            </w:pPr>
            <w:r>
              <w:rPr>
                <w:rFonts w:ascii="Times New Roman" w:hAnsi="Times New Roman"/>
                <w:sz w:val="20"/>
              </w:rPr>
              <w:t>(B)  Principal amount </w:t>
            </w:r>
            <w:r>
              <w:rPr>
                <w:rFonts w:ascii="Times New Roman" w:hAnsi="Times New Roman"/>
                <w:sz w:val="20"/>
                <w:u w:val="single"/>
              </w:rPr>
              <w:t>                                                                                                             </w:t>
            </w:r>
            <w:r>
              <w:rPr>
                <w:rFonts w:ascii="Times New Roman" w:hAnsi="Times New Roman"/>
                <w:sz w:val="20"/>
              </w:rPr>
              <w:t>  </w:t>
            </w:r>
          </w:p>
        </w:tc>
        <w:tc>
          <w:tcPr>
            <w:tcW w:w="121" w:type="dxa"/>
            <w:tcBorders/>
            <w:vAlign w:val="bottom"/>
          </w:tcPr>
          <w:p>
            <w:pPr>
              <w:pStyle w:val="TableContents"/>
              <w:bidi w:val="0"/>
              <w:spacing w:before="0" w:after="283"/>
              <w:jc w:val="left"/>
              <w:rPr/>
            </w:pPr>
            <w:r>
              <w:rPr/>
              <w:t>  </w:t>
            </w:r>
          </w:p>
        </w:tc>
        <w:tc>
          <w:tcPr>
            <w:tcW w:w="343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Borrower Wire Instructions:1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[Bank Name: [__] </w:t>
      </w:r>
    </w:p>
    <w:p>
      <w:pPr>
        <w:pStyle w:val="TextBody"/>
        <w:bidi w:val="0"/>
        <w:spacing w:before="0" w:after="0"/>
        <w:jc w:val="left"/>
        <w:rPr>
          <w:rFonts w:ascii="Times New Roman" w:hAnsi="Times New Roman"/>
          <w:sz w:val="20"/>
        </w:rPr>
      </w:pPr>
      <w:r>
        <w:rPr>
          <w:rFonts w:ascii="Times New Roman" w:hAnsi="Times New Roman"/>
          <w:sz w:val="20"/>
        </w:rPr>
        <w:t xml:space="preserve">Bank Address: [__] </w:t>
      </w:r>
    </w:p>
    <w:p>
      <w:pPr>
        <w:pStyle w:val="TextBody"/>
        <w:bidi w:val="0"/>
        <w:spacing w:before="0" w:after="0"/>
        <w:jc w:val="left"/>
        <w:rPr>
          <w:rFonts w:ascii="Times New Roman" w:hAnsi="Times New Roman"/>
          <w:sz w:val="20"/>
        </w:rPr>
      </w:pPr>
      <w:r>
        <w:rPr>
          <w:rFonts w:ascii="Times New Roman" w:hAnsi="Times New Roman"/>
          <w:sz w:val="20"/>
        </w:rPr>
        <w:t xml:space="preserve">ABA/Routing Number: [__] </w:t>
      </w:r>
    </w:p>
    <w:p>
      <w:pPr>
        <w:pStyle w:val="TextBody"/>
        <w:bidi w:val="0"/>
        <w:spacing w:before="0" w:after="0"/>
        <w:jc w:val="left"/>
        <w:rPr>
          <w:rFonts w:ascii="Times New Roman" w:hAnsi="Times New Roman"/>
          <w:sz w:val="20"/>
        </w:rPr>
      </w:pPr>
      <w:r>
        <w:rPr>
          <w:rFonts w:ascii="Times New Roman" w:hAnsi="Times New Roman"/>
          <w:sz w:val="20"/>
        </w:rPr>
        <w:t xml:space="preserve">Beneficiary Name: [__] </w:t>
      </w:r>
    </w:p>
    <w:p>
      <w:pPr>
        <w:pStyle w:val="TextBody"/>
        <w:bidi w:val="0"/>
        <w:spacing w:before="0" w:after="0"/>
        <w:jc w:val="left"/>
        <w:rPr>
          <w:rFonts w:ascii="Times New Roman" w:hAnsi="Times New Roman"/>
          <w:sz w:val="20"/>
        </w:rPr>
      </w:pPr>
      <w:r>
        <w:rPr>
          <w:rFonts w:ascii="Times New Roman" w:hAnsi="Times New Roman"/>
          <w:sz w:val="20"/>
        </w:rPr>
        <w:t xml:space="preserve">Beneficiary Address: [__] </w:t>
      </w:r>
    </w:p>
    <w:p>
      <w:pPr>
        <w:pStyle w:val="TextBody"/>
        <w:bidi w:val="0"/>
        <w:spacing w:before="0" w:after="0"/>
        <w:jc w:val="left"/>
        <w:rPr>
          <w:rFonts w:ascii="Times New Roman" w:hAnsi="Times New Roman"/>
          <w:sz w:val="20"/>
        </w:rPr>
      </w:pPr>
      <w:r>
        <w:rPr>
          <w:rFonts w:ascii="Times New Roman" w:hAnsi="Times New Roman"/>
          <w:sz w:val="20"/>
        </w:rPr>
        <w:t xml:space="preserve">Beneficiary Account Number: [__]]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2"/>
        <w:gridCol w:w="9993"/>
      </w:tblGrid>
      <w:tr>
        <w:trPr/>
        <w:tc>
          <w:tcPr>
            <w:tcW w:w="212" w:type="dxa"/>
            <w:tcBorders/>
          </w:tcPr>
          <w:p>
            <w:pPr>
              <w:pStyle w:val="TableContents"/>
              <w:bidi w:val="0"/>
              <w:spacing w:before="0" w:after="283"/>
              <w:jc w:val="left"/>
              <w:rPr/>
            </w:pPr>
            <w:r>
              <w:rPr/>
              <w:t>1 </w:t>
            </w:r>
          </w:p>
        </w:tc>
        <w:tc>
          <w:tcPr>
            <w:tcW w:w="99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wire instructions or reference attached funds flow or direction letter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GLBL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left"/>
        <w:rPr>
          <w:rFonts w:ascii="Times New Roman" w:hAnsi="Times New Roman"/>
          <w:sz w:val="20"/>
        </w:rPr>
      </w:pPr>
      <w:r>
        <w:rPr>
          <w:rFonts w:ascii="Times New Roman" w:hAnsi="Times New Roman"/>
          <w:sz w:val="20"/>
        </w:rPr>
        <w:t xml:space="preserve">LENDER: [] </w:t>
      </w:r>
    </w:p>
    <w:p>
      <w:pPr>
        <w:pStyle w:val="TextBody"/>
        <w:bidi w:val="0"/>
        <w:spacing w:before="0" w:after="0"/>
        <w:jc w:val="left"/>
        <w:rPr>
          <w:rFonts w:ascii="Times New Roman" w:hAnsi="Times New Roman"/>
          <w:sz w:val="20"/>
        </w:rPr>
      </w:pPr>
      <w:r>
        <w:rPr>
          <w:rFonts w:ascii="Times New Roman" w:hAnsi="Times New Roman"/>
          <w:sz w:val="20"/>
        </w:rPr>
        <w:t xml:space="preserve">PRINCIPAL AMOUNT: $[]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TERM NOTE </w:t>
      </w:r>
    </w:p>
    <w:p>
      <w:pPr>
        <w:pStyle w:val="TextBody"/>
        <w:bidi w:val="0"/>
        <w:spacing w:before="120" w:after="0"/>
        <w:jc w:val="right"/>
        <w:rPr>
          <w:rFonts w:ascii="Times New Roman" w:hAnsi="Times New Roman"/>
          <w:sz w:val="20"/>
        </w:rPr>
      </w:pPr>
      <w:r>
        <w:rPr>
          <w:rFonts w:ascii="Times New Roman" w:hAnsi="Times New Roman"/>
          <w:sz w:val="20"/>
        </w:rPr>
        <w:t xml:space="preserve">New York, New York </w:t>
      </w:r>
    </w:p>
    <w:p>
      <w:pPr>
        <w:pStyle w:val="TextBody"/>
        <w:bidi w:val="0"/>
        <w:spacing w:before="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FOR VALUE RECEIVED, the undersigned, SABRE GLBL INC., a Delaware corporation (the “</w:t>
      </w:r>
      <w:r>
        <w:rPr>
          <w:rFonts w:ascii="Times New Roman" w:hAnsi="Times New Roman"/>
          <w:sz w:val="20"/>
          <w:u w:val="single"/>
        </w:rPr>
        <w:t>Borrower</w:t>
      </w:r>
      <w:r>
        <w:rPr>
          <w:rFonts w:ascii="Times New Roman" w:hAnsi="Times New Roman"/>
          <w:sz w:val="20"/>
        </w:rPr>
        <w:t>”), hereby promises to pay to the Lender set forth above (the “</w:t>
      </w:r>
      <w:r>
        <w:rPr>
          <w:rFonts w:ascii="Times New Roman" w:hAnsi="Times New Roman"/>
          <w:sz w:val="20"/>
          <w:u w:val="single"/>
        </w:rPr>
        <w:t>Lender</w:t>
      </w:r>
      <w:r>
        <w:rPr>
          <w:rFonts w:ascii="Times New Roman" w:hAnsi="Times New Roman"/>
          <w:sz w:val="20"/>
        </w:rPr>
        <w:t>”) or its registered assigns, in lawful money of the United States of America in immediately available funds at the Administrative Agent’s Office (such term, and each other capitalized term used but not defined herein, having the meaning assigned to it in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the Borrower, Sabre Holdings Corporation, a Delaware corporation, the Subsidiary Guarantors party thereto, the Lender and Wilmington Trust, National Association, as Administrative Agent) (i) on the dates set forth in the Credit Agreement, the principal amounts set forth in the Credit Agreement with respect to the Term Loan made by the Lender to the Borrower pursuant to Section 2.01 of the Credit Agreement and (ii) on each Interest Payment Date, interest at the rate or rates per annum as provided in the Credit Agreement on the unpaid principal amount of the Term Loan made by the Lender to the Borrower pursuant 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promises to pay interest, on demand, on any overdue principal and, to the extent permitted by law, overdue interest from their due dates at the rate or rates provided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waives diligence, presentment, demand, protest and notice of any kind whatsoever. The nonexercise by the holder hereof of any of its rights hereunder in any particular instance shall not constitute a waiver thereof in that or any subsequent instance. </w:t>
      </w:r>
    </w:p>
    <w:p>
      <w:pPr>
        <w:pStyle w:val="TextBody"/>
        <w:bidi w:val="0"/>
        <w:spacing w:before="240" w:after="0"/>
        <w:jc w:val="left"/>
        <w:rPr>
          <w:rFonts w:ascii="Times New Roman" w:hAnsi="Times New Roman"/>
          <w:sz w:val="20"/>
        </w:rPr>
      </w:pPr>
      <w:r>
        <w:rPr>
          <w:rFonts w:ascii="Times New Roman" w:hAnsi="Times New Roman"/>
          <w:sz w:val="20"/>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of the holder hereof to make such a notation or any error in such notation shall not affect the obligations of the Borrower under this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Term Notes referred to in the Credit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NOTE SHALL BE GOVERNED BY, AND CONSTRUED IN ACCORDANCE WITH, THE LAW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GLBL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LOANS AND PAYMENTS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5"/>
        <w:gridCol w:w="101"/>
        <w:gridCol w:w="1633"/>
        <w:gridCol w:w="101"/>
        <w:gridCol w:w="1736"/>
        <w:gridCol w:w="101"/>
        <w:gridCol w:w="1736"/>
        <w:gridCol w:w="101"/>
        <w:gridCol w:w="1736"/>
        <w:gridCol w:w="101"/>
        <w:gridCol w:w="1634"/>
      </w:tblGrid>
      <w:tr>
        <w:trPr/>
        <w:tc>
          <w:tcPr>
            <w:tcW w:w="122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22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Date</w:t>
            </w:r>
          </w:p>
        </w:tc>
        <w:tc>
          <w:tcPr>
            <w:tcW w:w="101"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Loan</w:t>
            </w:r>
          </w:p>
        </w:tc>
        <w:tc>
          <w:tcPr>
            <w:tcW w:w="101"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Maturity</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Date</w:t>
            </w:r>
          </w:p>
        </w:tc>
        <w:tc>
          <w:tcPr>
            <w:tcW w:w="101"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Payments of</w:t>
              <w:br/>
              <w:t>Principal/Interest</w:t>
            </w:r>
          </w:p>
        </w:tc>
        <w:tc>
          <w:tcPr>
            <w:tcW w:w="101" w:type="dxa"/>
            <w:tcBorders/>
            <w:vAlign w:val="bottom"/>
          </w:tcPr>
          <w:p>
            <w:pPr>
              <w:pStyle w:val="TableContents"/>
              <w:bidi w:val="0"/>
              <w:spacing w:before="0" w:after="283"/>
              <w:jc w:val="left"/>
              <w:rPr/>
            </w:pPr>
            <w:r>
              <w:rPr/>
              <w:t> </w:t>
            </w:r>
          </w:p>
        </w:tc>
        <w:tc>
          <w:tcPr>
            <w:tcW w:w="173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Principal</w:t>
              <w:br/>
              <w:t>Balance of</w:t>
              <w:br/>
              <w:t>Note</w:t>
            </w:r>
          </w:p>
        </w:tc>
        <w:tc>
          <w:tcPr>
            <w:tcW w:w="101" w:type="dxa"/>
            <w:tcBorders/>
            <w:vAlign w:val="bottom"/>
          </w:tcPr>
          <w:p>
            <w:pPr>
              <w:pStyle w:val="TableContents"/>
              <w:bidi w:val="0"/>
              <w:spacing w:before="0" w:after="283"/>
              <w:jc w:val="left"/>
              <w:rPr/>
            </w:pPr>
            <w:r>
              <w:rPr/>
              <w:t> </w:t>
            </w:r>
          </w:p>
        </w:tc>
        <w:tc>
          <w:tcPr>
            <w:tcW w:w="163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 of</w:t>
              <w:br/>
              <w:t>Person</w:t>
              <w:br/>
              <w:t>Making the</w:t>
              <w:br/>
              <w:t>Notation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COMPLIANCE CERTIFICATE </w:t>
      </w:r>
    </w:p>
    <w:p>
      <w:pPr>
        <w:pStyle w:val="TextBody"/>
        <w:bidi w:val="0"/>
        <w:spacing w:before="240" w:after="0"/>
        <w:jc w:val="left"/>
        <w:rPr>
          <w:rFonts w:ascii="Times New Roman" w:hAnsi="Times New Roman"/>
          <w:sz w:val="20"/>
        </w:rPr>
      </w:pPr>
      <w:r>
        <w:rPr>
          <w:rFonts w:ascii="Times New Roman" w:hAnsi="Times New Roman"/>
          <w:sz w:val="20"/>
        </w:rPr>
        <w:t>Reference is made to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SABRE GLBL INC., a Delaware corporation (the “</w:t>
      </w:r>
      <w:r>
        <w:rPr>
          <w:rFonts w:ascii="Times New Roman" w:hAnsi="Times New Roman"/>
          <w:sz w:val="20"/>
          <w:u w:val="single"/>
        </w:rPr>
        <w:t>Borrower</w:t>
      </w:r>
      <w:r>
        <w:rPr>
          <w:rFonts w:ascii="Times New Roman" w:hAnsi="Times New Roman"/>
          <w:sz w:val="20"/>
        </w:rPr>
        <w:t>”), SABRE HOLDINGS CORPORATION, a Delaware corporation (“</w:t>
      </w:r>
      <w:r>
        <w:rPr>
          <w:rFonts w:ascii="Times New Roman" w:hAnsi="Times New Roman"/>
          <w:sz w:val="20"/>
          <w:u w:val="single"/>
        </w:rPr>
        <w:t>Holdings</w:t>
      </w:r>
      <w:r>
        <w:rPr>
          <w:rFonts w:ascii="Times New Roman" w:hAnsi="Times New Roman"/>
          <w:sz w:val="20"/>
        </w:rPr>
        <w:t xml:space="preserve">”), the Subsidiary Guarantors party thereto, WILMINGTON TRUST, NATIONAL ASSOCIATION, as Administrative Agent, and each Lender from time to time party thereto. Capitalized terms used herein and not otherwise defined herein shall have the meanings assigned to such terms in the Credit Agreement. Pursuant to Section 4.04(a) of the Credit Agreement, the undersigned, in his/her capacity as a Responsible Officer of Holdings, certifies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Section 4.03(a)(1) of the Credit Agreement, the Borrower has delivered to the Administrative Agent the consolidated balance sheet of Holdings and its Subsidiaries as at the end of [insert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any independent registered public accounting firm of nationally recognized standing, prepared in accordance with generally accepted auditing standards and shall not be subject to any going concern or like qualification or exception (other than with respect to or resulting from the fact that the final maturity date of any Loan or Commitment under the Credit Agreement is less than one year after the date of such opinion) or any qualification or exception as to the scope of such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Exhibit A is a report setting forth the information required by Section 3.03(c) of the Security Agreement or confirming that there has been no change in such information since the Closing Date or the date of the last such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Exhibit B is a description of each event, condition or circumstance during the last fiscal quarter covered by this Compliance Certificate requiring a mandatory prepayment under Section 3.08 of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Exhibit C is a list of each Subsidiary of the Borrower that identifies each Subsidiary as a Restricted Subsidiary or an Unrestricted Subsidiary as of the date of delivery of this Compliance Certificate or a confirmation that there is no change in such information since the later of the Closing Date or the date of the last such list delivered to the Administrative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Section 4.03(a)(2) of the Credit Agreement, the Borrower has delivered to the Administrative Agent (A) the consolidated balance sheet of Holdings and its Subsidiaries as at the end of [insert fiscal quarter], and the related (1) consolidated statements of income or operations for such fiscal quarter and for the portion of the Fiscal Year then ended and (ii) consolidated statements of cash flows for the portion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the fiscal year then ended, setting forth in each case in comparative form the figures for the corresponding fiscal quarter of the previous Fiscal Year and the corresponding portion of the previous fiscal year and (B) a certification by a Responsible Officer of Holdings that such financial statements fairly present in all material respects the financial condition, results of operations, stockholders’ equity and cash flows of Holdings and its Subsidiaries in accordance with GAAP applicable to unaudited interim financial statements, subject only to changes resulting from audit, normal year-end adjustments and the absence of footnotes.]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my knowledge, except as otherwise disclosed to the Administrative Agent in writing pursuant to the Credit Agreement, at no time during the period between [ ] and [ ] (the “</w:t>
            </w:r>
            <w:r>
              <w:rPr>
                <w:rFonts w:ascii="Times New Roman" w:hAnsi="Times New Roman"/>
                <w:sz w:val="20"/>
                <w:u w:val="single"/>
              </w:rPr>
              <w:t>Certificate Period</w:t>
            </w:r>
            <w:r>
              <w:rPr>
                <w:rFonts w:ascii="Times New Roman" w:hAnsi="Times New Roman"/>
                <w:sz w:val="20"/>
              </w:rPr>
              <w:t xml:space="preserve">”) did a Default or an Event of Default exist. [If unable to provide the foregoing certification, fully describe the reasons therefor and circumstances thereof and any action taken or proposed to be taken with respect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solely in his/her capacity as a Responsible Officer of Holdings, has executed this certificate for and on behalf of Holdings and has caused this certificate to be delivered this _____ day of 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HOLDINGS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345" w:type="dxa"/>
            <w:tcBorders>
              <w:bottom w:val="single" w:sz="2" w:space="0" w:color="000000"/>
            </w:tcBorders>
            <w:tcMar>
              <w:bottom w:w="28" w:type="dxa"/>
            </w:tcMar>
          </w:tcPr>
          <w:p>
            <w:pPr>
              <w:pStyle w:val="TableContents"/>
              <w:bidi w:val="0"/>
              <w:spacing w:before="0" w:after="283"/>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This Assignment and Assumption (this “</w:t>
      </w:r>
      <w:r>
        <w:rPr>
          <w:rFonts w:ascii="Times New Roman" w:hAnsi="Times New Roman"/>
          <w:sz w:val="20"/>
          <w:u w:val="single"/>
        </w:rPr>
        <w:t>Assignment and Assumption</w:t>
      </w:r>
      <w:r>
        <w:rPr>
          <w:rFonts w:ascii="Times New Roman" w:hAnsi="Times New Roman"/>
          <w:sz w:val="20"/>
        </w:rPr>
        <w:t>”) is dated as of the Effective Date set forth below and is entered into by and between the Assignor (as defined below) and the Assignee (as defined below) pursuant to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SABRE GLBL INC., a Delaware corporation (the “</w:t>
      </w:r>
      <w:r>
        <w:rPr>
          <w:rFonts w:ascii="Times New Roman" w:hAnsi="Times New Roman"/>
          <w:sz w:val="20"/>
          <w:u w:val="single"/>
        </w:rPr>
        <w:t>Borrower</w:t>
      </w:r>
      <w:r>
        <w:rPr>
          <w:rFonts w:ascii="Times New Roman" w:hAnsi="Times New Roman"/>
          <w:sz w:val="20"/>
        </w:rPr>
        <w:t>”), SABRE HOLDINGS CORPORATION, a Delaware corporation (“</w:t>
      </w:r>
      <w:r>
        <w:rPr>
          <w:rFonts w:ascii="Times New Roman" w:hAnsi="Times New Roman"/>
          <w:sz w:val="20"/>
          <w:u w:val="single"/>
        </w:rPr>
        <w:t>Holdings</w:t>
      </w:r>
      <w:r>
        <w:rPr>
          <w:rFonts w:ascii="Times New Roman" w:hAnsi="Times New Roman"/>
          <w:sz w:val="20"/>
        </w:rPr>
        <w:t xml:space="preserve">”), the Subsidiary Guarantors party thereto, WILMINGTON TRUST, NATIONAL ASSOCIATION, as Administrative Agent, and each Lender from time to time party thereto, receipt of a copy of which is hereby acknowledged by the Assignee. Capitalized terms used in this Assignment and Assumption and not otherwise defined herein have the meanings specified in the Credit Agreement. The Standard Terms and Conditions set forth in Annex 1 attached hereto are hereby agreed to and incorporated herein by reference and made a part of this Assignment and Assumption as if set forth herein in full. </w:t>
      </w:r>
    </w:p>
    <w:p>
      <w:pPr>
        <w:pStyle w:val="TextBody"/>
        <w:bidi w:val="0"/>
        <w:spacing w:before="240" w:after="0"/>
        <w:jc w:val="left"/>
        <w:rPr>
          <w:rFonts w:ascii="Times New Roman" w:hAnsi="Times New Roman"/>
          <w:sz w:val="20"/>
        </w:rPr>
      </w:pPr>
      <w:r>
        <w:rPr>
          <w:rFonts w:ascii="Times New Roman" w:hAnsi="Times New Roman"/>
          <w:sz w:val="20"/>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any other Loan Documents and any other documents or instruments delivered pursuant to any of the foregoing to the extent related to the amount and percentage interest identified below of all of such outstanding rights and obligations of the Assignor under the facility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Loan Document or any other documents or instruments delivered pursuant to any of the foregoing or the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hAnsi="Times New Roman"/>
          <w:sz w:val="20"/>
          <w:u w:val="single"/>
        </w:rPr>
        <w:t>Assigned Interest</w:t>
      </w:r>
      <w:r>
        <w:rPr>
          <w:rFonts w:ascii="Times New Roman" w:hAnsi="Times New Roman"/>
          <w:sz w:val="20"/>
        </w:rPr>
        <w:t xml:space="preserve">”). Such sale and assignment is without recourse to the Assignor and, except as expressly provided in this Assignment and Assumption, without representation or warranty by the Assignor.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Assignor (the “</w:t>
            </w:r>
            <w:r>
              <w:rPr>
                <w:rFonts w:ascii="Times New Roman" w:hAnsi="Times New Roman"/>
                <w:sz w:val="20"/>
                <w:u w:val="single"/>
              </w:rPr>
              <w:t>Assignor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Assignee (the “</w:t>
            </w:r>
            <w:r>
              <w:rPr>
                <w:rFonts w:ascii="Times New Roman" w:hAnsi="Times New Roman"/>
                <w:sz w:val="20"/>
                <w:u w:val="single"/>
              </w:rPr>
              <w:t>Assignee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Assignee is an Affiliate of: [Name of Lender] </w:t>
      </w:r>
    </w:p>
    <w:p>
      <w:pPr>
        <w:pStyle w:val="TextBody"/>
        <w:bidi w:val="0"/>
        <w:spacing w:before="120" w:after="0"/>
        <w:jc w:val="left"/>
        <w:rPr>
          <w:rFonts w:ascii="Times New Roman" w:hAnsi="Times New Roman"/>
          <w:sz w:val="20"/>
        </w:rPr>
      </w:pPr>
      <w:r>
        <w:rPr>
          <w:rFonts w:ascii="Times New Roman" w:hAnsi="Times New Roman"/>
          <w:sz w:val="20"/>
        </w:rPr>
        <w:t xml:space="preserve">Assignee is an Approved Fund of: [Name of Lender] </w:t>
      </w:r>
    </w:p>
    <w:p>
      <w:pPr>
        <w:pStyle w:val="TextBody"/>
        <w:bidi w:val="0"/>
        <w:spacing w:before="120" w:after="0"/>
        <w:jc w:val="left"/>
        <w:rPr>
          <w:rFonts w:ascii="Times New Roman" w:hAnsi="Times New Roman"/>
          <w:sz w:val="20"/>
        </w:rPr>
      </w:pPr>
      <w:r>
        <w:rPr>
          <w:rFonts w:ascii="Times New Roman" w:hAnsi="Times New Roman"/>
          <w:sz w:val="20"/>
        </w:rPr>
        <w:t xml:space="preserve">[Assignee is an Affiliated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Agent: Wilmington Trust, National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Assigned Interest: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43"/>
        <w:gridCol w:w="255"/>
        <w:gridCol w:w="140"/>
        <w:gridCol w:w="2356"/>
        <w:gridCol w:w="60"/>
        <w:gridCol w:w="255"/>
        <w:gridCol w:w="140"/>
        <w:gridCol w:w="1351"/>
        <w:gridCol w:w="60"/>
        <w:gridCol w:w="255"/>
        <w:gridCol w:w="188"/>
        <w:gridCol w:w="1189"/>
        <w:gridCol w:w="280"/>
      </w:tblGrid>
      <w:tr>
        <w:trPr/>
        <w:tc>
          <w:tcPr>
            <w:tcW w:w="2043"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4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Facility</w:t>
            </w:r>
          </w:p>
        </w:tc>
        <w:tc>
          <w:tcPr>
            <w:tcW w:w="255" w:type="dxa"/>
            <w:tcBorders/>
            <w:vAlign w:val="bottom"/>
          </w:tcPr>
          <w:p>
            <w:pPr>
              <w:pStyle w:val="TableContents"/>
              <w:bidi w:val="0"/>
              <w:spacing w:before="0" w:after="283"/>
              <w:jc w:val="left"/>
              <w:rPr/>
            </w:pPr>
            <w:r>
              <w:rPr/>
              <w:t>  </w:t>
            </w:r>
          </w:p>
        </w:tc>
        <w:tc>
          <w:tcPr>
            <w:tcW w:w="2496" w:type="dxa"/>
            <w:gridSpan w:val="2"/>
            <w:tcBorders>
              <w:bottom w:val="single" w:sz="8" w:space="0" w:color="000000"/>
            </w:tcBorders>
            <w:tcMar>
              <w:bottom w:w="28" w:type="dxa"/>
            </w:tcMar>
            <w:vAlign w:val="bottom"/>
          </w:tcPr>
          <w:p>
            <w:pPr>
              <w:pStyle w:val="TableContents"/>
              <w:bidi w:val="0"/>
              <w:spacing w:before="0" w:after="283"/>
              <w:jc w:val="center"/>
              <w:rPr/>
            </w:pPr>
            <w:r>
              <w:rPr/>
              <w:t>Aggregate Amount of</w:t>
              <w:br/>
              <w:t>Commitment/Loans of all</w:t>
              <w:br/>
              <w:t>Lenders</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pPr>
            <w:r>
              <w:rPr/>
              <w:t>Amount of</w:t>
              <w:br/>
              <w:t>Commitment/</w:t>
              <w:br/>
              <w:t>Loans Assigned</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pPr>
            <w:r>
              <w:rPr/>
              <w:t>Percentage</w:t>
              <w:br/>
              <w:t>Assigned of</w:t>
              <w:br/>
              <w:t>Commitment/</w:t>
              <w:br/>
              <w:t>Loans2</w:t>
            </w:r>
          </w:p>
        </w:tc>
        <w:tc>
          <w:tcPr>
            <w:tcW w:w="280" w:type="dxa"/>
            <w:tcBorders/>
            <w:vAlign w:val="bottom"/>
          </w:tcPr>
          <w:p>
            <w:pPr>
              <w:pStyle w:val="TableContents"/>
              <w:bidi w:val="0"/>
              <w:spacing w:before="0" w:after="283"/>
              <w:jc w:val="left"/>
              <w:rPr/>
            </w:pPr>
            <w:r>
              <w:rPr/>
              <w:t> </w:t>
            </w:r>
          </w:p>
        </w:tc>
      </w:tr>
      <w:tr>
        <w:trPr/>
        <w:tc>
          <w:tcPr>
            <w:tcW w:w="2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3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Effective Date: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to at least 8 decimals, as a percentage of the Commitment/Loans of all Lenders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terms set forth in this Assignment and Assumption are hereby agreed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6"/>
        <w:gridCol w:w="72"/>
        <w:gridCol w:w="3574"/>
      </w:tblGrid>
      <w:tr>
        <w:trPr/>
        <w:tc>
          <w:tcPr>
            <w:tcW w:w="436"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ASSIGNOR], as Assignor,</w:t>
            </w:r>
          </w:p>
        </w:tc>
      </w:tr>
      <w:tr>
        <w:trPr>
          <w:trHeight w:val="240" w:hRule="atLeast"/>
        </w:trPr>
        <w:tc>
          <w:tcPr>
            <w:tcW w:w="436" w:type="dxa"/>
            <w:tcBorders/>
            <w:vAlign w:val="center"/>
          </w:tcPr>
          <w:p>
            <w:pPr>
              <w:pStyle w:val="TableContents"/>
              <w:bidi w:val="0"/>
              <w:spacing w:before="0" w:after="283"/>
              <w:jc w:val="left"/>
              <w:rPr>
                <w:sz w:val="4"/>
                <w:szCs w:val="4"/>
              </w:rPr>
            </w:pPr>
            <w:r>
              <w:rPr>
                <w:sz w:val="4"/>
                <w:szCs w:val="4"/>
              </w:rPr>
            </w:r>
          </w:p>
        </w:tc>
        <w:tc>
          <w:tcPr>
            <w:tcW w:w="3646" w:type="dxa"/>
            <w:gridSpan w:val="2"/>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4" w:type="dxa"/>
            <w:tcBorders>
              <w:bottom w:val="single" w:sz="2" w:space="0" w:color="000000"/>
            </w:tcBorders>
            <w:tcMar>
              <w:bottom w:w="28" w:type="dxa"/>
            </w:tcMar>
          </w:tcPr>
          <w:p>
            <w:pPr>
              <w:pStyle w:val="TableContents"/>
              <w:bidi w:val="0"/>
              <w:spacing w:before="0" w:after="283"/>
              <w:jc w:val="left"/>
              <w:rPr/>
            </w:pPr>
            <w:r>
              <w:rPr/>
              <w:t> </w:t>
            </w:r>
          </w:p>
        </w:tc>
      </w:tr>
      <w:tr>
        <w:trPr/>
        <w:tc>
          <w:tcPr>
            <w:tcW w:w="43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3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ASSIGNOR], as Assignor,</w:t>
            </w:r>
          </w:p>
        </w:tc>
      </w:tr>
      <w:tr>
        <w:trPr>
          <w:trHeight w:val="240" w:hRule="atLeast"/>
        </w:trPr>
        <w:tc>
          <w:tcPr>
            <w:tcW w:w="436" w:type="dxa"/>
            <w:tcBorders/>
            <w:vAlign w:val="center"/>
          </w:tcPr>
          <w:p>
            <w:pPr>
              <w:pStyle w:val="TableContents"/>
              <w:bidi w:val="0"/>
              <w:spacing w:before="0" w:after="283"/>
              <w:jc w:val="left"/>
              <w:rPr>
                <w:sz w:val="4"/>
                <w:szCs w:val="4"/>
              </w:rPr>
            </w:pPr>
            <w:r>
              <w:rPr>
                <w:sz w:val="4"/>
                <w:szCs w:val="4"/>
              </w:rPr>
            </w:r>
          </w:p>
        </w:tc>
        <w:tc>
          <w:tcPr>
            <w:tcW w:w="3646" w:type="dxa"/>
            <w:gridSpan w:val="2"/>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4" w:type="dxa"/>
            <w:tcBorders>
              <w:bottom w:val="single" w:sz="2" w:space="0" w:color="000000"/>
            </w:tcBorders>
            <w:tcMar>
              <w:bottom w:w="28" w:type="dxa"/>
            </w:tcMar>
          </w:tcPr>
          <w:p>
            <w:pPr>
              <w:pStyle w:val="TableContents"/>
              <w:bidi w:val="0"/>
              <w:spacing w:before="0" w:after="283"/>
              <w:jc w:val="left"/>
              <w:rPr/>
            </w:pPr>
            <w:r>
              <w:rPr/>
              <w:t> </w:t>
            </w:r>
          </w:p>
        </w:tc>
      </w:tr>
      <w:tr>
        <w:trPr/>
        <w:tc>
          <w:tcPr>
            <w:tcW w:w="43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3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[Consented to and]3 Accepted: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8"/>
        <w:gridCol w:w="121"/>
        <w:gridCol w:w="3293"/>
      </w:tblGrid>
      <w:tr>
        <w:trPr/>
        <w:tc>
          <w:tcPr>
            <w:tcW w:w="6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WILMINGTON TRUST, NATIONAL ASSOCIATION, </w:t>
              <w:br/>
              <w:t>as Administrative Agent,</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293" w:type="dxa"/>
            <w:tcBorders>
              <w:bottom w:val="single" w:sz="2" w:space="0" w:color="000000"/>
            </w:tcBorders>
            <w:tcMar>
              <w:bottom w:w="28" w:type="dxa"/>
            </w:tcMar>
          </w:tcPr>
          <w:p>
            <w:pPr>
              <w:pStyle w:val="TableContents"/>
              <w:bidi w:val="0"/>
              <w:spacing w:before="0" w:after="283"/>
              <w:jc w:val="left"/>
              <w:rPr/>
            </w:pPr>
            <w:r>
              <w:rPr/>
              <w:t> </w:t>
            </w:r>
          </w:p>
        </w:tc>
      </w:tr>
      <w:tr>
        <w:trPr/>
        <w:tc>
          <w:tcPr>
            <w:tcW w:w="66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6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 of the Administrative Agent shall be required for an assignment of all or any portion of a Term Loan to another Lender, an Affiliate of a Lender or an Approved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Title:4</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 of the Borrower shall be required (i) for an assignment of the Term Loan to a Lender, an Affiliate of a Lender, an Approved Fund or (ii) if an Event of Default under Section 6.01(1) or, solely with respect to the Borrower, Section 6.01(5) or (8)] of the Credit Agreement has occurred and is continuing, any Assignee.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1 </w:t>
      </w:r>
    </w:p>
    <w:p>
      <w:pPr>
        <w:pStyle w:val="TextBody"/>
        <w:bidi w:val="0"/>
        <w:spacing w:before="240" w:after="0"/>
        <w:jc w:val="center"/>
        <w:rPr>
          <w:rFonts w:ascii="Times New Roman" w:hAnsi="Times New Roman"/>
          <w:b/>
          <w:sz w:val="20"/>
        </w:rPr>
      </w:pPr>
      <w:r>
        <w:rPr>
          <w:rFonts w:ascii="Times New Roman" w:hAnsi="Times New Roman"/>
          <w:b/>
          <w:sz w:val="20"/>
        </w:rPr>
        <w:t xml:space="preserve">CREDIT AGREEMENT5 </w:t>
      </w:r>
    </w:p>
    <w:p>
      <w:pPr>
        <w:pStyle w:val="TextBody"/>
        <w:bidi w:val="0"/>
        <w:spacing w:before="240" w:after="0"/>
        <w:jc w:val="center"/>
        <w:rPr>
          <w:rFonts w:ascii="Times New Roman" w:hAnsi="Times New Roman"/>
          <w:b/>
          <w:sz w:val="20"/>
        </w:rPr>
      </w:pPr>
      <w:r>
        <w:rPr>
          <w:rFonts w:ascii="Times New Roman" w:hAnsi="Times New Roman"/>
          <w:b/>
          <w:sz w:val="20"/>
        </w:rPr>
        <w:t xml:space="preserve">STANDARD TERMS AND CONDITIONS FOR </w:t>
      </w:r>
    </w:p>
    <w:p>
      <w:pPr>
        <w:pStyle w:val="TextBody"/>
        <w:bidi w:val="0"/>
        <w:spacing w:before="0" w:after="0"/>
        <w:jc w:val="center"/>
        <w:rPr>
          <w:rFonts w:ascii="Times New Roman" w:hAnsi="Times New Roman"/>
          <w:b/>
          <w:sz w:val="20"/>
        </w:rPr>
      </w:pPr>
      <w:r>
        <w:rPr>
          <w:rFonts w:ascii="Times New Roman" w:hAnsi="Times New Roman"/>
          <w:b/>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1.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Assignor</w:t>
      </w:r>
      <w:r>
        <w:rPr>
          <w:rFonts w:ascii="Times New Roman" w:hAnsi="Times New Roman"/>
          <w:sz w:val="20"/>
        </w:rPr>
        <w:t xml:space="preserve">.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(iii) the financial condition of Holdings, the Borrower, or any of their Subsidiaries or Affiliates or any other Person obligated in respect of the Credit Agreement or (iv) the performance or observance by Holdings, the Borrower, or any of their Subsidiaries or Affiliates or any other Person of any of their obligations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w:t>
      </w:r>
      <w:r>
        <w:rPr>
          <w:rFonts w:ascii="Times New Roman" w:hAnsi="Times New Roman"/>
          <w:sz w:val="20"/>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6.01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any Agent or any other Lender, and (v) if it is a Foreign Lender, attached to this Assignment and Assumption is any documentation required to be delivered by it pursuant to Section 3.01 of the Credit Agreement, duly completed and executed by the Assignee; and (b) agrees that (i) it will, independently and without reliance on the Assignor, any Agent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Capitalized terms used herein and not otherwise defined herein shall have the meanings assigned to such terms in the First Lien Pari Passu Credit Agreement dated September 28, 2026 (as amended, supplemented, restated and/or otherwise modified from time to time, the “Credit Agreement”), among Sabre GLBL Inc. (the “Borrower”), Sabre Holdings Corporation (“Holdings”), the subsidiary guarantors from time to time party thereto, Wilmington Trust, National Association, as administrative agent (in such capacity, the “Administrative Agent”), and each lender from time to time party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Payments.</w:t>
      </w:r>
      <w:r>
        <w:rPr>
          <w:rFonts w:ascii="Times New Roman" w:hAnsi="Times New Roman"/>
          <w:sz w:val="20"/>
        </w:rPr>
        <w:t xml:space="preserve">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the Administrative Agent shall make all payments of interest, fees or other amounts paid or payable in kind (including PIK Interest) from and after the Effective Date to the Assignee.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General Provisions.</w:t>
      </w:r>
      <w:r>
        <w:rPr>
          <w:rFonts w:ascii="Times New Roman" w:hAnsi="Times New Roman"/>
          <w:sz w:val="20"/>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or other electronic transmission shall be as effective as delivery of a manually executed counterpart of this Assignment and Assumption. This Assignment and Assumption shall be construed in accordance with and governed by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 AGREEMENT </w:t>
      </w:r>
    </w:p>
    <w:p>
      <w:pPr>
        <w:pStyle w:val="TextBody"/>
        <w:bidi w:val="0"/>
        <w:spacing w:before="120" w:after="0"/>
        <w:jc w:val="center"/>
        <w:rPr>
          <w:rFonts w:ascii="Times New Roman" w:hAnsi="Times New Roman"/>
          <w:sz w:val="20"/>
        </w:rPr>
      </w:pPr>
      <w:r>
        <w:rPr>
          <w:rFonts w:ascii="Times New Roman" w:hAnsi="Times New Roman"/>
          <w:b/>
          <w:sz w:val="20"/>
        </w:rPr>
        <w:t>[</w:t>
      </w:r>
      <w:r>
        <w:rPr>
          <w:rFonts w:ascii="Times New Roman" w:hAnsi="Times New Roman"/>
          <w:b/>
          <w:i/>
          <w:sz w:val="20"/>
        </w:rPr>
        <w:t>Attached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PLEDGE AND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September 28,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SABRE GLBL INC.,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SABRE HOLDINGS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Holdings </w:t>
      </w:r>
    </w:p>
    <w:p>
      <w:pPr>
        <w:pStyle w:val="TextBody"/>
        <w:bidi w:val="0"/>
        <w:spacing w:before="240" w:after="0"/>
        <w:jc w:val="center"/>
        <w:rPr>
          <w:rFonts w:ascii="Times New Roman" w:hAnsi="Times New Roman"/>
          <w:sz w:val="20"/>
        </w:rPr>
      </w:pPr>
      <w:r>
        <w:rPr>
          <w:rFonts w:ascii="Times New Roman" w:hAnsi="Times New Roman"/>
          <w:sz w:val="20"/>
        </w:rPr>
        <w:t xml:space="preserve">CERTAIN SUBSIDIARIES OF SABRE INC. </w:t>
      </w:r>
    </w:p>
    <w:p>
      <w:pPr>
        <w:pStyle w:val="TextBody"/>
        <w:bidi w:val="0"/>
        <w:spacing w:before="0" w:after="0"/>
        <w:jc w:val="center"/>
        <w:rPr>
          <w:rFonts w:ascii="Times New Roman" w:hAnsi="Times New Roman"/>
          <w:sz w:val="20"/>
        </w:rPr>
      </w:pPr>
      <w:r>
        <w:rPr>
          <w:rFonts w:ascii="Times New Roman" w:hAnsi="Times New Roman"/>
          <w:sz w:val="20"/>
        </w:rPr>
        <w:t xml:space="preserve">IDENTIFIED HEREIN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NOTWITHSTANDING ANYTHING HEREIN TO THE CONTRARY, THE LIEN AND SECURITY INTEREST GRANTED TO THE ADMINISTRATIVE AGENT, FOR THE BENEFIT OF THE SECURED PARTIES, PURSUANT TO THIS AGREEMENT AND THE EXERCISE OF ANY RIGHT OR REMEDY BY THE ADMINISTRATIVE AGENT AND THE OTHER SECURED PARTIES HEREUNDER ARE SUBJECT TO THE PROVISIONS OF THE INTERCREDITOR AGREEMENT. IN THE EVENT OF ANY CONFLICT OR INCONSISTENCY BETWEEN THE PROVISIONS OF THE INTERCREDITOR AGREEMENT AND THIS AGREEMENT, THE PROVISIONS OF THE INTERCREDITOR AGREEMENT SHALL CONTROL.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1"/>
        <w:gridCol w:w="124"/>
        <w:gridCol w:w="7361"/>
        <w:gridCol w:w="175"/>
        <w:gridCol w:w="102"/>
        <w:gridCol w:w="449"/>
        <w:gridCol w:w="63"/>
      </w:tblGrid>
      <w:tr>
        <w:trPr/>
        <w:tc>
          <w:tcPr>
            <w:tcW w:w="193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36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31" w:type="dxa"/>
            <w:tcBorders/>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51" w:type="dxa"/>
            <w:gridSpan w:val="2"/>
            <w:tcBorders/>
            <w:vAlign w:val="bottom"/>
          </w:tcPr>
          <w:p>
            <w:pPr>
              <w:pStyle w:val="TableContents"/>
              <w:bidi w:val="0"/>
              <w:spacing w:before="0" w:after="283"/>
              <w:jc w:val="right"/>
              <w:rPr>
                <w:u w:val="single"/>
              </w:rPr>
            </w:pPr>
            <w:r>
              <w:rPr>
                <w:u w:val="single"/>
              </w:rPr>
              <w:t>P</w:t>
            </w:r>
            <w:r>
              <w:rPr>
                <w:sz w:val="20"/>
                <w:u w:val="single"/>
              </w:rPr>
              <w:t>AGE</w:t>
            </w:r>
          </w:p>
        </w:tc>
        <w:tc>
          <w:tcPr>
            <w:tcW w:w="63" w:type="dxa"/>
            <w:tcBorders/>
            <w:vAlign w:val="bottom"/>
          </w:tcPr>
          <w:p>
            <w:pPr>
              <w:pStyle w:val="TableContents"/>
              <w:bidi w:val="0"/>
              <w:spacing w:before="0" w:after="283"/>
              <w:jc w:val="left"/>
              <w:rPr/>
            </w:pPr>
            <w:r>
              <w:rPr/>
              <w:t> </w:t>
            </w:r>
          </w:p>
        </w:tc>
      </w:tr>
      <w:tr>
        <w:trPr/>
        <w:tc>
          <w:tcPr>
            <w:tcW w:w="941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DEFINITIONS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rHeight w:val="240" w:hRule="atLeast"/>
        </w:trPr>
        <w:tc>
          <w:tcPr>
            <w:tcW w:w="1931" w:type="dxa"/>
            <w:tcBorders/>
            <w:vAlign w:val="center"/>
          </w:tcPr>
          <w:p>
            <w:pPr>
              <w:pStyle w:val="TableContents"/>
              <w:bidi w:val="0"/>
              <w:spacing w:before="0" w:after="283"/>
              <w:jc w:val="left"/>
              <w:rPr>
                <w:sz w:val="4"/>
                <w:szCs w:val="4"/>
              </w:rPr>
            </w:pPr>
            <w:r>
              <w:rPr>
                <w:sz w:val="4"/>
                <w:szCs w:val="4"/>
              </w:rPr>
            </w:r>
          </w:p>
        </w:tc>
        <w:tc>
          <w:tcPr>
            <w:tcW w:w="7485"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Other Defined Terms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PLEDGE OF SECURITIES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rHeight w:val="240" w:hRule="atLeast"/>
        </w:trPr>
        <w:tc>
          <w:tcPr>
            <w:tcW w:w="1931" w:type="dxa"/>
            <w:tcBorders/>
            <w:vAlign w:val="center"/>
          </w:tcPr>
          <w:p>
            <w:pPr>
              <w:pStyle w:val="TableContents"/>
              <w:bidi w:val="0"/>
              <w:spacing w:before="0" w:after="283"/>
              <w:jc w:val="left"/>
              <w:rPr>
                <w:sz w:val="4"/>
                <w:szCs w:val="4"/>
              </w:rPr>
            </w:pPr>
            <w:r>
              <w:rPr>
                <w:sz w:val="4"/>
                <w:szCs w:val="4"/>
              </w:rPr>
            </w:r>
          </w:p>
        </w:tc>
        <w:tc>
          <w:tcPr>
            <w:tcW w:w="7485"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Pledge</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the Pledged Collateral</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Warranties and Covenants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Certification of Limited Liability Company and Limited Partnership Interests .</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in Nominee Name; Denominations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Voting Rights; Dividends and Interest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 Not a Partner or Limited Liability Company Member</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24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SECURITY INTERESTS IN PERSONAL PROPERTY</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b/>
              </w:rPr>
            </w:pPr>
            <w:r>
              <w:rPr>
                <w:b/>
              </w:rPr>
              <w:t>12</w:t>
            </w:r>
          </w:p>
        </w:tc>
        <w:tc>
          <w:tcPr>
            <w:tcW w:w="63" w:type="dxa"/>
            <w:tcBorders/>
            <w:vAlign w:val="bottom"/>
          </w:tcPr>
          <w:p>
            <w:pPr>
              <w:pStyle w:val="TableContents"/>
              <w:bidi w:val="0"/>
              <w:spacing w:before="0" w:after="283"/>
              <w:jc w:val="left"/>
              <w:rPr/>
            </w:pPr>
            <w:r>
              <w:rPr/>
              <w:t> </w:t>
            </w:r>
          </w:p>
        </w:tc>
      </w:tr>
      <w:tr>
        <w:trPr>
          <w:trHeight w:val="240" w:hRule="atLeast"/>
        </w:trPr>
        <w:tc>
          <w:tcPr>
            <w:tcW w:w="1931" w:type="dxa"/>
            <w:tcBorders/>
            <w:vAlign w:val="center"/>
          </w:tcPr>
          <w:p>
            <w:pPr>
              <w:pStyle w:val="TableContents"/>
              <w:bidi w:val="0"/>
              <w:spacing w:before="0" w:after="283"/>
              <w:jc w:val="left"/>
              <w:rPr>
                <w:sz w:val="4"/>
                <w:szCs w:val="4"/>
              </w:rPr>
            </w:pPr>
            <w:r>
              <w:rPr>
                <w:sz w:val="4"/>
                <w:szCs w:val="4"/>
              </w:rPr>
            </w:r>
          </w:p>
        </w:tc>
        <w:tc>
          <w:tcPr>
            <w:tcW w:w="7485"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Covenant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Other Actions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24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REMEDIES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b/>
              </w:rPr>
            </w:pPr>
            <w:r>
              <w:rPr>
                <w:b/>
              </w:rPr>
              <w:t>20</w:t>
            </w:r>
          </w:p>
        </w:tc>
        <w:tc>
          <w:tcPr>
            <w:tcW w:w="63" w:type="dxa"/>
            <w:tcBorders/>
            <w:vAlign w:val="bottom"/>
          </w:tcPr>
          <w:p>
            <w:pPr>
              <w:pStyle w:val="TableContents"/>
              <w:bidi w:val="0"/>
              <w:spacing w:before="0" w:after="283"/>
              <w:jc w:val="left"/>
              <w:rPr/>
            </w:pPr>
            <w:r>
              <w:rPr/>
              <w:t> </w:t>
            </w:r>
          </w:p>
        </w:tc>
      </w:tr>
      <w:tr>
        <w:trPr>
          <w:trHeight w:val="240" w:hRule="atLeast"/>
        </w:trPr>
        <w:tc>
          <w:tcPr>
            <w:tcW w:w="1931" w:type="dxa"/>
            <w:tcBorders/>
            <w:vAlign w:val="center"/>
          </w:tcPr>
          <w:p>
            <w:pPr>
              <w:pStyle w:val="TableContents"/>
              <w:bidi w:val="0"/>
              <w:spacing w:before="0" w:after="283"/>
              <w:jc w:val="left"/>
              <w:rPr>
                <w:sz w:val="4"/>
                <w:szCs w:val="4"/>
              </w:rPr>
            </w:pPr>
            <w:r>
              <w:rPr>
                <w:sz w:val="4"/>
                <w:szCs w:val="4"/>
              </w:rPr>
            </w:r>
          </w:p>
        </w:tc>
        <w:tc>
          <w:tcPr>
            <w:tcW w:w="7485"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Remedies upon Default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Grant of License to Use Intellectual Property; Power of Attorney</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INDEMNITY, SUBROGATION AND SUBORDINATION</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b/>
              </w:rPr>
            </w:pPr>
            <w:r>
              <w:rPr>
                <w:b/>
              </w:rPr>
              <w:t>22</w:t>
            </w:r>
          </w:p>
        </w:tc>
        <w:tc>
          <w:tcPr>
            <w:tcW w:w="63" w:type="dxa"/>
            <w:tcBorders/>
            <w:vAlign w:val="bottom"/>
          </w:tcPr>
          <w:p>
            <w:pPr>
              <w:pStyle w:val="TableContents"/>
              <w:bidi w:val="0"/>
              <w:spacing w:before="0" w:after="283"/>
              <w:jc w:val="left"/>
              <w:rPr/>
            </w:pPr>
            <w:r>
              <w:rPr/>
              <w:t> </w:t>
            </w:r>
          </w:p>
        </w:tc>
      </w:tr>
      <w:tr>
        <w:trPr>
          <w:trHeight w:val="240" w:hRule="atLeast"/>
        </w:trPr>
        <w:tc>
          <w:tcPr>
            <w:tcW w:w="1931" w:type="dxa"/>
            <w:tcBorders/>
            <w:vAlign w:val="center"/>
          </w:tcPr>
          <w:p>
            <w:pPr>
              <w:pStyle w:val="TableContents"/>
              <w:bidi w:val="0"/>
              <w:spacing w:before="0" w:after="283"/>
              <w:jc w:val="left"/>
              <w:rPr>
                <w:sz w:val="4"/>
                <w:szCs w:val="4"/>
              </w:rPr>
            </w:pPr>
            <w:r>
              <w:rPr>
                <w:sz w:val="4"/>
                <w:szCs w:val="4"/>
              </w:rPr>
            </w:r>
          </w:p>
        </w:tc>
        <w:tc>
          <w:tcPr>
            <w:tcW w:w="7485"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Indemnity</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and Subrogation</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Subordination</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24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MISCELLANEOUS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b/>
              </w:rPr>
            </w:pPr>
            <w:r>
              <w:rPr>
                <w:b/>
              </w:rPr>
              <w:t>23</w:t>
            </w:r>
          </w:p>
        </w:tc>
        <w:tc>
          <w:tcPr>
            <w:tcW w:w="63" w:type="dxa"/>
            <w:tcBorders/>
            <w:vAlign w:val="bottom"/>
          </w:tcPr>
          <w:p>
            <w:pPr>
              <w:pStyle w:val="TableContents"/>
              <w:bidi w:val="0"/>
              <w:spacing w:before="0" w:after="283"/>
              <w:jc w:val="left"/>
              <w:rPr/>
            </w:pPr>
            <w:r>
              <w:rPr/>
              <w:t> </w:t>
            </w:r>
          </w:p>
        </w:tc>
      </w:tr>
      <w:tr>
        <w:trPr>
          <w:trHeight w:val="240" w:hRule="atLeast"/>
        </w:trPr>
        <w:tc>
          <w:tcPr>
            <w:tcW w:w="1931" w:type="dxa"/>
            <w:tcBorders/>
            <w:vAlign w:val="center"/>
          </w:tcPr>
          <w:p>
            <w:pPr>
              <w:pStyle w:val="TableContents"/>
              <w:bidi w:val="0"/>
              <w:spacing w:before="0" w:after="283"/>
              <w:jc w:val="left"/>
              <w:rPr>
                <w:sz w:val="4"/>
                <w:szCs w:val="4"/>
              </w:rPr>
            </w:pPr>
            <w:r>
              <w:rPr>
                <w:sz w:val="4"/>
                <w:szCs w:val="4"/>
              </w:rPr>
            </w:r>
          </w:p>
        </w:tc>
        <w:tc>
          <w:tcPr>
            <w:tcW w:w="7485"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93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4"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Waivers; Amendment</w:t>
            </w:r>
          </w:p>
        </w:tc>
        <w:tc>
          <w:tcPr>
            <w:tcW w:w="1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3"/>
        <w:gridCol w:w="121"/>
        <w:gridCol w:w="7714"/>
        <w:gridCol w:w="163"/>
        <w:gridCol w:w="60"/>
        <w:gridCol w:w="260"/>
        <w:gridCol w:w="64"/>
      </w:tblGrid>
      <w:tr>
        <w:trPr/>
        <w:tc>
          <w:tcPr>
            <w:tcW w:w="18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1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Agent’s Fees and Expenses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Effectiveness; Successors and Assigns; Several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Consent to Service of Process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WAIVER OF RIGHT TO TRIAL BY JURY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 Absolute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Collateral Sharing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or Release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Restricted Subsidiaries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 Appointed Attorney-in-Fact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General Authority of the Administrative Agent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Recourse; Limited Obligations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240" w:hRule="atLeast"/>
        </w:trPr>
        <w:tc>
          <w:tcPr>
            <w:tcW w:w="9658" w:type="dxa"/>
            <w:gridSpan w:val="3"/>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29</w:t>
            </w:r>
          </w:p>
        </w:tc>
        <w:tc>
          <w:tcPr>
            <w:tcW w:w="64" w:type="dxa"/>
            <w:tcBorders/>
            <w:vAlign w:val="bottom"/>
          </w:tcPr>
          <w:p>
            <w:pPr>
              <w:pStyle w:val="TableContents"/>
              <w:bidi w:val="0"/>
              <w:spacing w:before="0" w:after="283"/>
              <w:jc w:val="left"/>
              <w:rPr/>
            </w:pPr>
            <w:r>
              <w:rPr/>
              <w:t> </w:t>
            </w:r>
          </w:p>
        </w:tc>
      </w:tr>
      <w:tr>
        <w:trPr>
          <w:trHeight w:val="240" w:hRule="atLeast"/>
        </w:trPr>
        <w:tc>
          <w:tcPr>
            <w:tcW w:w="1823" w:type="dxa"/>
            <w:tcBorders/>
            <w:vAlign w:val="center"/>
          </w:tcPr>
          <w:p>
            <w:pPr>
              <w:pStyle w:val="TableContents"/>
              <w:bidi w:val="0"/>
              <w:spacing w:before="0" w:after="283"/>
              <w:jc w:val="left"/>
              <w:rPr>
                <w:sz w:val="4"/>
                <w:szCs w:val="4"/>
              </w:rPr>
            </w:pPr>
            <w:r>
              <w:rPr>
                <w:sz w:val="4"/>
                <w:szCs w:val="4"/>
              </w:rPr>
            </w:r>
          </w:p>
        </w:tc>
        <w:tc>
          <w:tcPr>
            <w:tcW w:w="7835"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Intercreditor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Grantors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823"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1" w:type="dxa"/>
            <w:tcBorders/>
            <w:vAlign w:val="bottom"/>
          </w:tcPr>
          <w:p>
            <w:pPr>
              <w:pStyle w:val="TableContents"/>
              <w:bidi w:val="0"/>
              <w:spacing w:before="0" w:after="283"/>
              <w:jc w:val="left"/>
              <w:rPr/>
            </w:pPr>
            <w:r>
              <w:rPr/>
              <w:t> </w:t>
            </w:r>
          </w:p>
        </w:tc>
        <w:tc>
          <w:tcPr>
            <w:tcW w:w="7714"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Collateral</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7"/>
        <w:gridCol w:w="125"/>
        <w:gridCol w:w="4853"/>
      </w:tblGrid>
      <w:tr>
        <w:trPr/>
        <w:tc>
          <w:tcPr>
            <w:tcW w:w="522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53" w:type="dxa"/>
            <w:tcBorders/>
            <w:vAlign w:val="center"/>
          </w:tcPr>
          <w:p>
            <w:pPr>
              <w:pStyle w:val="TableContents"/>
              <w:bidi w:val="0"/>
              <w:spacing w:before="0" w:after="283"/>
              <w:jc w:val="left"/>
              <w:rPr>
                <w:sz w:val="4"/>
                <w:szCs w:val="4"/>
              </w:rPr>
            </w:pPr>
            <w:r>
              <w:rPr>
                <w:sz w:val="4"/>
                <w:szCs w:val="4"/>
              </w:rPr>
            </w:r>
          </w:p>
        </w:tc>
      </w:tr>
      <w:tr>
        <w:trPr/>
        <w:tc>
          <w:tcPr>
            <w:tcW w:w="52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A</w:t>
            </w:r>
          </w:p>
        </w:tc>
        <w:tc>
          <w:tcPr>
            <w:tcW w:w="125" w:type="dxa"/>
            <w:tcBorders/>
            <w:vAlign w:val="bottom"/>
          </w:tcPr>
          <w:p>
            <w:pPr>
              <w:pStyle w:val="TableContents"/>
              <w:bidi w:val="0"/>
              <w:spacing w:before="0" w:after="283"/>
              <w:jc w:val="left"/>
              <w:rPr/>
            </w:pPr>
            <w:r>
              <w:rPr/>
              <w:t>  </w:t>
            </w:r>
          </w:p>
        </w:tc>
        <w:tc>
          <w:tcPr>
            <w:tcW w:w="4853" w:type="dxa"/>
            <w:tcBorders/>
            <w:vAlign w:val="bottom"/>
          </w:tcPr>
          <w:p>
            <w:pPr>
              <w:pStyle w:val="TableContents"/>
              <w:bidi w:val="0"/>
              <w:spacing w:before="0" w:after="283"/>
              <w:jc w:val="right"/>
              <w:rPr/>
            </w:pPr>
            <w:r>
              <w:rPr/>
              <w:t>List of Loan Parties</w:t>
            </w:r>
          </w:p>
        </w:tc>
      </w:tr>
      <w:tr>
        <w:trPr>
          <w:trHeight w:val="240" w:hRule="atLeast"/>
        </w:trPr>
        <w:tc>
          <w:tcPr>
            <w:tcW w:w="5227" w:type="dxa"/>
            <w:tcBorders/>
            <w:vAlign w:val="center"/>
          </w:tcPr>
          <w:p>
            <w:pPr>
              <w:pStyle w:val="TableContents"/>
              <w:bidi w:val="0"/>
              <w:spacing w:before="0" w:after="283"/>
              <w:jc w:val="left"/>
              <w:rPr>
                <w:sz w:val="4"/>
                <w:szCs w:val="4"/>
              </w:rPr>
            </w:pPr>
            <w:r>
              <w:rPr>
                <w:sz w:val="4"/>
                <w:szCs w:val="4"/>
              </w:rPr>
            </w:r>
          </w:p>
        </w:tc>
        <w:tc>
          <w:tcPr>
            <w:tcW w:w="4978" w:type="dxa"/>
            <w:gridSpan w:val="2"/>
            <w:tcBorders/>
            <w:vAlign w:val="center"/>
          </w:tcPr>
          <w:p>
            <w:pPr>
              <w:pStyle w:val="TableContents"/>
              <w:bidi w:val="0"/>
              <w:spacing w:before="0" w:after="283"/>
              <w:jc w:val="left"/>
              <w:rPr>
                <w:sz w:val="4"/>
                <w:szCs w:val="4"/>
              </w:rPr>
            </w:pPr>
            <w:r>
              <w:rPr>
                <w:sz w:val="4"/>
                <w:szCs w:val="4"/>
              </w:rPr>
            </w:r>
          </w:p>
        </w:tc>
      </w:tr>
      <w:tr>
        <w:trPr/>
        <w:tc>
          <w:tcPr>
            <w:tcW w:w="5227" w:type="dxa"/>
            <w:tcBorders/>
          </w:tcPr>
          <w:p>
            <w:pPr>
              <w:pStyle w:val="TableContents"/>
              <w:bidi w:val="0"/>
              <w:spacing w:before="0" w:after="0"/>
              <w:jc w:val="left"/>
              <w:rPr>
                <w:rFonts w:ascii="Times New Roman" w:hAnsi="Times New Roman"/>
                <w:i/>
                <w:sz w:val="20"/>
              </w:rPr>
            </w:pPr>
            <w:r>
              <w:rPr>
                <w:rFonts w:ascii="Times New Roman" w:hAnsi="Times New Roman"/>
                <w:i/>
                <w:sz w:val="20"/>
              </w:rPr>
              <w:t>Schedules</w:t>
            </w:r>
          </w:p>
        </w:tc>
        <w:tc>
          <w:tcPr>
            <w:tcW w:w="125" w:type="dxa"/>
            <w:tcBorders/>
            <w:vAlign w:val="bottom"/>
          </w:tcPr>
          <w:p>
            <w:pPr>
              <w:pStyle w:val="TableContents"/>
              <w:bidi w:val="0"/>
              <w:spacing w:before="0" w:after="283"/>
              <w:jc w:val="left"/>
              <w:rPr/>
            </w:pPr>
            <w:r>
              <w:rPr/>
              <w:t>  </w:t>
            </w:r>
          </w:p>
        </w:tc>
        <w:tc>
          <w:tcPr>
            <w:tcW w:w="485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27" w:type="dxa"/>
            <w:tcBorders/>
            <w:vAlign w:val="center"/>
          </w:tcPr>
          <w:p>
            <w:pPr>
              <w:pStyle w:val="TableContents"/>
              <w:bidi w:val="0"/>
              <w:spacing w:before="0" w:after="283"/>
              <w:jc w:val="left"/>
              <w:rPr>
                <w:sz w:val="4"/>
                <w:szCs w:val="4"/>
              </w:rPr>
            </w:pPr>
            <w:r>
              <w:rPr>
                <w:sz w:val="4"/>
                <w:szCs w:val="4"/>
              </w:rPr>
            </w:r>
          </w:p>
        </w:tc>
        <w:tc>
          <w:tcPr>
            <w:tcW w:w="4978" w:type="dxa"/>
            <w:gridSpan w:val="2"/>
            <w:tcBorders/>
            <w:vAlign w:val="center"/>
          </w:tcPr>
          <w:p>
            <w:pPr>
              <w:pStyle w:val="TableContents"/>
              <w:bidi w:val="0"/>
              <w:spacing w:before="0" w:after="283"/>
              <w:jc w:val="left"/>
              <w:rPr>
                <w:sz w:val="4"/>
                <w:szCs w:val="4"/>
              </w:rPr>
            </w:pPr>
            <w:r>
              <w:rPr>
                <w:sz w:val="4"/>
                <w:szCs w:val="4"/>
              </w:rPr>
            </w:r>
          </w:p>
        </w:tc>
      </w:tr>
      <w:tr>
        <w:trPr/>
        <w:tc>
          <w:tcPr>
            <w:tcW w:w="5227" w:type="dxa"/>
            <w:tcBorders/>
          </w:tcPr>
          <w:p>
            <w:pPr>
              <w:pStyle w:val="TableContents"/>
              <w:bidi w:val="0"/>
              <w:spacing w:before="0" w:after="0"/>
              <w:jc w:val="left"/>
              <w:rPr>
                <w:rFonts w:ascii="Times New Roman" w:hAnsi="Times New Roman"/>
                <w:sz w:val="20"/>
              </w:rPr>
            </w:pPr>
            <w:r>
              <w:rPr>
                <w:rFonts w:ascii="Times New Roman" w:hAnsi="Times New Roman"/>
                <w:sz w:val="20"/>
              </w:rPr>
              <w:t>Schedule I Pledged Equity; Pledged Debt</w:t>
            </w:r>
          </w:p>
        </w:tc>
        <w:tc>
          <w:tcPr>
            <w:tcW w:w="125" w:type="dxa"/>
            <w:tcBorders/>
            <w:vAlign w:val="bottom"/>
          </w:tcPr>
          <w:p>
            <w:pPr>
              <w:pStyle w:val="TableContents"/>
              <w:bidi w:val="0"/>
              <w:spacing w:before="0" w:after="283"/>
              <w:jc w:val="left"/>
              <w:rPr/>
            </w:pPr>
            <w:r>
              <w:rPr/>
              <w:t>  </w:t>
            </w:r>
          </w:p>
        </w:tc>
        <w:tc>
          <w:tcPr>
            <w:tcW w:w="4853" w:type="dxa"/>
            <w:tcBorders/>
            <w:vAlign w:val="bottom"/>
          </w:tcPr>
          <w:p>
            <w:pPr>
              <w:pStyle w:val="TableContents"/>
              <w:bidi w:val="0"/>
              <w:spacing w:before="0" w:after="283"/>
              <w:jc w:val="left"/>
              <w:rPr>
                <w:sz w:val="4"/>
                <w:szCs w:val="4"/>
              </w:rPr>
            </w:pPr>
            <w:r>
              <w:rPr>
                <w:sz w:val="4"/>
                <w:szCs w:val="4"/>
              </w:rPr>
            </w:r>
          </w:p>
        </w:tc>
      </w:tr>
      <w:tr>
        <w:trPr/>
        <w:tc>
          <w:tcPr>
            <w:tcW w:w="5227" w:type="dxa"/>
            <w:tcBorders/>
          </w:tcPr>
          <w:p>
            <w:pPr>
              <w:pStyle w:val="TableContents"/>
              <w:bidi w:val="0"/>
              <w:spacing w:before="0" w:after="0"/>
              <w:jc w:val="left"/>
              <w:rPr>
                <w:rFonts w:ascii="Times New Roman" w:hAnsi="Times New Roman"/>
                <w:sz w:val="20"/>
              </w:rPr>
            </w:pPr>
            <w:r>
              <w:rPr>
                <w:rFonts w:ascii="Times New Roman" w:hAnsi="Times New Roman"/>
                <w:sz w:val="20"/>
              </w:rPr>
              <w:t>Schedule II Commercial Tort Claims</w:t>
            </w:r>
          </w:p>
        </w:tc>
        <w:tc>
          <w:tcPr>
            <w:tcW w:w="125" w:type="dxa"/>
            <w:tcBorders/>
            <w:vAlign w:val="bottom"/>
          </w:tcPr>
          <w:p>
            <w:pPr>
              <w:pStyle w:val="TableContents"/>
              <w:bidi w:val="0"/>
              <w:spacing w:before="0" w:after="283"/>
              <w:jc w:val="left"/>
              <w:rPr/>
            </w:pPr>
            <w:r>
              <w:rPr/>
              <w:t>  </w:t>
            </w:r>
          </w:p>
        </w:tc>
        <w:tc>
          <w:tcPr>
            <w:tcW w:w="485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27" w:type="dxa"/>
            <w:tcBorders/>
            <w:vAlign w:val="center"/>
          </w:tcPr>
          <w:p>
            <w:pPr>
              <w:pStyle w:val="TableContents"/>
              <w:bidi w:val="0"/>
              <w:spacing w:before="0" w:after="283"/>
              <w:jc w:val="left"/>
              <w:rPr>
                <w:sz w:val="4"/>
                <w:szCs w:val="4"/>
              </w:rPr>
            </w:pPr>
            <w:r>
              <w:rPr>
                <w:sz w:val="4"/>
                <w:szCs w:val="4"/>
              </w:rPr>
            </w:r>
          </w:p>
        </w:tc>
        <w:tc>
          <w:tcPr>
            <w:tcW w:w="4978" w:type="dxa"/>
            <w:gridSpan w:val="2"/>
            <w:tcBorders/>
            <w:vAlign w:val="center"/>
          </w:tcPr>
          <w:p>
            <w:pPr>
              <w:pStyle w:val="TableContents"/>
              <w:bidi w:val="0"/>
              <w:spacing w:before="0" w:after="283"/>
              <w:jc w:val="left"/>
              <w:rPr>
                <w:sz w:val="4"/>
                <w:szCs w:val="4"/>
              </w:rPr>
            </w:pPr>
            <w:r>
              <w:rPr>
                <w:sz w:val="4"/>
                <w:szCs w:val="4"/>
              </w:rPr>
            </w:r>
          </w:p>
        </w:tc>
      </w:tr>
      <w:tr>
        <w:trPr/>
        <w:tc>
          <w:tcPr>
            <w:tcW w:w="5227" w:type="dxa"/>
            <w:tcBorders/>
          </w:tcPr>
          <w:p>
            <w:pPr>
              <w:pStyle w:val="TableContents"/>
              <w:bidi w:val="0"/>
              <w:spacing w:before="0" w:after="0"/>
              <w:jc w:val="left"/>
              <w:rPr>
                <w:rFonts w:ascii="Times New Roman" w:hAnsi="Times New Roman"/>
                <w:i/>
                <w:sz w:val="20"/>
              </w:rPr>
            </w:pPr>
            <w:r>
              <w:rPr>
                <w:rFonts w:ascii="Times New Roman" w:hAnsi="Times New Roman"/>
                <w:i/>
                <w:sz w:val="20"/>
              </w:rPr>
              <w:t>Exhibits</w:t>
            </w:r>
          </w:p>
        </w:tc>
        <w:tc>
          <w:tcPr>
            <w:tcW w:w="125" w:type="dxa"/>
            <w:tcBorders/>
            <w:vAlign w:val="bottom"/>
          </w:tcPr>
          <w:p>
            <w:pPr>
              <w:pStyle w:val="TableContents"/>
              <w:bidi w:val="0"/>
              <w:spacing w:before="0" w:after="283"/>
              <w:jc w:val="left"/>
              <w:rPr/>
            </w:pPr>
            <w:r>
              <w:rPr/>
              <w:t>  </w:t>
            </w:r>
          </w:p>
        </w:tc>
        <w:tc>
          <w:tcPr>
            <w:tcW w:w="485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5"/>
        <w:gridCol w:w="320"/>
        <w:gridCol w:w="8550"/>
      </w:tblGrid>
      <w:tr>
        <w:trPr/>
        <w:tc>
          <w:tcPr>
            <w:tcW w:w="133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550" w:type="dxa"/>
            <w:tcBorders/>
            <w:vAlign w:val="center"/>
          </w:tcPr>
          <w:p>
            <w:pPr>
              <w:pStyle w:val="TableContents"/>
              <w:bidi w:val="0"/>
              <w:spacing w:before="0" w:after="283"/>
              <w:jc w:val="left"/>
              <w:rPr>
                <w:sz w:val="4"/>
                <w:szCs w:val="4"/>
              </w:rPr>
            </w:pPr>
            <w:r>
              <w:rPr>
                <w:sz w:val="4"/>
                <w:szCs w:val="4"/>
              </w:rPr>
            </w:r>
          </w:p>
        </w:tc>
      </w:tr>
      <w:tr>
        <w:trPr/>
        <w:tc>
          <w:tcPr>
            <w:tcW w:w="1335" w:type="dxa"/>
            <w:tcBorders/>
            <w:vAlign w:val="bottom"/>
          </w:tcPr>
          <w:p>
            <w:pPr>
              <w:pStyle w:val="TableContents"/>
              <w:bidi w:val="0"/>
              <w:spacing w:before="0" w:after="283"/>
              <w:jc w:val="left"/>
              <w:rPr/>
            </w:pPr>
            <w:r>
              <w:rPr/>
              <w:t>EXHIBIT I</w:t>
            </w:r>
          </w:p>
        </w:tc>
        <w:tc>
          <w:tcPr>
            <w:tcW w:w="320" w:type="dxa"/>
            <w:tcBorders/>
            <w:vAlign w:val="bottom"/>
          </w:tcPr>
          <w:p>
            <w:pPr>
              <w:pStyle w:val="TableContents"/>
              <w:bidi w:val="0"/>
              <w:spacing w:before="0" w:after="283"/>
              <w:jc w:val="left"/>
              <w:rPr/>
            </w:pPr>
            <w:r>
              <w:rPr/>
              <w:t>  </w:t>
            </w:r>
          </w:p>
        </w:tc>
        <w:tc>
          <w:tcPr>
            <w:tcW w:w="8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Security Agreement Supplement</w:t>
            </w:r>
          </w:p>
        </w:tc>
      </w:tr>
      <w:tr>
        <w:trPr/>
        <w:tc>
          <w:tcPr>
            <w:tcW w:w="1335" w:type="dxa"/>
            <w:tcBorders/>
            <w:vAlign w:val="bottom"/>
          </w:tcPr>
          <w:p>
            <w:pPr>
              <w:pStyle w:val="TableContents"/>
              <w:bidi w:val="0"/>
              <w:spacing w:before="0" w:after="283"/>
              <w:jc w:val="left"/>
              <w:rPr/>
            </w:pPr>
            <w:r>
              <w:rPr/>
              <w:t>EXHIBIT II</w:t>
            </w:r>
          </w:p>
        </w:tc>
        <w:tc>
          <w:tcPr>
            <w:tcW w:w="320" w:type="dxa"/>
            <w:tcBorders/>
            <w:vAlign w:val="bottom"/>
          </w:tcPr>
          <w:p>
            <w:pPr>
              <w:pStyle w:val="TableContents"/>
              <w:bidi w:val="0"/>
              <w:spacing w:before="0" w:after="283"/>
              <w:jc w:val="left"/>
              <w:rPr/>
            </w:pPr>
            <w:r>
              <w:rPr/>
              <w:t>  </w:t>
            </w:r>
          </w:p>
        </w:tc>
        <w:tc>
          <w:tcPr>
            <w:tcW w:w="8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Perfection Certificate</w:t>
            </w:r>
          </w:p>
        </w:tc>
      </w:tr>
      <w:tr>
        <w:trPr/>
        <w:tc>
          <w:tcPr>
            <w:tcW w:w="1335" w:type="dxa"/>
            <w:tcBorders/>
            <w:vAlign w:val="bottom"/>
          </w:tcPr>
          <w:p>
            <w:pPr>
              <w:pStyle w:val="TableContents"/>
              <w:bidi w:val="0"/>
              <w:spacing w:before="0" w:after="283"/>
              <w:jc w:val="left"/>
              <w:rPr/>
            </w:pPr>
            <w:r>
              <w:rPr/>
              <w:t>EXHIBIT III</w:t>
            </w:r>
          </w:p>
        </w:tc>
        <w:tc>
          <w:tcPr>
            <w:tcW w:w="320" w:type="dxa"/>
            <w:tcBorders/>
            <w:vAlign w:val="bottom"/>
          </w:tcPr>
          <w:p>
            <w:pPr>
              <w:pStyle w:val="TableContents"/>
              <w:bidi w:val="0"/>
              <w:spacing w:before="0" w:after="283"/>
              <w:jc w:val="left"/>
              <w:rPr/>
            </w:pPr>
            <w:r>
              <w:rPr/>
              <w:t>  </w:t>
            </w:r>
          </w:p>
        </w:tc>
        <w:tc>
          <w:tcPr>
            <w:tcW w:w="8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Patent Security Agreement</w:t>
            </w:r>
          </w:p>
        </w:tc>
      </w:tr>
      <w:tr>
        <w:trPr/>
        <w:tc>
          <w:tcPr>
            <w:tcW w:w="1335" w:type="dxa"/>
            <w:tcBorders/>
            <w:vAlign w:val="bottom"/>
          </w:tcPr>
          <w:p>
            <w:pPr>
              <w:pStyle w:val="TableContents"/>
              <w:bidi w:val="0"/>
              <w:spacing w:before="0" w:after="283"/>
              <w:jc w:val="left"/>
              <w:rPr/>
            </w:pPr>
            <w:r>
              <w:rPr/>
              <w:t>EXHIBIT IV</w:t>
            </w:r>
          </w:p>
        </w:tc>
        <w:tc>
          <w:tcPr>
            <w:tcW w:w="320" w:type="dxa"/>
            <w:tcBorders/>
            <w:vAlign w:val="bottom"/>
          </w:tcPr>
          <w:p>
            <w:pPr>
              <w:pStyle w:val="TableContents"/>
              <w:bidi w:val="0"/>
              <w:spacing w:before="0" w:after="283"/>
              <w:jc w:val="left"/>
              <w:rPr/>
            </w:pPr>
            <w:r>
              <w:rPr/>
              <w:t>  </w:t>
            </w:r>
          </w:p>
        </w:tc>
        <w:tc>
          <w:tcPr>
            <w:tcW w:w="8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Trademark Security Agreement</w:t>
            </w:r>
          </w:p>
        </w:tc>
      </w:tr>
      <w:tr>
        <w:trPr/>
        <w:tc>
          <w:tcPr>
            <w:tcW w:w="1335" w:type="dxa"/>
            <w:tcBorders/>
            <w:vAlign w:val="bottom"/>
          </w:tcPr>
          <w:p>
            <w:pPr>
              <w:pStyle w:val="TableContents"/>
              <w:bidi w:val="0"/>
              <w:spacing w:before="0" w:after="283"/>
              <w:jc w:val="left"/>
              <w:rPr/>
            </w:pPr>
            <w:r>
              <w:rPr/>
              <w:t>EXHIBIT V</w:t>
            </w:r>
          </w:p>
        </w:tc>
        <w:tc>
          <w:tcPr>
            <w:tcW w:w="320" w:type="dxa"/>
            <w:tcBorders/>
            <w:vAlign w:val="bottom"/>
          </w:tcPr>
          <w:p>
            <w:pPr>
              <w:pStyle w:val="TableContents"/>
              <w:bidi w:val="0"/>
              <w:spacing w:before="0" w:after="283"/>
              <w:jc w:val="left"/>
              <w:rPr/>
            </w:pPr>
            <w:r>
              <w:rPr/>
              <w:t>  </w:t>
            </w:r>
          </w:p>
        </w:tc>
        <w:tc>
          <w:tcPr>
            <w:tcW w:w="8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Copyright Security Agreement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PLEDGE AND SECURITY AGREEMENT dated as of September 28, 2026, among SABRE HOLDINGS CORPORATION, a Delaware corporation (“</w:t>
      </w:r>
      <w:r>
        <w:rPr>
          <w:rFonts w:ascii="Times New Roman" w:hAnsi="Times New Roman"/>
          <w:b/>
          <w:sz w:val="20"/>
        </w:rPr>
        <w:t>Holdings</w:t>
      </w:r>
      <w:r>
        <w:rPr>
          <w:rFonts w:ascii="Times New Roman" w:hAnsi="Times New Roman"/>
          <w:sz w:val="20"/>
        </w:rPr>
        <w:t>”), SABRE GLBL INC., a Delaware corporation (the “</w:t>
      </w:r>
      <w:r>
        <w:rPr>
          <w:rFonts w:ascii="Times New Roman" w:hAnsi="Times New Roman"/>
          <w:b/>
          <w:sz w:val="20"/>
        </w:rPr>
        <w:t>Borrower</w:t>
      </w:r>
      <w:r>
        <w:rPr>
          <w:rFonts w:ascii="Times New Roman" w:hAnsi="Times New Roman"/>
          <w:sz w:val="20"/>
        </w:rPr>
        <w:t xml:space="preserve">”), certain Subsidiaries of the Borrower from time to time party hereto and WILMINGTON TRUST, NATIONAL ASSOCIATION, as administrative agent and collateral agent for the Secured Parties (as defined below). </w:t>
      </w:r>
    </w:p>
    <w:p>
      <w:pPr>
        <w:pStyle w:val="TextBody"/>
        <w:bidi w:val="0"/>
        <w:spacing w:before="240" w:after="0"/>
        <w:jc w:val="left"/>
        <w:rPr>
          <w:rFonts w:ascii="Times New Roman" w:hAnsi="Times New Roman"/>
          <w:sz w:val="20"/>
        </w:rPr>
      </w:pPr>
      <w:r>
        <w:rPr>
          <w:rFonts w:ascii="Times New Roman" w:hAnsi="Times New Roman"/>
          <w:sz w:val="20"/>
        </w:rPr>
        <w:t>Reference is made to the First Lien Pari Passu Credit Agreement dated as of September 28, 2026 (as amended, supplemented or otherwise modified from time to time, the “</w:t>
      </w:r>
      <w:r>
        <w:rPr>
          <w:rFonts w:ascii="Times New Roman" w:hAnsi="Times New Roman"/>
          <w:b/>
          <w:sz w:val="20"/>
        </w:rPr>
        <w:t>Credit Agreement</w:t>
      </w:r>
      <w:r>
        <w:rPr>
          <w:rFonts w:ascii="Times New Roman" w:hAnsi="Times New Roman"/>
          <w:sz w:val="20"/>
        </w:rPr>
        <w:t>”), among the Borrower, Holdings, the other Guarantors from time to time party thereto, WILMINGTON TRUST, NATIONAL ASSOCIATION, as Administrative Agent and the lender from time to time party thereto (the “</w:t>
      </w:r>
      <w:r>
        <w:rPr>
          <w:rFonts w:ascii="Times New Roman" w:hAnsi="Times New Roman"/>
          <w:b/>
          <w:sz w:val="20"/>
        </w:rPr>
        <w:t>Lender</w:t>
      </w:r>
      <w:r>
        <w:rPr>
          <w:rFonts w:ascii="Times New Roman" w:hAnsi="Times New Roman"/>
          <w:sz w:val="20"/>
        </w:rPr>
        <w:t xml:space="preserve">”) pursuant to which the Lender has agreed to extend credit to the Borrower subject to the terms and conditions set forth in the Credit Agreement. Each of Holdings and each Subsidiary party hereto is an affiliate of the Borrower and will derive substantial benefits from the extension of credit to the Borrower pursuant to the Credit Agreement. In order to secure the payment of all principal of and interest on the Term Loans, and the payment and performance of all other Obligations under the Credit Agreement and all of the Grantors’ obligations and liabilities hereunder and in connection herewith, each Grantor is willing to execute and deliver this Agreement in order to induce the Lender to extend such credit. Accordingly,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Capitalized terms used in this Agreement and not otherwise defined herein have the meanings specified in the Credit Agreement. All terms defined in the New York UCC (as defined herein) and not defined in this Agreement have the meanings specified therein; the term “</w:t>
      </w:r>
      <w:r>
        <w:rPr>
          <w:rFonts w:ascii="Times New Roman" w:hAnsi="Times New Roman"/>
          <w:b/>
          <w:sz w:val="20"/>
        </w:rPr>
        <w:t>instrument</w:t>
      </w:r>
      <w:r>
        <w:rPr>
          <w:rFonts w:ascii="Times New Roman" w:hAnsi="Times New Roman"/>
          <w:sz w:val="20"/>
        </w:rPr>
        <w:t xml:space="preserve">” shall have the meaning specified in Article 9 of the New York UCC. </w:t>
      </w:r>
    </w:p>
    <w:p>
      <w:pPr>
        <w:pStyle w:val="TextBody"/>
        <w:bidi w:val="0"/>
        <w:spacing w:before="240" w:after="0"/>
        <w:jc w:val="left"/>
        <w:rPr>
          <w:rFonts w:ascii="Times New Roman" w:hAnsi="Times New Roman"/>
          <w:sz w:val="20"/>
        </w:rPr>
      </w:pPr>
      <w:r>
        <w:rPr>
          <w:rFonts w:ascii="Times New Roman" w:hAnsi="Times New Roman"/>
          <w:sz w:val="20"/>
        </w:rPr>
        <w:t xml:space="preserve">(b) The rules of construction specified in Article 1 of the Credit Agreement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Defined Terms</w:t>
      </w:r>
      <w:r>
        <w:rPr>
          <w:rFonts w:ascii="Times New Roman" w:hAnsi="Times New Roman"/>
          <w:sz w:val="20"/>
        </w:rPr>
        <w:t xml:space="preserve">. As used in this Agreement, the following terms have the meanings specified below: </w:t>
      </w:r>
    </w:p>
    <w:p>
      <w:pPr>
        <w:pStyle w:val="TextBody"/>
        <w:bidi w:val="0"/>
        <w:spacing w:before="240" w:after="0"/>
        <w:jc w:val="left"/>
        <w:rPr/>
      </w:pPr>
      <w:r>
        <w:rPr/>
        <w:t>“</w:t>
      </w:r>
      <w:r>
        <w:rPr>
          <w:rFonts w:ascii="Times New Roman" w:hAnsi="Times New Roman"/>
          <w:b/>
          <w:sz w:val="20"/>
        </w:rPr>
        <w:t>Account Debtor</w:t>
      </w:r>
      <w:r>
        <w:rPr>
          <w:rFonts w:ascii="Times New Roman" w:hAnsi="Times New Roman"/>
          <w:sz w:val="20"/>
        </w:rPr>
        <w:t xml:space="preserve">” means any Person who is or who may become obligated to any Grantor under, with respect to or on account of an Account. </w:t>
      </w:r>
    </w:p>
    <w:p>
      <w:pPr>
        <w:pStyle w:val="TextBody"/>
        <w:bidi w:val="0"/>
        <w:spacing w:before="240" w:after="0"/>
        <w:jc w:val="left"/>
        <w:rPr/>
      </w:pPr>
      <w:r>
        <w:rPr/>
        <w:t>“</w:t>
      </w:r>
      <w:r>
        <w:rPr>
          <w:rFonts w:ascii="Times New Roman" w:hAnsi="Times New Roman"/>
          <w:b/>
          <w:sz w:val="20"/>
        </w:rPr>
        <w:t>Accounts</w:t>
      </w:r>
      <w:r>
        <w:rPr>
          <w:rFonts w:ascii="Times New Roman" w:hAnsi="Times New Roman"/>
          <w:sz w:val="20"/>
        </w:rPr>
        <w:t xml:space="preserve">” has the meaning specified in Article 9 of the New York UCC. </w:t>
      </w:r>
    </w:p>
    <w:p>
      <w:pPr>
        <w:pStyle w:val="TextBody"/>
        <w:bidi w:val="0"/>
        <w:spacing w:before="240" w:after="0"/>
        <w:jc w:val="left"/>
        <w:rPr/>
      </w:pPr>
      <w:r>
        <w:rPr/>
        <w:t>“</w:t>
      </w:r>
      <w:r>
        <w:rPr>
          <w:rFonts w:ascii="Times New Roman" w:hAnsi="Times New Roman"/>
          <w:b/>
          <w:sz w:val="20"/>
        </w:rPr>
        <w:t>Administrative</w:t>
      </w:r>
      <w:r>
        <w:rPr>
          <w:rFonts w:ascii="Times New Roman" w:hAnsi="Times New Roman"/>
          <w:sz w:val="20"/>
        </w:rPr>
        <w:t xml:space="preserve"> </w:t>
      </w:r>
      <w:r>
        <w:rPr>
          <w:rFonts w:ascii="Times New Roman" w:hAnsi="Times New Roman"/>
          <w:b/>
          <w:sz w:val="20"/>
        </w:rPr>
        <w:t>Agent</w:t>
      </w:r>
      <w:r>
        <w:rPr>
          <w:rFonts w:ascii="Times New Roman" w:hAnsi="Times New Roman"/>
          <w:sz w:val="20"/>
        </w:rPr>
        <w:t xml:space="preserve">” means WILMINGTON TRUST, NATIONAL ASSOCIATION, as Administrative Agent under the Credit Agreement, or any successor Administrative Agent thereof.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Pledge and Security Agreement. </w:t>
      </w:r>
    </w:p>
    <w:p>
      <w:pPr>
        <w:pStyle w:val="TextBody"/>
        <w:bidi w:val="0"/>
        <w:spacing w:before="240" w:after="0"/>
        <w:jc w:val="left"/>
        <w:rPr/>
      </w:pPr>
      <w:r>
        <w:rPr/>
        <w:t>“</w:t>
      </w:r>
      <w:r>
        <w:rPr>
          <w:rFonts w:ascii="Times New Roman" w:hAnsi="Times New Roman"/>
          <w:b/>
          <w:sz w:val="20"/>
        </w:rPr>
        <w:t>Article 9 Collateral</w:t>
      </w:r>
      <w:r>
        <w:rPr>
          <w:rFonts w:ascii="Times New Roman" w:hAnsi="Times New Roman"/>
          <w:sz w:val="20"/>
        </w:rPr>
        <w:t xml:space="preserve">” has the meaning assigned to such term in Section 3.01(a). </w:t>
      </w:r>
    </w:p>
    <w:p>
      <w:pPr>
        <w:pStyle w:val="TextBody"/>
        <w:bidi w:val="0"/>
        <w:spacing w:before="240" w:after="0"/>
        <w:jc w:val="left"/>
        <w:rPr/>
      </w:pPr>
      <w:r>
        <w:rPr/>
        <w:t>“</w:t>
      </w:r>
      <w:r>
        <w:rPr>
          <w:rFonts w:ascii="Times New Roman" w:hAnsi="Times New Roman"/>
          <w:b/>
          <w:sz w:val="20"/>
        </w:rPr>
        <w:t>Claiming Party”</w:t>
      </w:r>
      <w:r>
        <w:rPr>
          <w:rFonts w:ascii="Times New Roman" w:hAnsi="Times New Roman"/>
          <w:sz w:val="20"/>
        </w:rPr>
        <w:t xml:space="preserve"> has the meaning assigned to such term in Section 5.02.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Collateral</w:t>
      </w:r>
      <w:r>
        <w:rPr>
          <w:rFonts w:ascii="Times New Roman" w:hAnsi="Times New Roman"/>
          <w:sz w:val="20"/>
        </w:rPr>
        <w:t xml:space="preserve">” means the Article 9 Collateral and the Pledged Collateral. </w:t>
      </w:r>
    </w:p>
    <w:p>
      <w:pPr>
        <w:pStyle w:val="TextBody"/>
        <w:bidi w:val="0"/>
        <w:spacing w:before="240" w:after="0"/>
        <w:jc w:val="left"/>
        <w:rPr/>
      </w:pPr>
      <w:r>
        <w:rPr/>
        <w:t>“</w:t>
      </w:r>
      <w:r>
        <w:rPr>
          <w:rFonts w:ascii="Times New Roman" w:hAnsi="Times New Roman"/>
          <w:b/>
          <w:sz w:val="20"/>
        </w:rPr>
        <w:t>Commercial Tort Claim</w:t>
      </w:r>
      <w:r>
        <w:rPr>
          <w:rFonts w:ascii="Times New Roman" w:hAnsi="Times New Roman"/>
          <w:sz w:val="20"/>
        </w:rPr>
        <w:t xml:space="preserve">” has the meaning specified in Article 9 of the New York UCC. </w:t>
      </w:r>
    </w:p>
    <w:p>
      <w:pPr>
        <w:pStyle w:val="TextBody"/>
        <w:bidi w:val="0"/>
        <w:spacing w:before="240" w:after="0"/>
        <w:jc w:val="left"/>
        <w:rPr/>
      </w:pPr>
      <w:r>
        <w:rPr/>
        <w:t>“</w:t>
      </w:r>
      <w:r>
        <w:rPr>
          <w:rFonts w:ascii="Times New Roman" w:hAnsi="Times New Roman"/>
          <w:b/>
          <w:sz w:val="20"/>
        </w:rPr>
        <w:t>Contributing Party</w:t>
      </w:r>
      <w:r>
        <w:rPr>
          <w:rFonts w:ascii="Times New Roman" w:hAnsi="Times New Roman"/>
          <w:sz w:val="20"/>
        </w:rPr>
        <w:t xml:space="preserve">” has the meaning assigned to such term in Section 5.02. </w:t>
      </w:r>
    </w:p>
    <w:p>
      <w:pPr>
        <w:pStyle w:val="TextBody"/>
        <w:bidi w:val="0"/>
        <w:spacing w:before="240" w:after="0"/>
        <w:jc w:val="left"/>
        <w:rPr/>
      </w:pPr>
      <w:r>
        <w:rPr/>
        <w:t>“</w:t>
      </w:r>
      <w:r>
        <w:rPr>
          <w:rFonts w:ascii="Times New Roman" w:hAnsi="Times New Roman"/>
          <w:b/>
          <w:sz w:val="20"/>
        </w:rPr>
        <w:t>Copyright License</w:t>
      </w:r>
      <w:r>
        <w:rPr>
          <w:rFonts w:ascii="Times New Roman" w:hAnsi="Times New Roman"/>
          <w:sz w:val="20"/>
        </w:rPr>
        <w:t xml:space="preserve">” means any written agreement, now or hereafter in effect, granting any right to any third party under any copyright now or hereafter owned by any Grantor or that such Grantor otherwise has the right to license, or granting any right to any Grantor under any copyright now or hereafter owned by any third party, and all rights of such Grantor under any such agreement.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means all of the following now owned or hereafter acquired by any Grantor: (a) all copyright rights in any work subject to the copyright laws of the United States or any other country, whether as author, assignee, transferee or otherwise, and (b) all registrations of any such copyright in the United States or any other country, including registrations, recordings and supplemental registrations in the USCO or any foreign equivalent office. </w:t>
      </w:r>
    </w:p>
    <w:p>
      <w:pPr>
        <w:pStyle w:val="TextBody"/>
        <w:bidi w:val="0"/>
        <w:spacing w:before="240" w:after="0"/>
        <w:jc w:val="left"/>
        <w:rPr/>
      </w:pPr>
      <w:r>
        <w:rPr/>
        <w:t>“</w:t>
      </w:r>
      <w:r>
        <w:rPr>
          <w:rFonts w:ascii="Times New Roman" w:hAnsi="Times New Roman"/>
          <w:b/>
          <w:sz w:val="20"/>
        </w:rPr>
        <w:t>Credit Agreement</w:t>
      </w:r>
      <w:r>
        <w:rPr>
          <w:rFonts w:ascii="Times New Roman" w:hAnsi="Times New Roman"/>
          <w:sz w:val="20"/>
        </w:rPr>
        <w:t xml:space="preserve">” has the meaning assigned to such term in the preliminary statement of this Agreement. </w:t>
      </w:r>
    </w:p>
    <w:p>
      <w:pPr>
        <w:pStyle w:val="TextBody"/>
        <w:bidi w:val="0"/>
        <w:spacing w:before="240" w:after="0"/>
        <w:jc w:val="left"/>
        <w:rPr/>
      </w:pPr>
      <w:r>
        <w:rPr/>
        <w:t>“</w:t>
      </w:r>
      <w:r>
        <w:rPr>
          <w:rFonts w:ascii="Times New Roman" w:hAnsi="Times New Roman"/>
          <w:b/>
          <w:sz w:val="20"/>
        </w:rPr>
        <w:t>Domestic Subsidiary</w:t>
      </w:r>
      <w:r>
        <w:rPr>
          <w:rFonts w:ascii="Times New Roman" w:hAnsi="Times New Roman"/>
          <w:sz w:val="20"/>
        </w:rPr>
        <w:t xml:space="preserve">” means a Subsidiary of Holdings which owns a Principal Domestic Property and transacts substantially all of its business or maintains substantially all of its property within the United States, excluding its territories, possessions and Puerto Rico, but in any case excluding any Subsidiary which is engaged primarily in financing operations outside of the United States or in leasing personal property or financing inventory receivables or other property. </w:t>
      </w:r>
    </w:p>
    <w:p>
      <w:pPr>
        <w:pStyle w:val="TextBody"/>
        <w:bidi w:val="0"/>
        <w:spacing w:before="240" w:after="0"/>
        <w:jc w:val="left"/>
        <w:rPr/>
      </w:pPr>
      <w:r>
        <w:rPr/>
        <w:t>“</w:t>
      </w:r>
      <w:r>
        <w:rPr>
          <w:rFonts w:ascii="Times New Roman" w:hAnsi="Times New Roman"/>
          <w:b/>
          <w:sz w:val="20"/>
        </w:rPr>
        <w:t>Excluded Assets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Principal Domestic Property; </w:t>
      </w:r>
    </w:p>
    <w:p>
      <w:pPr>
        <w:pStyle w:val="TextBody"/>
        <w:bidi w:val="0"/>
        <w:spacing w:before="240" w:after="0"/>
        <w:jc w:val="left"/>
        <w:rPr>
          <w:rFonts w:ascii="Times New Roman" w:hAnsi="Times New Roman"/>
          <w:sz w:val="20"/>
        </w:rPr>
      </w:pPr>
      <w:r>
        <w:rPr>
          <w:rFonts w:ascii="Times New Roman" w:hAnsi="Times New Roman"/>
          <w:sz w:val="20"/>
        </w:rPr>
        <w:t xml:space="preserve">(b) any letter-of-credit rights; </w:t>
      </w:r>
    </w:p>
    <w:p>
      <w:pPr>
        <w:pStyle w:val="TextBody"/>
        <w:bidi w:val="0"/>
        <w:spacing w:before="240" w:after="0"/>
        <w:jc w:val="left"/>
        <w:rPr>
          <w:rFonts w:ascii="Times New Roman" w:hAnsi="Times New Roman"/>
          <w:sz w:val="20"/>
        </w:rPr>
      </w:pPr>
      <w:r>
        <w:rPr>
          <w:rFonts w:ascii="Times New Roman" w:hAnsi="Times New Roman"/>
          <w:sz w:val="20"/>
        </w:rPr>
        <w:t xml:space="preserve">(c) any Securitization Assets; </w:t>
      </w:r>
    </w:p>
    <w:p>
      <w:pPr>
        <w:pStyle w:val="TextBody"/>
        <w:bidi w:val="0"/>
        <w:spacing w:before="240" w:after="0"/>
        <w:jc w:val="left"/>
        <w:rPr>
          <w:rFonts w:ascii="Times New Roman" w:hAnsi="Times New Roman"/>
          <w:sz w:val="20"/>
        </w:rPr>
      </w:pPr>
      <w:r>
        <w:rPr>
          <w:rFonts w:ascii="Times New Roman" w:hAnsi="Times New Roman"/>
          <w:sz w:val="20"/>
        </w:rPr>
        <w:t xml:space="preserve">(d) any L/C Assets; </w:t>
      </w:r>
    </w:p>
    <w:p>
      <w:pPr>
        <w:pStyle w:val="TextBody"/>
        <w:bidi w:val="0"/>
        <w:spacing w:before="240" w:after="0"/>
        <w:jc w:val="left"/>
        <w:rPr>
          <w:rFonts w:ascii="Times New Roman" w:hAnsi="Times New Roman"/>
          <w:sz w:val="20"/>
        </w:rPr>
      </w:pPr>
      <w:r>
        <w:rPr>
          <w:rFonts w:ascii="Times New Roman" w:hAnsi="Times New Roman"/>
          <w:sz w:val="20"/>
        </w:rPr>
        <w:t xml:space="preserve">(e) any motor vehicles and other assets subject to certificates of title; </w:t>
      </w:r>
    </w:p>
    <w:p>
      <w:pPr>
        <w:pStyle w:val="TextBody"/>
        <w:bidi w:val="0"/>
        <w:spacing w:before="240" w:after="0"/>
        <w:jc w:val="left"/>
        <w:rPr>
          <w:rFonts w:ascii="Times New Roman" w:hAnsi="Times New Roman"/>
          <w:sz w:val="20"/>
        </w:rPr>
      </w:pPr>
      <w:r>
        <w:rPr>
          <w:rFonts w:ascii="Times New Roman" w:hAnsi="Times New Roman"/>
          <w:sz w:val="20"/>
        </w:rPr>
        <w:t xml:space="preserve">(f) any real property that is not a Material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 any leasehold interests; </w:t>
      </w:r>
    </w:p>
    <w:p>
      <w:pPr>
        <w:pStyle w:val="TextBody"/>
        <w:bidi w:val="0"/>
        <w:spacing w:before="240" w:after="0"/>
        <w:jc w:val="left"/>
        <w:rPr>
          <w:rFonts w:ascii="Times New Roman" w:hAnsi="Times New Roman"/>
          <w:sz w:val="20"/>
        </w:rPr>
      </w:pPr>
      <w:r>
        <w:rPr>
          <w:rFonts w:ascii="Times New Roman" w:hAnsi="Times New Roman"/>
          <w:sz w:val="20"/>
        </w:rPr>
        <w:t xml:space="preserve">(h) any assets or properties that are acquired pursuant to a Permitted Acquisition (or that are owned by a Subsidiary acquired pursuant to a Permitted Acquisition), so long as such assets or properties are subject to a Lien permitted by Section 4.12 of the Credit Agreement, which secured Indebtedness is incurred or assumed in connection with such Permitted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Intellectual Property whose pledge would result in the forfeiture of the Grantors’ rights in such property including, without limitation, any Trademark applications filed in the USPTO on the basis of such Grantor’s “intent-to-use” such Trademark, unless and until acceptable evidence of use of such Trademark has been filed with the USPTO pursuant to Section 1(c) or Section 1(d) of the Lanham Act (15 U.S.C. 1051, et seq.), to the extent that granting a lien in such Trademark application prior to such filing would adversely affect the enforceability or validity of such Trademark application; </w:t>
      </w:r>
    </w:p>
    <w:p>
      <w:pPr>
        <w:pStyle w:val="TextBody"/>
        <w:bidi w:val="0"/>
        <w:spacing w:before="240" w:after="0"/>
        <w:jc w:val="left"/>
        <w:rPr>
          <w:rFonts w:ascii="Times New Roman" w:hAnsi="Times New Roman"/>
          <w:sz w:val="20"/>
        </w:rPr>
      </w:pPr>
      <w:r>
        <w:rPr>
          <w:rFonts w:ascii="Times New Roman" w:hAnsi="Times New Roman"/>
          <w:sz w:val="20"/>
        </w:rPr>
        <w:t xml:space="preserve">(j) any General Intangible, Investment Property or other rights of a Grantor arising under any contract, lease, instrument, license or other document or any assets subject thereto if but only to the extent that and so long as the grant of a security interest therein would (x) constitute a violation or abandonment of, or render unenforceable, a valid and enforceable restriction in respect of such General Intangible, Investment Property or other such rights in favor of a third party or under any law, regulation, permit, order or decree of any Governmental Authority (for the avoidance of doubt, the restrictions described herein shall not include negative pledges or similar undertakings in favor of a lender or other financial counterparty), or (y) expressly give any other party in respect of any such contract, lease, instrument, license or other document, the right to terminate its obligations thereunder, provided, however, that the limitation set forth in this clause (i) shall not affect, limit, restrict or impair the grant by a Grantor of a security interest pursuant to this Agreement in any such Collateral to the extent that an otherwise applicable prohibition or restriction on such grant is rendered ineffective pursuant to Section 9-406, 9-407, 9-408 or 9-409 of the Uniform Commercial Code of any relevant jurisdiction or any other applicable law or principles of equity and provided, further, that, at such time as the condition causing the conditions in subclauses (x) and (y) of this clause (i) shall be remedied, whether by contract, change of law or otherwise, the contract, lease, instrument, license or other documents shall immediately cease to be an Excluded Asset, and any security interest that would otherwise be granted herein shall attach immediately to such contract, lease, instrument, license or other document, or to the extent severable, to any portion thereof that does not result in any of the conditions in (x) or (y) above; </w:t>
      </w:r>
    </w:p>
    <w:p>
      <w:pPr>
        <w:pStyle w:val="TextBody"/>
        <w:bidi w:val="0"/>
        <w:spacing w:before="240" w:after="0"/>
        <w:jc w:val="left"/>
        <w:rPr>
          <w:rFonts w:ascii="Times New Roman" w:hAnsi="Times New Roman"/>
          <w:sz w:val="20"/>
        </w:rPr>
      </w:pPr>
      <w:r>
        <w:rPr>
          <w:rFonts w:ascii="Times New Roman" w:hAnsi="Times New Roman"/>
          <w:sz w:val="20"/>
        </w:rPr>
        <w:t xml:space="preserve">(k) any assets the pledge of which is prohibited by law or by agreements containing anti-assignment clauses not overridden by the Uniform Commercial Code or other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(l) any asset with respect to which the Administrative Agent (acting at the direction of the Lender) and the Borrower have reasonably determined in writing that the costs of providing a security interest in such asset or perfection thereof is excessive in view of the benefits to be obtained by the Lender. </w:t>
      </w:r>
    </w:p>
    <w:p>
      <w:pPr>
        <w:pStyle w:val="TextBody"/>
        <w:bidi w:val="0"/>
        <w:spacing w:before="240" w:after="0"/>
        <w:jc w:val="left"/>
        <w:rPr/>
      </w:pPr>
      <w:r>
        <w:rPr/>
        <w:t>“</w:t>
      </w:r>
      <w:r>
        <w:rPr>
          <w:rFonts w:ascii="Times New Roman" w:hAnsi="Times New Roman"/>
          <w:b/>
          <w:sz w:val="20"/>
        </w:rPr>
        <w:t>Excluded Security</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shares of stock or debt of any Domestic Subsidiary (but only to the extent that and for so long as any such stock or debt is not pledged to secure any other Permitted First Lien Debt); </w:t>
      </w:r>
    </w:p>
    <w:p>
      <w:pPr>
        <w:pStyle w:val="TextBody"/>
        <w:bidi w:val="0"/>
        <w:spacing w:before="240" w:after="0"/>
        <w:jc w:val="left"/>
        <w:rPr>
          <w:rFonts w:ascii="Times New Roman" w:hAnsi="Times New Roman"/>
          <w:sz w:val="20"/>
        </w:rPr>
      </w:pPr>
      <w:r>
        <w:rPr>
          <w:rFonts w:ascii="Times New Roman" w:hAnsi="Times New Roman"/>
          <w:sz w:val="20"/>
        </w:rPr>
        <w:t xml:space="preserve">(b) more than 65% of the issued and outstanding voting Equity Interests of any Material Foreign Subsidiary that is a direct Subsidiary of a Loan Party; </w:t>
      </w:r>
    </w:p>
    <w:p>
      <w:pPr>
        <w:pStyle w:val="TextBody"/>
        <w:bidi w:val="0"/>
        <w:spacing w:before="240" w:after="0"/>
        <w:jc w:val="left"/>
        <w:rPr>
          <w:rFonts w:ascii="Times New Roman" w:hAnsi="Times New Roman"/>
          <w:sz w:val="20"/>
        </w:rPr>
      </w:pPr>
      <w:r>
        <w:rPr>
          <w:rFonts w:ascii="Times New Roman" w:hAnsi="Times New Roman"/>
          <w:sz w:val="20"/>
        </w:rPr>
        <w:t xml:space="preserve">(c) any Equity Interests of any Foreign Subsidiary that is not a Material Foreign Subsidiary; </w:t>
      </w:r>
    </w:p>
    <w:p>
      <w:pPr>
        <w:pStyle w:val="TextBody"/>
        <w:bidi w:val="0"/>
        <w:spacing w:before="240" w:after="0"/>
        <w:jc w:val="left"/>
        <w:rPr>
          <w:rFonts w:ascii="Times New Roman" w:hAnsi="Times New Roman"/>
          <w:sz w:val="20"/>
        </w:rPr>
      </w:pPr>
      <w:r>
        <w:rPr>
          <w:rFonts w:ascii="Times New Roman" w:hAnsi="Times New Roman"/>
          <w:sz w:val="20"/>
        </w:rPr>
        <w:t xml:space="preserve">(d) any Equity Interests of any Unrestricted Subsidiary (until such time as any Unrestricted Subsidiary becomes a Restricted Subsidiary in accordance with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Equity Interests of any Subsidiary that are not directly held by a Loan Party; </w:t>
      </w:r>
    </w:p>
    <w:p>
      <w:pPr>
        <w:pStyle w:val="TextBody"/>
        <w:bidi w:val="0"/>
        <w:spacing w:before="240" w:after="0"/>
        <w:jc w:val="left"/>
        <w:rPr>
          <w:rFonts w:ascii="Times New Roman" w:hAnsi="Times New Roman"/>
          <w:sz w:val="20"/>
        </w:rPr>
      </w:pPr>
      <w:r>
        <w:rPr>
          <w:rFonts w:ascii="Times New Roman" w:hAnsi="Times New Roman"/>
          <w:sz w:val="20"/>
        </w:rPr>
        <w:t xml:space="preserve">(f) any Equity Interests of any Subsidiary acquired pursuant to a Permitted Acquisition that are subject to a Lien permitted by Section 7.01(v) the Credit Agreement, which secured Indebtedness is incurred or assumed in connection with such Permitted Acquisition; </w:t>
      </w:r>
    </w:p>
    <w:p>
      <w:pPr>
        <w:pStyle w:val="TextBody"/>
        <w:bidi w:val="0"/>
        <w:spacing w:before="240" w:after="0"/>
        <w:jc w:val="left"/>
        <w:rPr>
          <w:rFonts w:ascii="Times New Roman" w:hAnsi="Times New Roman"/>
          <w:sz w:val="20"/>
        </w:rPr>
      </w:pPr>
      <w:r>
        <w:rPr>
          <w:rFonts w:ascii="Times New Roman" w:hAnsi="Times New Roman"/>
          <w:sz w:val="20"/>
        </w:rPr>
        <w:t xml:space="preserve">(g) any shares of stock or debt whose pledge is prohibited by law or by agreements containing anti-assignment clauses not overridden by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(h) any Equity Interests of any Subsidiary with respect to which the Administrative Agent (acting at the direction of the Lender) and the Borrower have reasonably determined in writing that the costs of providing a pledge of such Equity Interests or perfection thereof is excessive in view of the benefits to be obtained by the Lender.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xml:space="preserve">” means (a) any Subsidiary that is not a Wholly Owned Subsidiary, (b) any Securitization Subsidiary, (c) [reserved], (d) any Subsidiary that is prohibited by contractual requirements existing on the date of the acquisition of such Subsidiary (other than contractual requirement entered into by such Subsidiary in contemplation of such acquisition) or applicable Law from guaranteeing the Obligations, (e) any Domestic Subsidiary that is a Subsidiary of a Foreign Subsidiary, (f) [reserved], (g) any other Subsidiary with respect to which, (x) in the reasonable judgment of the Administrative Agent (acting at the direction of the Lender, and following such direction, confirmed in writing by notice to the Borrower), the burden or cost or other consequences (including any adverse tax consequences) of providing a Guarantee shall be outweigh the benefits to be obtained by the Lender therefrom or (y) providing such a Guarantee would result in material adverse tax consequences as reasonably determined by the Borrower and (h) each Unrestricted Subsidiary, (i) not-for-profit subsidiaries, (j) any Captive Insurance Subsidiary, (k) each Immaterial Subsidiary; </w:t>
      </w:r>
      <w:r>
        <w:rPr>
          <w:rFonts w:ascii="Times New Roman" w:hAnsi="Times New Roman"/>
          <w:i/>
          <w:sz w:val="20"/>
        </w:rPr>
        <w:t>provided</w:t>
      </w:r>
      <w:r>
        <w:rPr>
          <w:rFonts w:ascii="Times New Roman" w:hAnsi="Times New Roman"/>
          <w:sz w:val="20"/>
        </w:rPr>
        <w:t xml:space="preserve"> that the Borrower may at any time and in its sole discretion, upon notice to the Administrative Agent, deem that any Restricted Subsidiary shall not be an Excluded Subsidiary for purposes of this Agreement and the other Loan Documents. </w:t>
      </w:r>
    </w:p>
    <w:p>
      <w:pPr>
        <w:pStyle w:val="TextBody"/>
        <w:bidi w:val="0"/>
        <w:spacing w:before="240" w:after="0"/>
        <w:jc w:val="left"/>
        <w:rPr/>
      </w:pPr>
      <w:r>
        <w:rPr/>
        <w:t>“</w:t>
      </w:r>
      <w:r>
        <w:rPr>
          <w:rFonts w:ascii="Times New Roman" w:hAnsi="Times New Roman"/>
          <w:b/>
          <w:sz w:val="20"/>
        </w:rPr>
        <w:t>General Intangibles</w:t>
      </w:r>
      <w:r>
        <w:rPr>
          <w:rFonts w:ascii="Times New Roman" w:hAnsi="Times New Roman"/>
          <w:sz w:val="20"/>
        </w:rPr>
        <w:t xml:space="preserve">” has the meaning specified in Article 9 of the New York UCC and includes for the avoidance of doubt corporate or other business records, indemnification claims, contract rights (including rights under leases, whether entered into as lessor or lessee, Swap Contracts and other agreements), goodwill, Intellectual Property, registrations, franchises, tax refund claims and any letter of credit, guarantee, claim, security interest or other security held by or granted to any Grantor, as the case may be, to secure payment by an Account Debtor of any of the Accounts. </w:t>
      </w:r>
    </w:p>
    <w:p>
      <w:pPr>
        <w:pStyle w:val="TextBody"/>
        <w:bidi w:val="0"/>
        <w:spacing w:before="240" w:after="0"/>
        <w:jc w:val="left"/>
        <w:rPr/>
      </w:pPr>
      <w:r>
        <w:rPr/>
        <w:t>“</w:t>
      </w:r>
      <w:r>
        <w:rPr>
          <w:rFonts w:ascii="Times New Roman" w:hAnsi="Times New Roman"/>
          <w:b/>
          <w:sz w:val="20"/>
        </w:rPr>
        <w:t>Grantor</w:t>
      </w:r>
      <w:r>
        <w:rPr>
          <w:rFonts w:ascii="Times New Roman" w:hAnsi="Times New Roman"/>
          <w:sz w:val="20"/>
        </w:rPr>
        <w:t xml:space="preserve">” means each of Holdings, the Borrower, and each Guarantor.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means all intellectual and similar property of every kind and nature now owned or hereafter acquired by any Grantor, including inventions, designs, Patents, Copyrights, Licenses, Trademarks, trade secrets, confidential or proprietary technical and business information, know-how, show-how or other data or information, the intellectual property rights in software and databases and related documentation, domain names and all additions, improvements and accessions to, and books and records describing any of the foregoing, together with all causes of action arising prior to or after the date hereof for infringement of any of the foregoing, or unfair competition claims regarding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 Security Agreements</w:t>
      </w:r>
      <w:r>
        <w:rPr>
          <w:rFonts w:ascii="Times New Roman" w:hAnsi="Times New Roman"/>
          <w:sz w:val="20"/>
        </w:rPr>
        <w:t xml:space="preserve">” means the short-form Patent Security Agreement, short-form Trademark Security Agreement, and short-form Copyright Security Agreement, each substantially in the form attached hereto as Exhibits III, IV and V, respectively. </w:t>
      </w:r>
    </w:p>
    <w:p>
      <w:pPr>
        <w:pStyle w:val="TextBody"/>
        <w:bidi w:val="0"/>
        <w:spacing w:before="240" w:after="0"/>
        <w:jc w:val="left"/>
        <w:rPr/>
      </w:pPr>
      <w:r>
        <w:rPr/>
        <w:t>“</w:t>
      </w:r>
      <w:r>
        <w:rPr>
          <w:rFonts w:ascii="Times New Roman" w:hAnsi="Times New Roman"/>
          <w:b/>
          <w:sz w:val="20"/>
        </w:rPr>
        <w:t>Intercreditor Agreement</w:t>
      </w:r>
      <w:r>
        <w:rPr>
          <w:rFonts w:ascii="Times New Roman" w:hAnsi="Times New Roman"/>
          <w:sz w:val="20"/>
        </w:rPr>
        <w:t xml:space="preserve">” means the Existing Intercreditor Agreement. </w:t>
      </w:r>
    </w:p>
    <w:p>
      <w:pPr>
        <w:pStyle w:val="TextBody"/>
        <w:bidi w:val="0"/>
        <w:spacing w:before="240" w:after="0"/>
        <w:jc w:val="left"/>
        <w:rPr/>
      </w:pPr>
      <w:r>
        <w:rPr/>
        <w:t>“</w:t>
      </w:r>
      <w:r>
        <w:rPr>
          <w:rFonts w:ascii="Times New Roman" w:hAnsi="Times New Roman"/>
          <w:b/>
          <w:sz w:val="20"/>
        </w:rPr>
        <w:t>Investment Property</w:t>
      </w:r>
      <w:r>
        <w:rPr>
          <w:rFonts w:ascii="Times New Roman" w:hAnsi="Times New Roman"/>
          <w:sz w:val="20"/>
        </w:rPr>
        <w:t xml:space="preserve">” has the meaning specified in Article 9 of the New York UCC, but shall not include any Pledged Collateral. </w:t>
      </w:r>
    </w:p>
    <w:p>
      <w:pPr>
        <w:pStyle w:val="TextBody"/>
        <w:bidi w:val="0"/>
        <w:spacing w:before="240" w:after="0"/>
        <w:jc w:val="left"/>
        <w:rPr/>
      </w:pPr>
      <w:r>
        <w:rPr/>
        <w:t>“</w:t>
      </w:r>
      <w:r>
        <w:rPr>
          <w:rFonts w:ascii="Times New Roman" w:hAnsi="Times New Roman"/>
          <w:b/>
          <w:sz w:val="20"/>
        </w:rPr>
        <w:t>L/C Assets</w:t>
      </w:r>
      <w:r>
        <w:rPr>
          <w:rFonts w:ascii="Times New Roman" w:hAnsi="Times New Roman"/>
          <w:sz w:val="20"/>
        </w:rPr>
        <w:t xml:space="preserve">” means all deposit and securities accounts (including all funds held in or credited to such accounts, interest, dividends or other property distributed in respect of such accounts and any proceeds thereof) that may be opened from time to time with one or more banks or other financial institutions (including with a foreign branch of such banks or other financial institutions) securing letters of credit, demand guarantees, bankers’ acceptances or similar obligations and reimbursement obligations in respect thereof, other than those provided under the Credit Agreement. </w:t>
      </w:r>
    </w:p>
    <w:p>
      <w:pPr>
        <w:pStyle w:val="TextBody"/>
        <w:bidi w:val="0"/>
        <w:spacing w:before="240" w:after="0"/>
        <w:jc w:val="left"/>
        <w:rPr/>
      </w:pPr>
      <w:r>
        <w:rPr/>
        <w:t>“</w:t>
      </w:r>
      <w:r>
        <w:rPr>
          <w:rFonts w:ascii="Times New Roman" w:hAnsi="Times New Roman"/>
          <w:b/>
          <w:sz w:val="20"/>
        </w:rPr>
        <w:t>License</w:t>
      </w:r>
      <w:r>
        <w:rPr>
          <w:rFonts w:ascii="Times New Roman" w:hAnsi="Times New Roman"/>
          <w:sz w:val="20"/>
        </w:rPr>
        <w:t xml:space="preserve">” means any Patent License, Trademark License, Copyright License or other intellectual property license or sublicense agreement to which any Grantor is a party, together with any and all (i) renewals, extensions, supplements and continuations thereof, (ii) income, fees, royalties, damages, claims and payments now and hereafter due and/or payable thereunder and with respect thereto including damages and payments for past, present or future infringements or violations thereof, and (iii) rights to sue for past, present and future violations thereof. </w:t>
      </w:r>
    </w:p>
    <w:p>
      <w:pPr>
        <w:pStyle w:val="TextBody"/>
        <w:bidi w:val="0"/>
        <w:spacing w:before="240" w:after="0"/>
        <w:jc w:val="left"/>
        <w:rPr/>
      </w:pPr>
      <w:r>
        <w:rPr/>
        <w:t>“</w:t>
      </w:r>
      <w:r>
        <w:rPr>
          <w:rFonts w:ascii="Times New Roman" w:hAnsi="Times New Roman"/>
          <w:b/>
          <w:sz w:val="20"/>
        </w:rPr>
        <w:t>Loan Documents</w:t>
      </w:r>
      <w:r>
        <w:rPr>
          <w:rFonts w:ascii="Times New Roman" w:hAnsi="Times New Roman"/>
          <w:sz w:val="20"/>
        </w:rPr>
        <w:t xml:space="preserve">” means each Loan Document as defined under the Credit Agreement. </w:t>
      </w:r>
    </w:p>
    <w:p>
      <w:pPr>
        <w:pStyle w:val="TextBody"/>
        <w:bidi w:val="0"/>
        <w:spacing w:before="240" w:after="0"/>
        <w:jc w:val="left"/>
        <w:rPr/>
      </w:pPr>
      <w:r>
        <w:rPr/>
        <w:t>“</w:t>
      </w:r>
      <w:r>
        <w:rPr>
          <w:rFonts w:ascii="Times New Roman" w:hAnsi="Times New Roman"/>
          <w:b/>
          <w:sz w:val="20"/>
        </w:rPr>
        <w:t>Material Foreign Subsidiary</w:t>
      </w:r>
      <w:r>
        <w:rPr>
          <w:rFonts w:ascii="Times New Roman" w:hAnsi="Times New Roman"/>
          <w:sz w:val="20"/>
        </w:rPr>
        <w:t xml:space="preserve">” means, at any date of determination, each of the Borrower’s Foreign Subsidiaries (a) whose total assets at the last day of the most recent Test Period were equal to or greater than 2.5% of the Total Assets of Holdings, the Borrower and the Restricted Subsidiaries at such date or (b) whose gross revenues for such Test Period were equal to or greater than 2.5% of the consolidated gross revenues of Holdings, the Borrower and the Restricted Subsidiaries for such period, in each case determined in accordance with GAAP. </w:t>
      </w:r>
    </w:p>
    <w:p>
      <w:pPr>
        <w:pStyle w:val="TextBody"/>
        <w:bidi w:val="0"/>
        <w:spacing w:before="240" w:after="0"/>
        <w:jc w:val="left"/>
        <w:rPr/>
      </w:pPr>
      <w:r>
        <w:rPr/>
        <w:t>“</w:t>
      </w:r>
      <w:r>
        <w:rPr>
          <w:rFonts w:ascii="Times New Roman" w:hAnsi="Times New Roman"/>
          <w:b/>
          <w:sz w:val="20"/>
        </w:rPr>
        <w:t>Material Real Property</w:t>
      </w:r>
      <w:r>
        <w:rPr>
          <w:rFonts w:ascii="Times New Roman" w:hAnsi="Times New Roman"/>
          <w:sz w:val="20"/>
        </w:rPr>
        <w:t xml:space="preserve">” means any fee-owned parcel of real property (including fixtures) located in the United States owned by any Loan Party (x) that is not located in a “special flood hazard zone” and (y) with a Fair Market Value in excess of $20,000,000 (on the Closing Date or at time of acquisition or, in the case of an Unrestricted Subsidiary that is redesignated as a Restricted Subsidiary and becomes a Loan Party, at the time of designation). </w:t>
      </w:r>
    </w:p>
    <w:p>
      <w:pPr>
        <w:pStyle w:val="TextBody"/>
        <w:bidi w:val="0"/>
        <w:spacing w:before="240" w:after="0"/>
        <w:jc w:val="left"/>
        <w:rPr/>
      </w:pPr>
      <w:r>
        <w:rPr/>
        <w:t>“</w:t>
      </w:r>
      <w:r>
        <w:rPr>
          <w:rFonts w:ascii="Times New Roman" w:hAnsi="Times New Roman"/>
          <w:b/>
          <w:sz w:val="20"/>
        </w:rPr>
        <w:t>New York UCC</w:t>
      </w:r>
      <w:r>
        <w:rPr>
          <w:rFonts w:ascii="Times New Roman" w:hAnsi="Times New Roman"/>
          <w:sz w:val="20"/>
        </w:rPr>
        <w:t xml:space="preserve">” means the Uniform Commercial Code as from time to time in effect in the State of New York. </w:t>
      </w:r>
    </w:p>
    <w:p>
      <w:pPr>
        <w:pStyle w:val="TextBody"/>
        <w:bidi w:val="0"/>
        <w:spacing w:before="240" w:after="0"/>
        <w:jc w:val="left"/>
        <w:rPr/>
      </w:pPr>
      <w:r>
        <w:rPr/>
        <w:t>“</w:t>
      </w:r>
      <w:r>
        <w:rPr>
          <w:rFonts w:ascii="Times New Roman" w:hAnsi="Times New Roman"/>
          <w:b/>
          <w:sz w:val="20"/>
        </w:rPr>
        <w:t>Patent License</w:t>
      </w:r>
      <w:r>
        <w:rPr>
          <w:rFonts w:ascii="Times New Roman" w:hAnsi="Times New Roman"/>
          <w:sz w:val="20"/>
        </w:rPr>
        <w:t xml:space="preserve">” means any written agreement, now or hereafter in effect, granting to any third party any right to 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any Grantor under any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Patents</w:t>
      </w:r>
      <w:r>
        <w:rPr>
          <w:rFonts w:ascii="Times New Roman" w:hAnsi="Times New Roman"/>
          <w:sz w:val="20"/>
        </w:rPr>
        <w:t xml:space="preserve">” means all of the following now owned or hereafter acquired by any Grantor: (a) all letters Patent of the United States or the equivalent thereof in any other country in or to which any Grantor now or hereafter has any right, title or interest therein, all registrations and recordings thereof, and all applications for letters Patent of the United States or the equivalent thereof in any other country, including registrations, recordings and pending applications in the USPTO or any similar offices in any other country, and (b) all reissues, continuations, divisions, continuations-in-part, renewals, improvements or extensions thereof, and the inventions disclosed or claimed therein, including the right to make, use and/or sell the inventions disclosed or claimed therein. </w:t>
      </w:r>
    </w:p>
    <w:p>
      <w:pPr>
        <w:pStyle w:val="TextBody"/>
        <w:bidi w:val="0"/>
        <w:spacing w:before="240" w:after="0"/>
        <w:jc w:val="left"/>
        <w:rPr/>
      </w:pPr>
      <w:r>
        <w:rPr/>
        <w:t>“</w:t>
      </w:r>
      <w:r>
        <w:rPr>
          <w:rFonts w:ascii="Times New Roman" w:hAnsi="Times New Roman"/>
          <w:b/>
          <w:sz w:val="20"/>
        </w:rPr>
        <w:t>Perfection Certificate</w:t>
      </w:r>
      <w:r>
        <w:rPr>
          <w:rFonts w:ascii="Times New Roman" w:hAnsi="Times New Roman"/>
          <w:sz w:val="20"/>
        </w:rPr>
        <w:t xml:space="preserve">” means a certificate substantially in the form of Exhibit II, completed and supplemented with the schedules and attachments contemplated thereby, and as amended, updated, modified or supplemented from time to time, and duly executed as of the Closing Date, and as of any subsequent delivery date as required pursuant to the Loan Documents, by the chief financial officer or the chief legal officer of each of Holdings and the Borrower. </w:t>
      </w:r>
    </w:p>
    <w:p>
      <w:pPr>
        <w:pStyle w:val="TextBody"/>
        <w:bidi w:val="0"/>
        <w:spacing w:before="240" w:after="0"/>
        <w:jc w:val="left"/>
        <w:rPr/>
      </w:pPr>
      <w:r>
        <w:rPr/>
        <w:t>“</w:t>
      </w:r>
      <w:r>
        <w:rPr>
          <w:rFonts w:ascii="Times New Roman" w:hAnsi="Times New Roman"/>
          <w:b/>
          <w:sz w:val="20"/>
        </w:rPr>
        <w:t>Pledged Collateral</w:t>
      </w:r>
      <w:r>
        <w:rPr>
          <w:rFonts w:ascii="Times New Roman" w:hAnsi="Times New Roman"/>
          <w:sz w:val="20"/>
        </w:rPr>
        <w:t xml:space="preserve">” has the meaning assigned to such term in Section 2.01. </w:t>
      </w:r>
    </w:p>
    <w:p>
      <w:pPr>
        <w:pStyle w:val="TextBody"/>
        <w:bidi w:val="0"/>
        <w:spacing w:before="240" w:after="0"/>
        <w:jc w:val="left"/>
        <w:rPr/>
      </w:pPr>
      <w:r>
        <w:rPr/>
        <w:t>“</w:t>
      </w:r>
      <w:r>
        <w:rPr>
          <w:rFonts w:ascii="Times New Roman" w:hAnsi="Times New Roman"/>
          <w:b/>
          <w:sz w:val="20"/>
        </w:rPr>
        <w:t>Pledged Debt</w:t>
      </w:r>
      <w:r>
        <w:rPr>
          <w:rFonts w:ascii="Times New Roman" w:hAnsi="Times New Roman"/>
          <w:sz w:val="20"/>
        </w:rPr>
        <w:t xml:space="preserve">” has the meaning assigned to such term in Section 2.01. </w:t>
      </w:r>
    </w:p>
    <w:p>
      <w:pPr>
        <w:pStyle w:val="TextBody"/>
        <w:bidi w:val="0"/>
        <w:spacing w:before="240" w:after="0"/>
        <w:jc w:val="left"/>
        <w:rPr/>
      </w:pPr>
      <w:r>
        <w:rPr/>
        <w:t>“</w:t>
      </w:r>
      <w:r>
        <w:rPr>
          <w:rFonts w:ascii="Times New Roman" w:hAnsi="Times New Roman"/>
          <w:b/>
          <w:sz w:val="20"/>
        </w:rPr>
        <w:t>Pledged Equity</w:t>
      </w:r>
      <w:r>
        <w:rPr>
          <w:rFonts w:ascii="Times New Roman" w:hAnsi="Times New Roman"/>
          <w:sz w:val="20"/>
        </w:rPr>
        <w:t xml:space="preserve">” has the meaning assigned to such term in Section 2.01. </w:t>
      </w:r>
    </w:p>
    <w:p>
      <w:pPr>
        <w:pStyle w:val="TextBody"/>
        <w:bidi w:val="0"/>
        <w:spacing w:before="240" w:after="0"/>
        <w:jc w:val="left"/>
        <w:rPr/>
      </w:pPr>
      <w:r>
        <w:rPr/>
        <w:t>“</w:t>
      </w:r>
      <w:r>
        <w:rPr>
          <w:rFonts w:ascii="Times New Roman" w:hAnsi="Times New Roman"/>
          <w:b/>
          <w:sz w:val="20"/>
        </w:rPr>
        <w:t>Pledged Securities</w:t>
      </w:r>
      <w:r>
        <w:rPr>
          <w:rFonts w:ascii="Times New Roman" w:hAnsi="Times New Roman"/>
          <w:sz w:val="20"/>
        </w:rPr>
        <w:t xml:space="preserve">” means any promissory notes, stock certificates or other securities now or hereafter included in the Pledged Collateral, including all certificates, instruments or other documents representing or evidencing any Pledged Collateral. </w:t>
      </w:r>
    </w:p>
    <w:p>
      <w:pPr>
        <w:pStyle w:val="TextBody"/>
        <w:bidi w:val="0"/>
        <w:spacing w:before="240" w:after="0"/>
        <w:jc w:val="left"/>
        <w:rPr/>
      </w:pPr>
      <w:r>
        <w:rPr/>
        <w:t>“</w:t>
      </w:r>
      <w:r>
        <w:rPr>
          <w:rFonts w:ascii="Times New Roman" w:hAnsi="Times New Roman"/>
          <w:b/>
          <w:sz w:val="20"/>
        </w:rPr>
        <w:t>Principal Domestic Property</w:t>
      </w:r>
      <w:r>
        <w:rPr>
          <w:rFonts w:ascii="Times New Roman" w:hAnsi="Times New Roman"/>
          <w:sz w:val="20"/>
        </w:rPr>
        <w:t xml:space="preserve">” means any building, structure or other facility, together with the land on which it is erected and fixtures comprising a part of it, used primarily for information processing, research or housing hardware or software required for information processing, located in the United States, excluding its territories, possessions and Puerto Rico, owned or leased by Holdings or one of Holdings’ Subsidiaries and having a net book value in excess of 1% of Holdings’ net assets, other than any such building, structure or other facility or a portion which the Company’s principal executive officer, president and principal financial officer determine in good faith is not of material importance to the total business conducted or assets owned by the Company and its Subsidiaries as an entirety. </w:t>
      </w:r>
    </w:p>
    <w:p>
      <w:pPr>
        <w:pStyle w:val="TextBody"/>
        <w:bidi w:val="0"/>
        <w:spacing w:before="240" w:after="0"/>
        <w:jc w:val="left"/>
        <w:rPr/>
      </w:pPr>
      <w:r>
        <w:rPr/>
        <w:t>“</w:t>
      </w:r>
      <w:r>
        <w:rPr>
          <w:rFonts w:ascii="Times New Roman" w:hAnsi="Times New Roman"/>
          <w:b/>
          <w:sz w:val="20"/>
        </w:rPr>
        <w:t>Secured Obligations</w:t>
      </w:r>
      <w:r>
        <w:rPr>
          <w:rFonts w:ascii="Times New Roman" w:hAnsi="Times New Roman"/>
          <w:sz w:val="20"/>
        </w:rPr>
        <w:t xml:space="preserve">” means the Obligations (as defined in the Credit Agreement). </w:t>
      </w:r>
    </w:p>
    <w:p>
      <w:pPr>
        <w:pStyle w:val="TextBody"/>
        <w:bidi w:val="0"/>
        <w:spacing w:before="240" w:after="0"/>
        <w:jc w:val="left"/>
        <w:rPr/>
      </w:pPr>
      <w:r>
        <w:rPr/>
        <w:t>“</w:t>
      </w:r>
      <w:r>
        <w:rPr>
          <w:rFonts w:ascii="Times New Roman" w:hAnsi="Times New Roman"/>
          <w:b/>
          <w:sz w:val="20"/>
        </w:rPr>
        <w:t>Secured Parties</w:t>
      </w:r>
      <w:r>
        <w:rPr>
          <w:rFonts w:ascii="Times New Roman" w:hAnsi="Times New Roman"/>
          <w:sz w:val="20"/>
        </w:rPr>
        <w:t xml:space="preserve">” means, collectively, the Administrative Agent, the Lender, the Supplemental Administrative Agent and each co-agent or sub-agent appointed by the Administrative Agent from time to time pursuant to Sections 7.01(b) and 7.02 of the Credit Agreement. </w:t>
      </w:r>
    </w:p>
    <w:p>
      <w:pPr>
        <w:pStyle w:val="TextBody"/>
        <w:bidi w:val="0"/>
        <w:spacing w:before="240" w:after="0"/>
        <w:jc w:val="left"/>
        <w:rPr/>
      </w:pPr>
      <w:r>
        <w:rPr/>
        <w:t>“</w:t>
      </w:r>
      <w:r>
        <w:rPr>
          <w:rFonts w:ascii="Times New Roman" w:hAnsi="Times New Roman"/>
          <w:b/>
          <w:sz w:val="20"/>
        </w:rPr>
        <w:t>Security Agreement Supplement</w:t>
      </w:r>
      <w:r>
        <w:rPr>
          <w:rFonts w:ascii="Times New Roman" w:hAnsi="Times New Roman"/>
          <w:sz w:val="20"/>
        </w:rPr>
        <w:t xml:space="preserve">” means an instrument in the form of Exhibit I hereto. </w:t>
      </w:r>
    </w:p>
    <w:p>
      <w:pPr>
        <w:pStyle w:val="TextBody"/>
        <w:bidi w:val="0"/>
        <w:spacing w:before="240" w:after="0"/>
        <w:jc w:val="left"/>
        <w:rPr/>
      </w:pPr>
      <w:r>
        <w:rPr/>
        <w:t>“</w:t>
      </w:r>
      <w:r>
        <w:rPr>
          <w:rFonts w:ascii="Times New Roman" w:hAnsi="Times New Roman"/>
          <w:b/>
          <w:sz w:val="20"/>
        </w:rPr>
        <w:t>Security Interest</w:t>
      </w:r>
      <w:r>
        <w:rPr>
          <w:rFonts w:ascii="Times New Roman" w:hAnsi="Times New Roman"/>
          <w:sz w:val="20"/>
        </w:rPr>
        <w:t xml:space="preserve">” has the meaning assigned to such term in Section 3.01(a).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Test Period</w:t>
      </w:r>
      <w:r>
        <w:rPr>
          <w:rFonts w:ascii="Times New Roman" w:hAnsi="Times New Roman"/>
          <w:sz w:val="20"/>
        </w:rPr>
        <w:t xml:space="preserve">” means the most recent period of four consecutive fiscal quarters of the Borrower ended on or prior to such time (taken as one accounting period) in respect of which financial statements for each quarter or fiscal year in such period have been or are required to be delivered pursuant to Section 4.03(a); </w:t>
      </w:r>
      <w:r>
        <w:rPr>
          <w:rFonts w:ascii="Times New Roman" w:hAnsi="Times New Roman"/>
          <w:i/>
          <w:sz w:val="20"/>
        </w:rPr>
        <w:t>provided</w:t>
      </w:r>
      <w:r>
        <w:rPr>
          <w:rFonts w:ascii="Times New Roman" w:hAnsi="Times New Roman"/>
          <w:sz w:val="20"/>
        </w:rPr>
        <w:t xml:space="preserve"> that, prior to the first date that financial statements have been or are required to be delivered pursuant to Section 6.01(a) or (b), the Test Period in effect shall be the period of four consecutive fiscal quarters of the Borrower ended June 30, 2026. </w:t>
      </w:r>
    </w:p>
    <w:p>
      <w:pPr>
        <w:pStyle w:val="TextBody"/>
        <w:bidi w:val="0"/>
        <w:spacing w:before="240" w:after="0"/>
        <w:jc w:val="left"/>
        <w:rPr/>
      </w:pPr>
      <w:r>
        <w:rPr/>
        <w:t>“</w:t>
      </w:r>
      <w:r>
        <w:rPr>
          <w:rFonts w:ascii="Times New Roman" w:hAnsi="Times New Roman"/>
          <w:b/>
          <w:sz w:val="20"/>
        </w:rPr>
        <w:t>Trademark License</w:t>
      </w:r>
      <w:r>
        <w:rPr>
          <w:rFonts w:ascii="Times New Roman" w:hAnsi="Times New Roman"/>
          <w:sz w:val="20"/>
        </w:rPr>
        <w:t xml:space="preserve">” means any written agreement, now or hereafter in effect, granting to any third party any right to use any trademark now or hereafter owned by any Grantor or that any Grantor otherwise has the right to license, or granting to any Grantor any right to use any trademark now or hereafter owned by any third party, and all rights of any Grantor under any such agreement.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all of the following now owned or hereafter acquired by any Grantor: (a) all trademarks, service marks, trade names, corporate names, trade dress, logos, designs, fictitious business names, or other source or business identifiers, now existing or hereafter adopted or acquired, all registrations and recordings thereof, and all registration and recording applications filed in connection therewith, including registrations and registration applications in the USPTO or any similar offices in any State of the United States or any other country or any political subdivision thereof, and all extensions or renewals thereof, as well as any unregistered trademarks and service marks used by a Grantor and (b) all goodwill connected with the use of and symbolized thereby. </w:t>
      </w:r>
    </w:p>
    <w:p>
      <w:pPr>
        <w:pStyle w:val="TextBody"/>
        <w:bidi w:val="0"/>
        <w:spacing w:before="240" w:after="0"/>
        <w:jc w:val="left"/>
        <w:rPr/>
      </w:pPr>
      <w:r>
        <w:rPr/>
        <w:t>“</w:t>
      </w:r>
      <w:r>
        <w:rPr>
          <w:rFonts w:ascii="Times New Roman" w:hAnsi="Times New Roman"/>
          <w:b/>
          <w:sz w:val="20"/>
        </w:rPr>
        <w:t>USCO</w:t>
      </w:r>
      <w:r>
        <w:rPr>
          <w:rFonts w:ascii="Times New Roman" w:hAnsi="Times New Roman"/>
          <w:sz w:val="20"/>
        </w:rPr>
        <w:t xml:space="preserve">” means the United States Copyright Office. </w:t>
      </w:r>
    </w:p>
    <w:p>
      <w:pPr>
        <w:pStyle w:val="TextBody"/>
        <w:bidi w:val="0"/>
        <w:spacing w:before="240" w:after="0"/>
        <w:jc w:val="left"/>
        <w:rPr/>
      </w:pPr>
      <w:r>
        <w:rPr/>
        <w:t>“</w:t>
      </w:r>
      <w:r>
        <w:rPr>
          <w:rFonts w:ascii="Times New Roman" w:hAnsi="Times New Roman"/>
          <w:b/>
          <w:sz w:val="20"/>
        </w:rPr>
        <w:t>USPTO</w:t>
      </w:r>
      <w:r>
        <w:rPr>
          <w:rFonts w:ascii="Times New Roman" w:hAnsi="Times New Roman"/>
          <w:sz w:val="20"/>
        </w:rPr>
        <w:t xml:space="preserve">” means the United States Patent and Trademark Office.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Pledge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Pledge</w:t>
      </w:r>
      <w:r>
        <w:rPr>
          <w:rFonts w:ascii="Times New Roman" w:hAnsi="Times New Roman"/>
          <w:sz w:val="20"/>
        </w:rPr>
        <w:t>. As security for the payment or performance, as the case may be, in full of the Secured Obligations, including the Guaranty, each Grantor hereby pledges to the Administrative Agent, its successors and assigns, for the benefit of the Secured Parties, and hereby grants to the Administrative Agent, its successors and assigns, for the benefit of the Secured Parties, a security interest in all of such Grantor’s right, title and interest in, to and under (i) all Equity Interests held by it, including without limitation those Equity Interests listed on Schedule I and any other Equity Interests obtained in the future by such Grantor and, to the extent certificated, the certificates representing all such Equity Interests (the “</w:t>
      </w:r>
      <w:r>
        <w:rPr>
          <w:rFonts w:ascii="Times New Roman" w:hAnsi="Times New Roman"/>
          <w:b/>
          <w:sz w:val="20"/>
        </w:rPr>
        <w:t>Pledged Equity</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Pledged Equity shall not include any Excluded Security; (ii) the debt securities owned by it, including without limitation those debt securities listed opposite the name of such Grantor on Schedule I, any debt securities obtained in the future by such Grantor and the promissory notes and any other instruments evidencing any debt (the “</w:t>
      </w:r>
      <w:r>
        <w:rPr>
          <w:rFonts w:ascii="Times New Roman" w:hAnsi="Times New Roman"/>
          <w:b/>
          <w:sz w:val="20"/>
        </w:rPr>
        <w:t>Pledged Debt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Pledged Debt shall not include any Excluded Security; (iii) subject to Section 2.06, all payments of principal or interest, dividends, cash, instruments and other property from time to time received, receivable or otherwise distributed in respect of, in exchange for or upon the conversion of, and all other Proceeds received in respect of, the Pledged Equity and Pledged Debt; (iv) subject to Section 2.06, all rights and privileges of such Grantor with respect to the securities and other property referred to in clauses (i), (ii), and (iii) above; and (v) all Proceeds of any of the foregoing (the items referred to in clauses (i) through (v) above being collectively referred to as the “</w:t>
      </w:r>
      <w:r>
        <w:rPr>
          <w:rFonts w:ascii="Times New Roman" w:hAnsi="Times New Roman"/>
          <w:b/>
          <w:sz w:val="20"/>
        </w:rPr>
        <w:t>Pledged Collateral</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in no event shall Pledged Collateral include any property with respect to which a Grantor is treated as having a “security entitlement” within the meaning of Article 8 of any applicable Uniform Commercial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HAVE AND TO HOLD the Pledged Collateral, together with all right, title, interest, powers, privileges and preferences pertaining or incidental thereto, unto the Administrative Agent, its successors and assigns, for the benefit of the Secured Parties, forever, subject, however, to the terms, covenants and conditions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Delivery of the Pledged Collateral</w:t>
      </w:r>
      <w:r>
        <w:rPr>
          <w:rFonts w:ascii="Times New Roman" w:hAnsi="Times New Roman"/>
          <w:sz w:val="20"/>
        </w:rPr>
        <w:t xml:space="preserve">. (a) Each Grantor agrees to deliver or cause to be delivered as promptly as practicable to the Administrative Agent, for the benefit of the Secured Parties, any and all Pledged Securities (other than any uncertificated securities, but only for so long as such securities remain uncertificated) to the extent such Pledged Securities, in the case of promissory notes or other instruments evidencing Indebtedness, are required to be delivered pursuant to paragraph (b) of this Section 2.02. </w:t>
      </w:r>
    </w:p>
    <w:p>
      <w:pPr>
        <w:pStyle w:val="TextBody"/>
        <w:bidi w:val="0"/>
        <w:spacing w:before="240" w:after="0"/>
        <w:jc w:val="left"/>
        <w:rPr>
          <w:rFonts w:ascii="Times New Roman" w:hAnsi="Times New Roman"/>
          <w:sz w:val="20"/>
        </w:rPr>
      </w:pPr>
      <w:r>
        <w:rPr>
          <w:rFonts w:ascii="Times New Roman" w:hAnsi="Times New Roman"/>
          <w:sz w:val="20"/>
        </w:rPr>
        <w:t xml:space="preserve">(b) Each Grantor will cause (i) any Indebtedness for borrowed money owed to such Grantor by any Person (other than intercompany Indebtedness between Credit Parties and intercompany Indebtedness referred to in the following clause (ii)) having an aggregate principal amount in excess of $5,000,000, to be evidenced by a duly executed promissory note, and (ii) any intercompany Indebtedness made by such Grantor to a non-Loan Party to be evidenced by (x) a duly executed global promissory note to which such Non-Loan Party is a signatory, or (y) at the option of the Grantor, to the extent such Indebtedness is in an aggregate principal amount in excess of $15,000,000, a duly executed promissory note; in each case (i) and (ii) that is delivered to the Administrative Agent, for the benefit of the Secured Parties,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Upon delivery to the Administrative Agent, (i) any Pledged Securities shall be accompanied by stock or security powers duly executed in blank or other instruments of transfer reasonably satisfactory to the Administrative Agent and by such other instruments and documents as the Administrative Agent may reasonably request and (ii) all other property comprising part of the Pledged Collateral shall be accompanied by proper instruments of assignment or transfer duly executed by the applicable Grantor and such other instruments or documents as the Administrative Agent may reasonably request. Each delivery of Pledged Securities shall be accompanied by a schedule describing the securities, which schedule shall be attached hereto as Schedule I and made a part hereof; </w:t>
      </w:r>
      <w:r>
        <w:rPr>
          <w:rFonts w:ascii="Times New Roman" w:hAnsi="Times New Roman"/>
          <w:i/>
          <w:sz w:val="20"/>
        </w:rPr>
        <w:t>provided</w:t>
      </w:r>
      <w:r>
        <w:rPr>
          <w:rFonts w:ascii="Times New Roman" w:hAnsi="Times New Roman"/>
          <w:sz w:val="20"/>
        </w:rPr>
        <w:t xml:space="preserve"> that failure to attach any such schedule hereto shall not affect the validity of such pledge of such Pledged Securities. Each schedule so delivered shall supplement any prior schedules so delivered.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Representations, Warranties and Covenants</w:t>
      </w:r>
      <w:r>
        <w:rPr>
          <w:rFonts w:ascii="Times New Roman" w:hAnsi="Times New Roman"/>
          <w:sz w:val="20"/>
        </w:rPr>
        <w:t xml:space="preserve">. Holdings and the Borrower jointly and severally represent, warrant and covenant, as to themselves and the other Grantors, to and with the Administrative Agent, for the benefit of the Secured Parties, that: </w:t>
      </w:r>
    </w:p>
    <w:p>
      <w:pPr>
        <w:pStyle w:val="TextBody"/>
        <w:bidi w:val="0"/>
        <w:spacing w:before="240" w:after="0"/>
        <w:jc w:val="left"/>
        <w:rPr>
          <w:rFonts w:ascii="Times New Roman" w:hAnsi="Times New Roman"/>
          <w:sz w:val="20"/>
        </w:rPr>
      </w:pPr>
      <w:r>
        <w:rPr>
          <w:rFonts w:ascii="Times New Roman" w:hAnsi="Times New Roman"/>
          <w:sz w:val="20"/>
        </w:rPr>
        <w:t xml:space="preserve">(a) Schedule I correctly sets forth the percentage of the issued and outstanding units of each class of the Equity Interests of the issuer thereof represented by the Pledged Equity and includes all Equity Interests, debt securities and promissory notes required to be pledged 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Pledged Equity and Pledged Debt (solely with respect to Pledged Debt issued by a Person other than the Borrower or a subsidiary of the Borrower, to the best of Holdings’ and the Borrower’s knowledge) have been duly and validly authorized and issued by the issuers thereof and (i) in the case of Pledged Equity, are fully paid and nonassessable and (ii) in the case of Pledged Debt (solely with respect to Pledged Debt issued by a Person other than the Borrower or a subsidiary of the Borrower, to the best of Holdings’ and the Borrower’s knowledge), are legal, valid and binding obligations of the issuers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for the security interests granted hereunder, each of the Grantors (i) is and, subject to any transfers made in compliance with the Credit Agreement, will continue to be the direct owner, beneficially and of record, of the Pledged Securities indicated on Schedule I as owned by such Grantors, (ii) holds the same free and clear of all Liens, other than (A) Liens created by the Security Documents and (B) Liens permitted pursuant to Section 4.12 of the Credit Agreement, (iii) will make no assignment, pledge, hypothecation or transfer of, or create or permit to exist any security interest in or other Lien on, the Pledged Collateral, other than (A) Liens created by the Security Documents and (B) Liens permitted pursuant to Section 4.12 of the Credit Agreement, and (iv) will defend its title or interest thereto or therein against any and all Liens (other than the Liens permitted pursuant to this Section 2.03(c)), however arising, of all Persons whomsoever; </w:t>
      </w:r>
    </w:p>
    <w:p>
      <w:pPr>
        <w:pStyle w:val="TextBody"/>
        <w:bidi w:val="0"/>
        <w:spacing w:before="240" w:after="0"/>
        <w:jc w:val="left"/>
        <w:rPr>
          <w:rFonts w:ascii="Times New Roman" w:hAnsi="Times New Roman"/>
          <w:sz w:val="20"/>
        </w:rPr>
      </w:pPr>
      <w:r>
        <w:rPr>
          <w:rFonts w:ascii="Times New Roman" w:hAnsi="Times New Roman"/>
          <w:sz w:val="20"/>
        </w:rPr>
        <w:t xml:space="preserve">(d) except for restrictions and limitations imposed by the Loan Documents or securities laws generally and except as described in the Perfection Certificate, the Pledged Collateral is and will continue to be freely transferable and assignable, and none of the Pledged Collateral is or will be subject to any option, right of first refusal, shareholders agreement, charter or by-law provisions or contractual restriction of any nature that might prohibit, impair, delay or otherwise affect in any manner material and adverse to the Secured Parties the pledge of such Pledged Collateral hereunder, the sale or disposition thereof pursuant hereto or the exercise by the Administrative Agent of rights and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(e) each of the Grantors has the power and authority to pledge the Pledged Collateral pledged by it hereunder in the manner hereby done or contemplated; </w:t>
      </w:r>
    </w:p>
    <w:p>
      <w:pPr>
        <w:pStyle w:val="TextBody"/>
        <w:bidi w:val="0"/>
        <w:spacing w:before="240" w:after="0"/>
        <w:jc w:val="left"/>
        <w:rPr>
          <w:rFonts w:ascii="Times New Roman" w:hAnsi="Times New Roman"/>
          <w:sz w:val="20"/>
        </w:rPr>
      </w:pPr>
      <w:r>
        <w:rPr>
          <w:rFonts w:ascii="Times New Roman" w:hAnsi="Times New Roman"/>
          <w:sz w:val="20"/>
        </w:rPr>
        <w:t xml:space="preserve">(f) no consent or approval of any Governmental Authority, any securities exchange or any other Person was or is necessary to the validity of the pledge effected hereby (other than such as have been obtained and are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(g) by virtue of the execution and delivery by the Grantors of this Agreement, when any Pledged Securities are delivered to the Administrative Agent in accordance with this Agreement, the Administrative Agent will obtain a legal, valid and perfected lien upon and security interest in such Pledged Securities as security for the payment and performance of the Secured Obligations, to the extent such perfection is governed by the Uniform Commercial Code; and </w:t>
      </w:r>
    </w:p>
    <w:p>
      <w:pPr>
        <w:pStyle w:val="TextBody"/>
        <w:bidi w:val="0"/>
        <w:spacing w:before="240" w:after="0"/>
        <w:jc w:val="left"/>
        <w:rPr>
          <w:rFonts w:ascii="Times New Roman" w:hAnsi="Times New Roman"/>
          <w:sz w:val="20"/>
        </w:rPr>
      </w:pPr>
      <w:r>
        <w:rPr>
          <w:rFonts w:ascii="Times New Roman" w:hAnsi="Times New Roman"/>
          <w:sz w:val="20"/>
        </w:rPr>
        <w:t xml:space="preserve">(h) the pledge effected hereby is effective to vest in the Administrative Agent, for the benefit of the Secured Parties, the rights of the Administrative Agent in the Pledged Collateral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Certification of Limited Liability Company and Limited Partnership Interests</w:t>
      </w:r>
      <w:r>
        <w:rPr>
          <w:rFonts w:ascii="Times New Roman" w:hAnsi="Times New Roman"/>
          <w:sz w:val="20"/>
        </w:rPr>
        <w:t xml:space="preserve">. Any limited liability company and any limited partnership controlled by any Grantor shall either (a) not have in its operative documents any provision that any Equity Interests in such limited liability company or such limited partnership be a “security” as defined under Article 8 of the Uniform Commercial Code, or (b) certificate any Equity Interests in any such limited liability company or such limited partnership. To the extent an interest in any limited liability company or limited partnership controlled by any Grantor and pledged under Section 2.01 is certificated or becomes certificated, each such certificate shall be delivered to the Administrative Agent, pursuant to Section 2.02(a) and such Grantor shall fulfill all other requirements under Section 2.02 applicable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in Nominee Name; Denominations</w:t>
      </w:r>
      <w:r>
        <w:rPr>
          <w:rFonts w:ascii="Times New Roman" w:hAnsi="Times New Roman"/>
          <w:sz w:val="20"/>
        </w:rPr>
        <w:t xml:space="preserve">. If an Event of Default shall occur and be continuing, (a) the Administrative Agent, on behalf of the Secured Parties, shall have the right (in its sole and absolute discretion) to hold the Pledged Securities in its own name as pledgee, the name of its nominee (as pledgee or as sub-agent) or the name of the applicable Grantor, endorsed or assigned in blank or in favor of the Administrative Agent, and each Grantor will promptly give to the Administrative Agent copies of any notices or other communications received by it with respect to Pledged Securities registered in the name of such Grantor and (b) the Administrative Agent shall have the right to exchange the certificates representing Pledged Securities for certificates of smaller or larger denominations for any purpose consistent with this Agreement; provided, that the Administrative Agent shall give the Borrower prior notice of its intent to exercise such rights unless an Event of Default under Section 6.01(8) or (9) of the Credit Agreement shall have occurred and be continuing in which case no notice shall be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Voting Rights; Dividends and Interest</w:t>
      </w:r>
      <w:r>
        <w:rPr>
          <w:rFonts w:ascii="Times New Roman" w:hAnsi="Times New Roman"/>
          <w:sz w:val="20"/>
        </w:rPr>
        <w:t xml:space="preserve">. (a) Unless and until an Event of Default shall have occurred and be continuing and the Administrative Agent shall have notified the Borrower that the rights of the Grantors under this Section 2.06 are being suspended: </w:t>
      </w:r>
    </w:p>
    <w:p>
      <w:pPr>
        <w:pStyle w:val="TextBody"/>
        <w:bidi w:val="0"/>
        <w:spacing w:before="120" w:after="0"/>
        <w:jc w:val="left"/>
        <w:rPr>
          <w:rFonts w:ascii="Times New Roman" w:hAnsi="Times New Roman"/>
          <w:sz w:val="20"/>
        </w:rPr>
      </w:pPr>
      <w:r>
        <w:rPr>
          <w:rFonts w:ascii="Times New Roman" w:hAnsi="Times New Roman"/>
          <w:sz w:val="20"/>
        </w:rPr>
        <w:t xml:space="preserve">(i) Each Grantor shall be entitled to exercise any and all voting and/or other consensual rights and powers inuring to an owner of Pledged Securities or any part thereof for any purpose consistent with the terms of this Agreement, the Credit Agreement and the other Loan Documents; </w:t>
      </w:r>
      <w:r>
        <w:rPr>
          <w:rFonts w:ascii="Times New Roman" w:hAnsi="Times New Roman"/>
          <w:i/>
          <w:sz w:val="20"/>
        </w:rPr>
        <w:t>provided</w:t>
      </w:r>
      <w:r>
        <w:rPr>
          <w:rFonts w:ascii="Times New Roman" w:hAnsi="Times New Roman"/>
          <w:sz w:val="20"/>
        </w:rPr>
        <w:t xml:space="preserve"> that such rights and powers shall not be exercised in any manner, except as may be expressly permitted under this Agreement, the Credit Agreement or the other Loan Documents, that would materially and adversely affect the rights inuring to a holder of any Pledged Securities or the rights and remedies of any of the Administrative Agent or the other Secured Parties under this Agreement, the Credit Agreement or any other Loan Document or the ability of the Secured Parties to exercise the same.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shall execute and deliver to each Grantor, or cause to be executed and delivered to each Grantor, all such proxies, powers of attorney and other instruments as each Grantor may reasonably request for the purpose of enabling such Grantor to exercise the voting and/or consensual rights and powers it is entitled to exercise pursuant to subparagraph (i) above. </w:t>
      </w:r>
    </w:p>
    <w:p>
      <w:pPr>
        <w:pStyle w:val="TextBody"/>
        <w:bidi w:val="0"/>
        <w:spacing w:before="120" w:after="0"/>
        <w:jc w:val="left"/>
        <w:rPr>
          <w:rFonts w:ascii="Times New Roman" w:hAnsi="Times New Roman"/>
          <w:sz w:val="20"/>
        </w:rPr>
      </w:pPr>
      <w:r>
        <w:rPr>
          <w:rFonts w:ascii="Times New Roman" w:hAnsi="Times New Roman"/>
          <w:sz w:val="20"/>
        </w:rPr>
        <w:t xml:space="preserve">(iii) Each Grantor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the Credit Agreement, the other Loan Documents and applicable Laws; </w:t>
      </w:r>
      <w:r>
        <w:rPr>
          <w:rFonts w:ascii="Times New Roman" w:hAnsi="Times New Roman"/>
          <w:i/>
          <w:sz w:val="20"/>
        </w:rPr>
        <w:t>provided</w:t>
      </w:r>
      <w:r>
        <w:rPr>
          <w:rFonts w:ascii="Times New Roman" w:hAnsi="Times New Roman"/>
          <w:sz w:val="20"/>
        </w:rPr>
        <w:t xml:space="preserve"> that any non-cash (and non-cash equivalent) dividends, interest, principal or other distributions that would constitute Pledged Equity or Pledged Debt, whether resulting from a subdivision, combination or reclassification of the outstanding Equity Interests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not be commingled by such Grantor with any of its other funds or property but shall be held separate and apart therefrom, shall be held in trust for the benefit of the Administrative Agent and the Secured Parties and shall be forthwith delivered to the Administrative Agent in the same form as so received (with any necessary endorsement reasonably requested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Upon the occurrence and during the continuance of an Event of Default, after the Administrative Agent shall have notified the Borrower of the suspension of the rights of the Grantors under paragraph (a)(iii) of this Section 2.06, then all rights of any Grantor to dividends, interest, principal or other distributions that such Grantor is authorized to receive pursuant to paragraph (a)(iii) of this Section 2.06 shall cease, and all such rights shall thereupon become vested in the Administrative Agent, which shall have the sole and exclusive right and authority to receive and retain such dividends, interest, principal or other distributions. All dividends, interest, principal or other distributions received by any Grantor contrary to the provisions of this Section 2.06 shall be held in trust for the benefit of the Administrative Agent, shall be segregated from other property or funds of such Grantor and shall be forthwith delivered to the Administrative Agent upon demand in the same form as so received (with any necessary endorsement reasonably requested by the Administrative Agent). Any and all money and other property paid over to or received by the Administrative Agent pursuant to the provisions of this paragraph (b) shall be retained by the Administrative Agent in a non-interest bearing account to be established by the Administrative Agent upon receipt of such money or other property and shall be applied in accordance with the provisions of Section 4.02 hereof. After all Events of Default have been cured or waived, the Administrative Agent shall promptly repay to each Grantor (without interest) all dividends, interest, principal or other distributions that such Grantor would otherwise be permitted to retain pursuant to the terms of paragraph (a)(iii) of this Section 2.06 and that remain in such account. </w:t>
      </w:r>
    </w:p>
    <w:p>
      <w:pPr>
        <w:pStyle w:val="TextBody"/>
        <w:bidi w:val="0"/>
        <w:spacing w:before="240" w:after="0"/>
        <w:jc w:val="left"/>
        <w:rPr>
          <w:rFonts w:ascii="Times New Roman" w:hAnsi="Times New Roman"/>
          <w:sz w:val="20"/>
        </w:rPr>
      </w:pPr>
      <w:r>
        <w:rPr>
          <w:rFonts w:ascii="Times New Roman" w:hAnsi="Times New Roman"/>
          <w:sz w:val="20"/>
        </w:rPr>
        <w:t xml:space="preserve">(c) Upon the occurrence and during the continuance of an Event of Default, after the Administrative Agent shall have notified the Borrower of the suspension of the rights of the Grantors under paragraph (a)(i) of this Section 2.06, then all rights of any Grantor to exercise the voting and consensual rights and powers it is entitled to exercise pursuant to paragraph (a)(i) of this Section 2.06, and the obligations of the Administrative Agent under paragraph (a)(ii) of this Section 2.06, shall cease, and all such rights shall thereupon become vested in the Administrative Agent, which shall have the sole and exclusive right and authority to exercise such voting and consensual rights and powers; </w:t>
      </w:r>
      <w:r>
        <w:rPr>
          <w:rFonts w:ascii="Times New Roman" w:hAnsi="Times New Roman"/>
          <w:i/>
          <w:sz w:val="20"/>
        </w:rPr>
        <w:t>provided</w:t>
      </w:r>
      <w:r>
        <w:rPr>
          <w:rFonts w:ascii="Times New Roman" w:hAnsi="Times New Roman"/>
          <w:sz w:val="20"/>
        </w:rPr>
        <w:t xml:space="preserve"> that, the Administrative Agent (acting at the direction of the Lender) shall have the right from time to time following and during the continuance of an Event of Default to permit the Grantors to exercise such rights at the discretion of the Lender. After all Events of Default have been cured or waived, each Grantor shall have the exclusive right to exercise the voting and/or consensual rights and powers that such Grantor would otherwise be entitled to exercise pursuant to the terms of paragraph (a)(i) of this Section 2.06. </w:t>
      </w:r>
    </w:p>
    <w:p>
      <w:pPr>
        <w:pStyle w:val="TextBody"/>
        <w:bidi w:val="0"/>
        <w:spacing w:before="240" w:after="0"/>
        <w:jc w:val="left"/>
        <w:rPr>
          <w:rFonts w:ascii="Times New Roman" w:hAnsi="Times New Roman"/>
          <w:sz w:val="20"/>
        </w:rPr>
      </w:pPr>
      <w:r>
        <w:rPr>
          <w:rFonts w:ascii="Times New Roman" w:hAnsi="Times New Roman"/>
          <w:sz w:val="20"/>
        </w:rPr>
        <w:t xml:space="preserve">(d) Any notice given by the Administrative Agent to the Borrower suspending the rights of the Grantors under paragraph (a) of this Section 2.06 (i) shall be given in writing, (ii) may be given with respect to one or more of the Grantors at the same or different times and (iii) may suspend the rights of the Grantors under paragraph (a)(i) or paragraph (a)(iii) of this Section 2.06 in part without suspending all such rights (as specified by the Administrative Agent in its sole and absolute discretion) and without waiving or otherwise affecting the Administrative Agent’s rights to give additional notices from time to time suspending other rights so long as an Event of Default has occurred and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Administrative Agent Not a Partner or Limited Liability Company Member</w:t>
      </w:r>
      <w:r>
        <w:rPr>
          <w:rFonts w:ascii="Times New Roman" w:hAnsi="Times New Roman"/>
          <w:sz w:val="20"/>
        </w:rPr>
        <w:t xml:space="preserve">. Nothing contained in this Agreement shall be construed to make the Administrative Agent or any other Secured Party liable as a member of any limited liability company or as a partner of any partnership and neither the Administrative Agent nor any other Secured Party by virtue of this Agreement or otherwise (except as referred to in the following sentence) shall have any of the duties, obligations or liabilities of a member of any limited liability company or as a partner in any partnership. The parties hereto expressly agree that, unless the Administrative Agent shall become the absolute owner of Pledged Equity consisting of a limited liability company interest or a partnership interest pursuant hereto or to any other Loan Document, this Agreement shall not be construed as creating a partnership or joint venture among the Administrative Agent, any other Secured Party, any Grantor and/or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Security Interests in Personal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Security Interest</w:t>
      </w:r>
      <w:r>
        <w:rPr>
          <w:rFonts w:ascii="Times New Roman" w:hAnsi="Times New Roman"/>
          <w:sz w:val="20"/>
        </w:rPr>
        <w:t>. (a) As security for the payment or performance, as the case may be, in full of the Secured Obligations, including the Guaranteed Obligations, each Grantor hereby grants to the Administrative Agent, its successors and assigns, for the benefit of the Secured Parties, a security interest (the “</w:t>
      </w:r>
      <w:r>
        <w:rPr>
          <w:rFonts w:ascii="Times New Roman" w:hAnsi="Times New Roman"/>
          <w:b/>
          <w:sz w:val="20"/>
        </w:rPr>
        <w:t>Security Interest</w:t>
      </w:r>
      <w:r>
        <w:rPr>
          <w:rFonts w:ascii="Times New Roman" w:hAnsi="Times New Roman"/>
          <w:sz w:val="20"/>
        </w:rPr>
        <w:t>”) in all right, title or interest in or to any and all of the following assets and properties now owned or at any time hereafter acquired by such Grantor or in which such Grantor now has or at any time in the future may acquire any right, title or interest (collectively, the “</w:t>
      </w:r>
      <w:r>
        <w:rPr>
          <w:rFonts w:ascii="Times New Roman" w:hAnsi="Times New Roman"/>
          <w:b/>
          <w:sz w:val="20"/>
        </w:rPr>
        <w:t>Article 9</w:t>
      </w:r>
      <w:r>
        <w:rPr>
          <w:rFonts w:ascii="Times New Roman" w:hAnsi="Times New Roman"/>
          <w:sz w:val="20"/>
        </w:rPr>
        <w:t xml:space="preserve"> </w:t>
      </w:r>
      <w:r>
        <w:rPr>
          <w:rFonts w:ascii="Times New Roman" w:hAnsi="Times New Roman"/>
          <w:b/>
          <w:sz w:val="20"/>
        </w:rPr>
        <w:t>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Accounts; </w:t>
      </w:r>
    </w:p>
    <w:p>
      <w:pPr>
        <w:pStyle w:val="TextBody"/>
        <w:bidi w:val="0"/>
        <w:spacing w:before="120" w:after="0"/>
        <w:jc w:val="left"/>
        <w:rPr>
          <w:rFonts w:ascii="Times New Roman" w:hAnsi="Times New Roman"/>
          <w:sz w:val="20"/>
        </w:rPr>
      </w:pPr>
      <w:r>
        <w:rPr>
          <w:rFonts w:ascii="Times New Roman" w:hAnsi="Times New Roman"/>
          <w:sz w:val="20"/>
        </w:rPr>
        <w:t xml:space="preserve">(ii) all Chattel Paper; </w:t>
      </w:r>
    </w:p>
    <w:p>
      <w:pPr>
        <w:pStyle w:val="TextBody"/>
        <w:bidi w:val="0"/>
        <w:spacing w:before="120" w:after="0"/>
        <w:jc w:val="left"/>
        <w:rPr>
          <w:rFonts w:ascii="Times New Roman" w:hAnsi="Times New Roman"/>
          <w:sz w:val="20"/>
        </w:rPr>
      </w:pPr>
      <w:r>
        <w:rPr>
          <w:rFonts w:ascii="Times New Roman" w:hAnsi="Times New Roman"/>
          <w:sz w:val="20"/>
        </w:rPr>
        <w:t xml:space="preserve">(iii) all Commercial Tort Claims listed on Schedule II hereto; </w:t>
      </w:r>
    </w:p>
    <w:p>
      <w:pPr>
        <w:pStyle w:val="TextBody"/>
        <w:bidi w:val="0"/>
        <w:spacing w:before="120" w:after="0"/>
        <w:jc w:val="left"/>
        <w:rPr>
          <w:rFonts w:ascii="Times New Roman" w:hAnsi="Times New Roman"/>
          <w:sz w:val="20"/>
        </w:rPr>
      </w:pPr>
      <w:r>
        <w:rPr>
          <w:rFonts w:ascii="Times New Roman" w:hAnsi="Times New Roman"/>
          <w:sz w:val="20"/>
        </w:rPr>
        <w:t xml:space="preserve">(iv) all Deposit Accounts; </w:t>
      </w:r>
    </w:p>
    <w:p>
      <w:pPr>
        <w:pStyle w:val="TextBody"/>
        <w:bidi w:val="0"/>
        <w:spacing w:before="120" w:after="0"/>
        <w:jc w:val="left"/>
        <w:rPr>
          <w:rFonts w:ascii="Times New Roman" w:hAnsi="Times New Roman"/>
          <w:sz w:val="20"/>
        </w:rPr>
      </w:pPr>
      <w:r>
        <w:rPr>
          <w:rFonts w:ascii="Times New Roman" w:hAnsi="Times New Roman"/>
          <w:sz w:val="20"/>
        </w:rPr>
        <w:t xml:space="preserve">(v) all Documents; </w:t>
      </w:r>
    </w:p>
    <w:p>
      <w:pPr>
        <w:pStyle w:val="TextBody"/>
        <w:bidi w:val="0"/>
        <w:spacing w:before="120" w:after="0"/>
        <w:jc w:val="left"/>
        <w:rPr>
          <w:rFonts w:ascii="Times New Roman" w:hAnsi="Times New Roman"/>
          <w:sz w:val="20"/>
        </w:rPr>
      </w:pPr>
      <w:r>
        <w:rPr>
          <w:rFonts w:ascii="Times New Roman" w:hAnsi="Times New Roman"/>
          <w:sz w:val="20"/>
        </w:rPr>
        <w:t xml:space="preserve">(vi) all Equipment; </w:t>
      </w:r>
    </w:p>
    <w:p>
      <w:pPr>
        <w:pStyle w:val="TextBody"/>
        <w:bidi w:val="0"/>
        <w:spacing w:before="120" w:after="0"/>
        <w:jc w:val="left"/>
        <w:rPr>
          <w:rFonts w:ascii="Times New Roman" w:hAnsi="Times New Roman"/>
          <w:sz w:val="20"/>
        </w:rPr>
      </w:pPr>
      <w:r>
        <w:rPr>
          <w:rFonts w:ascii="Times New Roman" w:hAnsi="Times New Roman"/>
          <w:sz w:val="20"/>
        </w:rPr>
        <w:t xml:space="preserve">(vii) all General Intangibles; </w:t>
      </w:r>
    </w:p>
    <w:p>
      <w:pPr>
        <w:pStyle w:val="TextBody"/>
        <w:bidi w:val="0"/>
        <w:spacing w:before="120" w:after="0"/>
        <w:jc w:val="left"/>
        <w:rPr>
          <w:rFonts w:ascii="Times New Roman" w:hAnsi="Times New Roman"/>
          <w:sz w:val="20"/>
        </w:rPr>
      </w:pPr>
      <w:r>
        <w:rPr>
          <w:rFonts w:ascii="Times New Roman" w:hAnsi="Times New Roman"/>
          <w:sz w:val="20"/>
        </w:rPr>
        <w:t xml:space="preserve">(viii) all Goods; </w:t>
      </w:r>
    </w:p>
    <w:p>
      <w:pPr>
        <w:pStyle w:val="TextBody"/>
        <w:bidi w:val="0"/>
        <w:spacing w:before="120" w:after="0"/>
        <w:jc w:val="left"/>
        <w:rPr>
          <w:rFonts w:ascii="Times New Roman" w:hAnsi="Times New Roman"/>
          <w:sz w:val="20"/>
        </w:rPr>
      </w:pPr>
      <w:r>
        <w:rPr>
          <w:rFonts w:ascii="Times New Roman" w:hAnsi="Times New Roman"/>
          <w:sz w:val="20"/>
        </w:rPr>
        <w:t xml:space="preserve">(ix) all Instruments; </w:t>
      </w:r>
    </w:p>
    <w:p>
      <w:pPr>
        <w:pStyle w:val="TextBody"/>
        <w:bidi w:val="0"/>
        <w:spacing w:before="120" w:after="0"/>
        <w:jc w:val="left"/>
        <w:rPr>
          <w:rFonts w:ascii="Times New Roman" w:hAnsi="Times New Roman"/>
          <w:sz w:val="20"/>
        </w:rPr>
      </w:pPr>
      <w:r>
        <w:rPr>
          <w:rFonts w:ascii="Times New Roman" w:hAnsi="Times New Roman"/>
          <w:sz w:val="20"/>
        </w:rPr>
        <w:t xml:space="preserve">(x) all Inventory; </w:t>
      </w:r>
    </w:p>
    <w:p>
      <w:pPr>
        <w:pStyle w:val="TextBody"/>
        <w:bidi w:val="0"/>
        <w:spacing w:before="120" w:after="0"/>
        <w:jc w:val="left"/>
        <w:rPr>
          <w:rFonts w:ascii="Times New Roman" w:hAnsi="Times New Roman"/>
          <w:sz w:val="20"/>
        </w:rPr>
      </w:pPr>
      <w:r>
        <w:rPr>
          <w:rFonts w:ascii="Times New Roman" w:hAnsi="Times New Roman"/>
          <w:sz w:val="20"/>
        </w:rPr>
        <w:t xml:space="preserve">(xi) all Investment Property; </w:t>
      </w:r>
    </w:p>
    <w:p>
      <w:pPr>
        <w:pStyle w:val="TextBody"/>
        <w:bidi w:val="0"/>
        <w:spacing w:before="120" w:after="0"/>
        <w:jc w:val="left"/>
        <w:rPr>
          <w:rFonts w:ascii="Times New Roman" w:hAnsi="Times New Roman"/>
          <w:sz w:val="20"/>
        </w:rPr>
      </w:pPr>
      <w:r>
        <w:rPr>
          <w:rFonts w:ascii="Times New Roman" w:hAnsi="Times New Roman"/>
          <w:sz w:val="20"/>
        </w:rPr>
        <w:t xml:space="preserve">(xii) all books and records pertaining to the Article 9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(xiii) to the extent not otherwise included, all Proceeds and products of any and all of the foregoing and all supporting obligations, collateral security and guarantees given by any Person with respect to any of the foregoing;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Agreement, this Agreement shall not constitute a grant of a security interest in any Excluded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Grantor hereby irrevocably authorizes the Administrative Agent (or its designee) for the benefit of the Secured Parties at any time and from time to time to file in any relevant jurisdiction any initial financing statements (including fixture filings) with respect to the Article 9 Collateral or any part thereof and amendments thereto that (i) indicate the Collateral as all assets of such Grantor or words of similar effect as being of an equal or lesser scope or with greater detail, and (ii) contain the information required by Article 9 of the Uniform Commercial Code or the analogous legislation of each applicable jurisdiction for the filing of any financing statement or amendment, including (A) whether such Grantor is an organization, the type of organization and, if required, any organizational identification number issued to such Grantor and (B) in the case of a financing statement filed as a fixture filing, a sufficient description of the real property to which such Article 9 Collateral relates. Each Grantor agrees to provide such information to the Administrative Agent promptly upon any reasonable request. </w:t>
      </w:r>
    </w:p>
    <w:p>
      <w:pPr>
        <w:pStyle w:val="TextBody"/>
        <w:bidi w:val="0"/>
        <w:spacing w:before="240" w:after="0"/>
        <w:jc w:val="left"/>
        <w:rPr>
          <w:rFonts w:ascii="Times New Roman" w:hAnsi="Times New Roman"/>
          <w:sz w:val="20"/>
        </w:rPr>
      </w:pPr>
      <w:r>
        <w:rPr>
          <w:rFonts w:ascii="Times New Roman" w:hAnsi="Times New Roman"/>
          <w:sz w:val="20"/>
        </w:rPr>
        <w:t xml:space="preserve">(c) The Security Interest is granted as security only and shall not subject the Administrative Agent or any other Secured Party to, or in any way alter or modify, any obligation or liability of any Grantor with respect to or arising out of the Article 9 Collateral.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(or its designee) is authorized to file with the USPTO or the USCO (or any successor office or any similar office in any other country) such documents as may be necessary or advisable for the purpose of perfecting, confirming, continuing, enforcing or protecting the Security Interest in United States registered or applied-for Intellectual Property included in the Article 9 Collateral granted by each Grantor, without the signature of any Grantor, and naming any Grantor or the Grantor as debtors and the Administrative Agent as secured party.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the Loan Documents, none of the Grantors shall be required to enter into any deposit account control agreement or securities account control agreement with respect to any deposit account or securities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Representations and Warranties</w:t>
      </w:r>
      <w:r>
        <w:rPr>
          <w:rFonts w:ascii="Times New Roman" w:hAnsi="Times New Roman"/>
          <w:sz w:val="20"/>
        </w:rPr>
        <w:t xml:space="preserve">. Holdings and the Borrower jointly and severally represent and warrant, as to themselves and the other Grantors, to the Administrative Agent and the Secured Parties that: </w:t>
      </w:r>
    </w:p>
    <w:p>
      <w:pPr>
        <w:pStyle w:val="TextBody"/>
        <w:bidi w:val="0"/>
        <w:spacing w:before="240" w:after="0"/>
        <w:jc w:val="left"/>
        <w:rPr>
          <w:rFonts w:ascii="Times New Roman" w:hAnsi="Times New Roman"/>
          <w:sz w:val="20"/>
        </w:rPr>
      </w:pPr>
      <w:r>
        <w:rPr>
          <w:rFonts w:ascii="Times New Roman" w:hAnsi="Times New Roman"/>
          <w:sz w:val="20"/>
        </w:rPr>
        <w:t xml:space="preserve">(a) Each Grantor has good and valid rights in and title to the material Article 9 Collateral with respect to which it has purported to grant a Security Interest hereunder and has full power and authority to grant to the Administrative Agent the Security Interest in such Article 9 Collateral pursuant hereto and to execute, deliver and perform its obligations in accordance with the terms of this Agreement, without the consent or approval of any other Person other than any consent or approval that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The information set forth in the Perfection Certificate, including the exact legal name of each Grantor, is correct and complete in all material respects as of the Closing Date. The Uniform Commercial Code financing statements (including fixture filings, as applicable) or other appropriate filings, recordings or registrations prepared based upon the information provided in the Perfection Certificate for filing in each governmental, municipal or other office specified in Schedule 6 to the Perfection Certificate (or specified by notice from the Borrower to the Administrative Agent after the Closing Date in the case of filings, recordings or registrations required by the Credit Agreement), are all the filings, recordings and registrations that are necessary to establish a legal, valid and perfected security interest in favor of the Administrative Agent (for the benefit of the Secured Parties) in respect of all Article 9 Collateral in which the Security Interest may be perfected by filing, recording or registration in the United States (or any political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subdivision thereof) and its territories and possessions, and no further or subsequent filing, refiling, recording, rerecording, registration or reregistration is necessary in any such jurisdiction, in each case, except (i) as provided under applicable law with respect to the filing of continuation statements, and (ii) filings required to be made in the USPTO and the USCO in order to perfect the Security Interest in Article 9 Collateral consisting of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Each Grantor represents and warrants that short-form Intellectual Property Security Agreements containing a description of all Article 9 Collateral as of the date hereof consisting of United States Patents, United States registered Trademarks (and Trademarks for which United States registration applications are pending, unless it constitutes an Excluded Asset) and United States registered Copyrights, respectively, have been delivered to the Administrative Agent for recording by the USPTO and the USCO pursuant to 35 U.S.C. § 261, 15 U.S.C. § 1060 or 17 U.S.C. § 205 and the regulations thereunder, as applicable, as may be necessary to establish a valid and perfected security interest in favor of the Administrative Agent (for the benefit of the Secured Parties) in respect of all Article 9 Collateral consisting of Patents, Trademarks and Copyrights in which a security interest may be perfected by filing, recording or registration in the United States (or any political subdivision thereof) and its territories and possessions under the Federal intellectual property laws, and no further or subsequent filing, refiling, recording, rerecording, registration or reregistration is necessary (other than (i) such filings and actions as are necessary to perfect the Security Interest with respect to any Article 9 Collateral consisting of Patents, Trademarks and Copyrights (or registration or application for registration thereof) acquired or developed by any Grantor after the date hereof, (ii) as may be required under the laws of jurisdictions outside the United States with respect to Article 9 Collateral created under such laws, and (iii) the UCC financing and continuation statements contemplated in Section 3.02(b)). </w:t>
      </w:r>
    </w:p>
    <w:p>
      <w:pPr>
        <w:pStyle w:val="TextBody"/>
        <w:bidi w:val="0"/>
        <w:spacing w:before="240" w:after="0"/>
        <w:jc w:val="left"/>
        <w:rPr>
          <w:rFonts w:ascii="Times New Roman" w:hAnsi="Times New Roman"/>
          <w:sz w:val="20"/>
        </w:rPr>
      </w:pPr>
      <w:r>
        <w:rPr>
          <w:rFonts w:ascii="Times New Roman" w:hAnsi="Times New Roman"/>
          <w:sz w:val="20"/>
        </w:rPr>
        <w:t xml:space="preserve">(d) The Security Interest constitutes (i) a legal and valid security interest in all the Article 9 Collateral securing the payment and performance of the Secured Obligations; (ii) subject to the filings described in Section 3.02(b),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Uniform Commercial Code in the relevant jurisdiction and (iii) subject to the filings described in Section 3.02(c), a perfected security interest in all Patents, Trademarks and Copyrights in which a security interest may be perfected upon the receipt and recording of fully executed short-form Intellectual Property Security Agreements with the USPTO and the USCO, as applicable. The Security Interest is and shall be prior to any other Lien on any of the Article 9 Collateral, other than (i) any nonconsensual Lien that is expressly permitted pursuant to Section 4.12 of the Credit Agreement and has priority as a matter of law and (ii) Liens expressly permitted pursuant to Section 4.12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material Article 9 Collateral is owned by the Grantors free and clear of any Lien, except for Liens permitted pursuant to Section 4.12 of the Credit Agreement. None of the Grantors has filed or consented to the filing of (i) any financing statement or analogous document under the New York UCC or any other applicable United States laws covering any Article 9 Collateral, (ii) any assignment in which any Grantor assigns any Article 9 Collateral or any security agreement or similar instrument covering any Article 9 Collateral with the USPTO or the USCO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Liens permitted pursuant to Section 4.12 of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Covenants</w:t>
      </w:r>
      <w:r>
        <w:rPr>
          <w:rFonts w:ascii="Times New Roman" w:hAnsi="Times New Roman"/>
          <w:sz w:val="20"/>
        </w:rPr>
        <w:t xml:space="preserve">. (a) The Borrower agrees promptly (and in any event within 60 days of such change) to notify the Administrative Agent in writing of any change in (i) the legal name, (ii) the identity or type of organization or corporate structure, (iii) the jurisdiction of organization, (iv) the chief executive office or (v) the organizational identification number, of any Grantor. In addition, if any Grantor does not have an organizational identification number on the Closing Date (or the date such Grantor becomes a party to this Agreement) and later obtains one, the Borrower shall promptly (and in any event within 60 days of such change) thereafter notify the Administrative Agent of such organizational identification number and shall take all actions reasonably requested by the Administrative Agent or the Lender to the extent necessary to maintain the security interests (and the priority thereof) of the Administrative Agent in the Article 9 Collateral intended to be granted hereby fully perfected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Upon becoming aware of any defect in the security interests (and the priority thereof, except as expressly permitted pursuant to Section 4.12 of the Credit Agreement) of the Administrative Agent in the Article 9 Collateral intended to be granted hereby, the Borrower agrees promptly (and in any event within 60 days of such knowledge) to notify the Administrative Agent in writing of such defect. </w:t>
      </w:r>
    </w:p>
    <w:p>
      <w:pPr>
        <w:pStyle w:val="TextBody"/>
        <w:bidi w:val="0"/>
        <w:spacing w:before="240" w:after="0"/>
        <w:jc w:val="left"/>
        <w:rPr>
          <w:rFonts w:ascii="Times New Roman" w:hAnsi="Times New Roman"/>
          <w:sz w:val="20"/>
        </w:rPr>
      </w:pPr>
      <w:r>
        <w:rPr>
          <w:rFonts w:ascii="Times New Roman" w:hAnsi="Times New Roman"/>
          <w:sz w:val="20"/>
        </w:rPr>
        <w:t xml:space="preserve">(c) Each year, at the time of delivery of annual financial statements with respect to the preceding fiscal year pursuant to Section 4.03 of the Credit Agreement, the Borrower shall deliver to the Administrative Agent an updated Perfection Certificate executed by the chief financial officer or the chief legal officer of each of Holdings and the Borrower, setting forth any information required therein that has changed or confirming that there has been no change in such information since the date of such certificate or the date of the most recent certificate delivered pursuant to this Section 3.03(c) and certifying that all UCC financing statements, Intellectual Property Security Agreements and other appropriate filings, recordings or registrations have been filed of record in each governmental, municipal or other appropriate office in each jurisdiction necessary to protect and perfect the Security Interests and Liens in the United States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agrees, on its own behalf and on behalf of each other Grantor, at its own expense, to execute, acknowledge, deliver and cause to be duly filed all such further instruments and documents and take all such actions as the Administrative Agent or the Lender may from time to time reasonably request to better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 </w:t>
      </w:r>
    </w:p>
    <w:p>
      <w:pPr>
        <w:pStyle w:val="TextBody"/>
        <w:bidi w:val="0"/>
        <w:spacing w:before="240" w:after="0"/>
        <w:jc w:val="left"/>
        <w:rPr>
          <w:rFonts w:ascii="Times New Roman" w:hAnsi="Times New Roman"/>
          <w:sz w:val="20"/>
        </w:rPr>
      </w:pPr>
      <w:r>
        <w:rPr>
          <w:rFonts w:ascii="Times New Roman" w:hAnsi="Times New Roman"/>
          <w:sz w:val="20"/>
        </w:rPr>
        <w:t xml:space="preserve">(e) At its option, the Administrative Agent or the Lender may discharge past due taxes, assessments, charges, fees, Liens, security interests or other encumbrances at any time levied or placed on the Article 9 Collateral and not permitted pursuant to Section 4.12 of the Credit Agreement, and may pay for the maintenance and preservation of the Article 9 Collateral to the extent any Grantor fails to do so as required by the Credit Agreement or this Agreement and within a reasonable period of time after the Administrative Agent or the Lender has requested that it do so, and each Grantor jointly and severally agrees to reimburse the Administrative Agent or the Lender, as applicable, within 10 Business Days after demand for any payment made or any reasonable expense incurred by the Administrative Agent or the Lender pursuant to the foregoing authorization;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Grantors shall not be obligated to reimburse the Administrative Agent or the Lender with respect to any Article 9 Collateral consisting of Intellectual Property which any Grantor has failed to maintain or pursue, or otherwise allowed to lapse, terminate or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put into the public domain, in accordance with Section 3.03(i)(ix). Nothing in this paragraph shall be interpreted as excusing any Grantor from the performance of, or imposing any obligation on the Administrative Agent or any Secured Party to cure or perform, any covenants or other promises of any Grantor with respect to taxes, assessments, charges, fees, Liens, security interests or other encumbrances and maintenance as set forth herein, in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(f) If at any time any Grantor shall take a security interest in any property of an Account Debtor or any other Person, the value of which is in excess of $10,000,000, to secure payment and performance of an Account, such Grantor shall promptly assign such security interest to the Administrative Agent for the benefit of the Secured Parties. Such assignment need not be filed of public record unless necessary to continue the perfected status of the security interest against creditors of and transferees from the Account Debtor or other Person granting the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(g) Each Grantor (rather than the Administrative Agent or any Secured Party) shall remain liable (as between itself and any relevant counterparty) to observe and perform all the conditions and obligations to be observed and performed by it under each contract, agreement or instrument relating to the Article 9 Collateral, all in accordance with the terms and conditions thereof, and each Grantor jointly and severally agrees to indemnify and hold harmless the Administrative Agent and the Secured Parties from and against any and all liability for such performance. </w:t>
      </w:r>
    </w:p>
    <w:p>
      <w:pPr>
        <w:pStyle w:val="TextBody"/>
        <w:bidi w:val="0"/>
        <w:spacing w:before="240" w:after="0"/>
        <w:jc w:val="left"/>
        <w:rPr>
          <w:rFonts w:ascii="Times New Roman" w:hAnsi="Times New Roman"/>
          <w:sz w:val="20"/>
        </w:rPr>
      </w:pPr>
      <w:r>
        <w:rPr>
          <w:rFonts w:ascii="Times New Roman" w:hAnsi="Times New Roman"/>
          <w:sz w:val="20"/>
        </w:rPr>
        <w:t xml:space="preserve">(h) If any Grantor shall at any time hold or acquire a Commercial Tort Claim with a value in excess of $10,000,000 and for which such Grantor (or predecessor in interest) has filed a complaint in a court of competent jurisdiction, such Grantor shall promptly notify the Administrative Agent in writing signed by such Grantor of the brief details thereof and grant to the Administrative Agent a security interest therein and in the Proceeds thereof, all upon the terms of this Agreement pursuant to a document in form and substance reasonably satisfactory to the Administrative Agent (acting at the direction of the Lender). </w:t>
      </w:r>
    </w:p>
    <w:p>
      <w:pPr>
        <w:pStyle w:val="TextBody"/>
        <w:bidi w:val="0"/>
        <w:spacing w:before="240" w:after="0"/>
        <w:jc w:val="left"/>
        <w:rPr>
          <w:rFonts w:ascii="Times New Roman" w:hAnsi="Times New Roman"/>
          <w:sz w:val="20"/>
        </w:rPr>
      </w:pPr>
      <w:r>
        <w:rPr>
          <w:rFonts w:ascii="Times New Roman" w:hAnsi="Times New Roman"/>
          <w:sz w:val="20"/>
        </w:rPr>
        <w:t xml:space="preserve">(i) Intellectual Property Covenants,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 Other than to the extent permitted herein or in the Credit Agreement or with respect to registration and applications no longer used, and except to the extent failure to act would not, as deemed by the applicable Grantor in its reasonable business judgment, be reasonably expected to have a material adverse effect, with respect to each Patent, Trademark or Copyright registration, issuance or pending application now or hereafter included in the Article 9 Collateral for which such Grantor has standing to do so, each Grantor agrees to (A) take, at its expense, all reasonable steps, including, without limitation, in the USPTO, the USCO and any other governmental authority located in the United States, to diligently pursue the registration and maintenance of each such Patent, Trademark, or Copyright registration or application and (B) not abandon any such application prior to exhaustion of all administrative and judicial remedies where reasonable to do so. Each Grantor shall take all reasonable steps to maintain its trade secrets under applicable law and to preserve the secrecy of its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(ii) Other than to the extent permitted herein or in the Credit Agreement, or with respect to registration and applications no longer used, or except as would not, as deemed by the applicable Grantor in its reasonable business judgment, be reasonably expected to have a material adverse effect, no Grantor shall do or permit any act or knowingly omit to do any act whereby any of its Article 9 Collateral consisting of Intellectual Property may lapse, be terminated, or become invalid or unenforceable or placed in the public domain (or in the case of a trade secret, becomes publicly known).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Other than as excluded or as permitted herein or in the Credit Agreement, or with respect to Patents, Copyrights or Trademarks which are no longer used or useful in the Grantor’s business operations, or except where failure to do so would not, as deemed by the applicable Grantor in its reasonable business judgment, be reasonably expected to have a material adverse effect, each Grantor shall take all reasonable steps to preserve and protect each item of its Article 9 Collateral consisting of Intellectual Property, including, without limitation, maintaining the quality of any and all products or services used or provided in connection with any of the Trademarks included in the Article 9 Collateral, consistent with the quality of the products and services as of the date hereof, and taking all reasonable steps necessary to ensure that all licensed users of any of the Trademarks included in the Article 9 Collateral abide by the applicable license’s terms with respect to the standards of quality and using the Trademarks included in the Article 9 Collateral which are material to such Grantor’s business in interstate commerce during the time in which this Agreement is in effect and to take all reasonable steps to preserve such Trademarks under the laws of relevant jurisdiction. Other than as excluded or as permitted herein or in the Credit Agreement, each Grantor agrees to renew those of its domain name registrations that are material to such Grantor’s business. </w:t>
      </w:r>
    </w:p>
    <w:p>
      <w:pPr>
        <w:pStyle w:val="TextBody"/>
        <w:bidi w:val="0"/>
        <w:spacing w:before="120" w:after="0"/>
        <w:jc w:val="left"/>
        <w:rPr>
          <w:rFonts w:ascii="Times New Roman" w:hAnsi="Times New Roman"/>
          <w:sz w:val="20"/>
        </w:rPr>
      </w:pPr>
      <w:r>
        <w:rPr>
          <w:rFonts w:ascii="Times New Roman" w:hAnsi="Times New Roman"/>
          <w:sz w:val="20"/>
        </w:rPr>
        <w:t xml:space="preserve">(iv) Each Grantor represents and warrants that it is the lawful owner of all material Article 9 Collateral consisting of Intellectual Property (other than, for the avoidance of doubt, Intellectual Property covered by Licenses granted to a Grantor by any third party), including (A) the Patents listed in the Perfection Certificate for such Grantor and that said Patents include all the material United States issued patents and pending United States patent applications that such Grantor owns as of the date hereof, and (B) the Copyrights listed in the Perfection Certificate for such Grantor and that said Copyrights include all the United States copyrights registered with the USCO for material United States copyrights that such Grantor owns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(v) Each Grantor further represents and warrants that the Trademarks and domain names listed in the Perfection Certificate include all material United States registered marks and applications for United States registered marks in the USPTO and all material domain names that such Grantor owns in connection with its business as of the date hereof. Each Grantor represents and warrants that it is the lawful owner of all U.S. trademark registrations and applications and domain name registrations listed in the Perfection Certificate and that said registrations are subsisting and have not been canceled, and that such Grantor has not received any written third-party claim that any of said registrations is invalid or unenforceable, other than as would not, either individually or in the aggregate, in the Grantor’s reasonable opinion,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 Each Grantor agrees, promptly upon learning thereof, to notify the Administrative Agent in writing of the name and address of, and to furnish such pertinent information that may be available with respect to, any party who such Grantor learns is likely to be infringing, contributorily infringing, actively inducing infringement, misappropriating or otherwise violating any of such Grantor’s rights in and to any Intellectual Property included in the Article 9 Collateral in any manner that would, in the Grantor’s reasonable opinion, reasonably be expected to have a material adverse effect, or with respect to any party claiming that such Grantor’s use of 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included in the Article 9 Collateral and material to such Grantor’s business violates in any material respect any property right of such party. Each Grantor further agrees to take appropriate actions diligently against, including, but not limited to, the prosecution of, in accordance with reasonable business practices, any Person infringing any Intellectual Property right included in the Article 9 Collateral in any manner that would, in the Grantor’s reasonable opinion, reasonably be expected to, either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If any Grantor acquires, makes an application for, or is issued a registration for Intellectual Property before the USPTO, the USCO, or an equivalent thereof in any state of the United States, other than any Intellectual Property constituting an Excluded Asset for so long as such Intellectual Property constitutes an Excluded Asset, after the date hereof, such Grantor shall, at its own expense, concurrently with the delivery of the updated Perfection Certificate pursuant to Section 3.03(c), deliver to the Administrative Agent an Intellectual Property Security Agreement confirming the grant of a security interest in such Intellectual Property to the Administrative Agent hereunder, which must be substantially in the form of Exhibit III hereto in the case of Patents, Exhibit IV hereto in the case of Trademarks, or Exhibit V hereto in the case of Copyrights, or in such other form as may be reasonably satisfactory to the Administrative Agent (acting at the direction of the Lender). </w:t>
      </w:r>
    </w:p>
    <w:p>
      <w:pPr>
        <w:pStyle w:val="TextBody"/>
        <w:bidi w:val="0"/>
        <w:spacing w:before="120" w:after="0"/>
        <w:jc w:val="left"/>
        <w:rPr>
          <w:rFonts w:ascii="Times New Roman" w:hAnsi="Times New Roman"/>
          <w:sz w:val="20"/>
        </w:rPr>
      </w:pPr>
      <w:r>
        <w:rPr>
          <w:rFonts w:ascii="Times New Roman" w:hAnsi="Times New Roman"/>
          <w:sz w:val="20"/>
        </w:rPr>
        <w:t xml:space="preserve">(viii) Upon reasonable request by the Administrative Agent or the Lender (but in any event, not more than three times per fiscal year), if a United States Patent or an application for a United States Patent or a registered Copyright, is issued or acquired by a Grantor, the relevant Grantor shall deliver to the Administrative Agent a copy of said Copyright or Patent, or certificate or registration of, or application therefor, as the case may be, and shall update, through amendment or by other written document executed by and reasonably acceptable to Administrative Agent (acting at the direction of the Lender) and such Grantor, the relevant schedules of any Intellectual Property Security Agreement filed with the USPTO pursuant to this Agreement, such that any such update may be filed with the USPTO. </w:t>
      </w:r>
    </w:p>
    <w:p>
      <w:pPr>
        <w:pStyle w:val="TextBody"/>
        <w:bidi w:val="0"/>
        <w:spacing w:before="120" w:after="0"/>
        <w:jc w:val="left"/>
        <w:rPr>
          <w:rFonts w:ascii="Times New Roman" w:hAnsi="Times New Roman"/>
          <w:sz w:val="20"/>
        </w:rPr>
      </w:pPr>
      <w:r>
        <w:rPr>
          <w:rFonts w:ascii="Times New Roman" w:hAnsi="Times New Roman"/>
          <w:sz w:val="20"/>
        </w:rPr>
        <w:t xml:space="preserve">(ix) Nothing in this Agreement or any other Loan Document prevents any Grantor from disposing of, discontinuing the use or maintenance of, failing to pursue, or otherwise allowing to lapse, terminate or be put into the public domain, any of its Article 9 Collateral consisting of Intellectual Property to the extent permitted by the Credit Agreement if such Grantor determines in its reasonable business judgment that such action is desirable in the conduct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(x) Subject to Sections 3.02 and 3.03(i) above, the Grantors shall use commercially reasonable efforts to correct all currently known chain of title issues regarding the Article 9 Collateral constituting Intellectual Property collateral listed on Schedule 12 of the Perfection Certificate within sixty (60) days following the Closing Date (or such later date as agreed by the Administrative Agent (acting at the direction of the Lender in its sole discretion)) and; provided, however, that if despite such efforts, Grantors cannot correct these issues within sixty (60) days, they shall remain obligated to continue such efforts until the issues are resolved or it is reasonably determined by the Administrative Agent that it is no longer commercially reasonable to continue such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Other Actions</w:t>
      </w:r>
      <w:r>
        <w:rPr>
          <w:rFonts w:ascii="Times New Roman" w:hAnsi="Times New Roman"/>
          <w:sz w:val="20"/>
        </w:rPr>
        <w:t xml:space="preserve">. In order to further insure the attachment, perfection and priority of, and the ability of the Administrative Agent to enforce, the Security Interest, each Grantor agrees, in each case at such Grantor’s own expense, to take the following actions with respect to the following Article 9 Collateral: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Instruments</w:t>
      </w:r>
      <w:r>
        <w:rPr>
          <w:rFonts w:ascii="Times New Roman" w:hAnsi="Times New Roman"/>
          <w:sz w:val="20"/>
        </w:rPr>
        <w:t xml:space="preserve">. If any Grantor shall at any time hold or acquire any Instruments constituting Article 9 Collateral and evidencing an amount in excess of $10,000,000, such Grantor shall forthwith endorse, assign and deliver the same to the Administrative Agent for the benefit of the Secured Parties, accompanied by such instruments of transfer or assignment duly executed in blank as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Investment Property</w:t>
      </w:r>
      <w:r>
        <w:rPr>
          <w:rFonts w:ascii="Times New Roman" w:hAnsi="Times New Roman"/>
          <w:sz w:val="20"/>
        </w:rPr>
        <w:t xml:space="preserve">. Except to the extent otherwise provided in Article II, if any Grantor shall at any time hold or acquire any certificated securities, such Grantor shall forthwith endorse, assign and deliver the same to the Administrative Agent for the benefit of the Secured Parties, accompanied by such instruments of transfer or assignment duly executed in blank as the Administrative Agent may from time to time reasonably request. If any securities now or hereafter acquired by any Grantor are uncertificated and are issued to such Grantor or its nominee directly by the issuer thereof, following the occurrence of an Event of Default such Grantor shall promptly notify the Administrative Agent thereof and, at the Administrative Agent’s reasonable request, pursuant to an agreement in form and substance reasonably satisfactory to the Administrative Agent (acting at the direction of the Lender), either (i) cause the issuer to agree to comply with instructions from the Administrative Agent as to such securities, without further consent of any Grantor or such nominee, or (ii) arrange for the Administrative Agent to become the registered owner of such securities. If any securities, whether certificated or uncertificated, or other investment property are held by any Grantor or its nominee through a securities intermediary or commodity intermediary, following the occurrence of an Event of Default, such Grantor shall immediately notify the Administrative Agent thereof and at the Administrative Agent’s request and option, pursuant to an agreement in form and substance reasonably satisfactory to the Administrative Agent (acting at the direction of the Lender) shall either (i) cause such securities intermediary or (as the case may be) commodity intermediary to agree to comply with entitlement orders or other instructions from the Administrative Agent to such securities intermediary as to such security entitlements, or (as the case may be) to apply any value distributed on account of any commodity contract as directed by the Administrative Agent to such commodity intermediary, in each case without further consent of any Grantor or such nominee, or (ii) in the case of financial assets or other Investment Property held through a securities intermediary, arrange for the Administrative Agent to become the entitlement holder with respect to such Investment Property, with the Grantor being permitted, only with the consent of the Administrative Agent, to exercise rights to withdraw or otherwise deal with such Investment Property. The Administrative Agent agrees with each of the Grantors that the Administrative Agent shall not give any such entitlement orders or instructions or directions to any such issuer, securities intermediary or commodity intermediary, and shall not withhold its consent to the exercise of any withdrawal or dealing rights by any Grantor, unless an Event of Default has occurred and is continuing. The provisions of this paragraph shall not apply to any financial assets credited to a securities account for which the Administrative Agent is the securities intermediary.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Remedies upon Default</w:t>
      </w:r>
      <w:r>
        <w:rPr>
          <w:rFonts w:ascii="Times New Roman" w:hAnsi="Times New Roman"/>
          <w:sz w:val="20"/>
        </w:rPr>
        <w:t xml:space="preserve">. Upon the occurrence and during the continuance of an Event of Default, it is agreed that the Administrative Agent shall have the right to exercise any and all rights afforded to a secured party with respect to the Secured Obligations under the Uniform Commercial Code or other applicable law and also may (i) require each Grantor to, and each Grantor agrees that it will at its expense and upon request of the Administrative Agent forthwith, assemble all or part of the Collateral as directed by the Administrative Agent and make it available to the Administrative Agent at a place and time to be designated by the Administrative Agent that is reasonably convenient to both parties; (ii) occupy any premises owned or, to the extent lawful and permitted, leased by any of the Grantors where the Collateral or any part thereof is assembled or located for a reasonable period in order to effectuate its rights and remedies hereunder or under law, without obligation to such Grantor in respect of such occupation; </w:t>
      </w:r>
      <w:r>
        <w:rPr>
          <w:rFonts w:ascii="Times New Roman" w:hAnsi="Times New Roman"/>
          <w:i/>
          <w:sz w:val="20"/>
        </w:rPr>
        <w:t>provided</w:t>
      </w:r>
      <w:r>
        <w:rPr>
          <w:rFonts w:ascii="Times New Roman" w:hAnsi="Times New Roman"/>
          <w:sz w:val="20"/>
        </w:rPr>
        <w:t xml:space="preserve"> that the Administrative Agent shall provide the applicable Grantor with notice thereof prior to or promptly after such occupancy; (iii) declare the entire right, title, and interest of such Grantor in each of the Patents, Trademarks, domain names and Copyrights included in the Article 9 Collateral vested in the Administrative Agent for the benefit of the Secured Parties (in which event such right, title, and interest shall immediately vest in the Administrative Agent for the benefit of the Secured Parties, and the Administrative Agent shall be entitled to exercise the power of attorney referred to below in Section 4.03 hereof to execute, cause to be acknowledged and notarized and to record said absolute assignment with the applicable agency); (iv) exercise any and all rights and remedies of any of the Grantors under or in connection with the Collateral, or otherwise in respect of the Collateral; </w:t>
      </w:r>
      <w:r>
        <w:rPr>
          <w:rFonts w:ascii="Times New Roman" w:hAnsi="Times New Roman"/>
          <w:i/>
          <w:sz w:val="20"/>
        </w:rPr>
        <w:t>provided</w:t>
      </w:r>
      <w:r>
        <w:rPr>
          <w:rFonts w:ascii="Times New Roman" w:hAnsi="Times New Roman"/>
          <w:sz w:val="20"/>
        </w:rPr>
        <w:t xml:space="preserve"> that the Administrative Agent shall provide the applicable Grantor with notice thereof prior to or promptly after such exercise; and (v) subject to the mandatory requirements of applicable law and the notice requirements described below, sell or otherwise dispose of all or any part of the Collateral securing the Secured Obligations at a public or private sale or at any broker’s board or on any securities exchange, for cash, upon credit or for future delivery as the Administrative Agent shall deem appropriate. The Administrative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Administrative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 Upon the occurrence and during the continuance of an Event of Default, the Grantors agree to execute such further documents as the Administrative Agent may reasonably request to transfer ownership of the Patents, Trademarks, domain names and Copyrights included in the Article 9 Collateral to the Administrative Agent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give the applicable Grantors 10 days’ written notice (which each Grantor agrees is reasonable notice within the meaning of Section 9-611 of the New York UCC or its equivalent in other jurisdictions) of the Administrative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Administrative Agent may fix and state in the notice (if any) of such sale. At any such sale, the Collateral, or portion thereof, to be sold may be sold in one lot as an entirety or in separate parcels, as the Administrative Agent may (in its sole and absolute discretion) determine. The Administrative Agent shall not be obligated to make any sale of any Collateral if it shall determine not to do so, regardless of the fact that notice of sale of such Collateral shall have been given. The Administrative Agent may, without notice or publication, adjourn any public or private sale or cause the same to be adjourned from time to time by announcement at the time and place fixed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sale, and such sale may, without further notice, be made at the time and place to which the same was so adjourned. In case any sale of all or any part of the Collateral is made on credit or for future delivery, the Collateral so sold may be retained by the Administrative Agent until the sale price is paid by the purchaser or purchasers thereof, but the Administrative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Administrative Agent shall be free to carry out such sale pursuant to such agreement and no Grantor shall be entitled to the return of the Collateral or any portion thereof subject thereto, notwithstanding the fact that after the Administrative Agent shall have entered into such an agreement all Events of Default shall have been remedied and the Secured Obligations paid in full. As an alternative to exercising the power of sale herein conferred upon it, the Administrative Agent may proceed by a suit or suits at law or in equity to foreclose this Agreement and to sell the Collateral or any portion thereof pursuant to a judgment or decree of a court or courts having competent jurisdiction or pursuant to a proceeding by a court appointed receiver. Any sale pursuant to the provisions of this Section 4.01 shall be deemed to conform to the commercially reasonable standards as provided in Section 9-610(b) of the New York UCC or its equivalent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Each Grantor irrevocably makes, constitutes and appoints the Administrative Agent (and all officers, employees or agents designated by the Administrative Agent) as such Grantor’s true and lawful agent (and attorney-in-fact) during the continuance of an Event of Default and after notice to the Borrower of its intent to exercise such rights, for the purpose of (i) making, settling and adjusting claims in respect of Article 9 Collateral under policies of insurance, endorsing the name of such Grantor on any check, draft, instrument or other item of payment for the proceeds of such policies of insurance, (ii) making all determinations and decisions with respect thereto and (iii) obtaining or maintaining the policies of insurance required by Section 6.07 of the Credit Agreement or paying any premium in whole or in part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Application of Proceeds</w:t>
      </w:r>
      <w:r>
        <w:rPr>
          <w:rFonts w:ascii="Times New Roman" w:hAnsi="Times New Roman"/>
          <w:sz w:val="20"/>
        </w:rPr>
        <w:t xml:space="preserve">. The Administrative Agent shall apply the proceeds of any collection or sale of Collateral, including any Collateral consisting of cash, in accordance with Section 6.10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shall have absolute discretion as to the time of application of any such proceeds, moneys or balances in accordance with this Agreement and the Credit Agreement. Upon any sale of Collateral by the Administrative Agent (including pursuant to a power of sale granted by statute or under a judicial proceeding), the receipt of the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making the determinations and allocations required by this Section 4.02, the Administrative Agent may conclusively rely upon information supplied by the Administrative Agent as to the amounts of unpaid principal and interest and other amounts outstanding with respect to the Secured Obligations, and the Administrative Agent shall have no liability to any of the Secured Parties for actions taken in reliance on such information, </w:t>
      </w:r>
      <w:r>
        <w:rPr>
          <w:rFonts w:ascii="Times New Roman" w:hAnsi="Times New Roman"/>
          <w:i/>
          <w:sz w:val="20"/>
        </w:rPr>
        <w:t>provided</w:t>
      </w:r>
      <w:r>
        <w:rPr>
          <w:rFonts w:ascii="Times New Roman" w:hAnsi="Times New Roman"/>
          <w:sz w:val="20"/>
        </w:rPr>
        <w:t xml:space="preserve"> that nothing in this sentence shall prevent any Grantor from contesting any amounts claimed by any Secured Party in any information so supplied. All distributions made by the Administrative Agent pursuant to this Section 4.02 shall be (subject to any decree of any court of competent jurisdiction) final (absent manifest error), and the Administrative Agent shall have no duty to inquire as to the application by the Administrative Agent of any amounts distributed to it. It is understood and agreed that the Grantors shall remain jointly and severally liable to the extent of any deficiency between the amount of the proceeds of the Collateral and the aggregate amount of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Grant of License to Use Intellectual Property; Power of Attorney</w:t>
      </w:r>
      <w:r>
        <w:rPr>
          <w:rFonts w:ascii="Times New Roman" w:hAnsi="Times New Roman"/>
          <w:sz w:val="20"/>
        </w:rPr>
        <w:t xml:space="preserve">. For the exclusive purpose of enabling the Administrative Agent to exercise rights and remedies under this Agreement at such time as the Administrative Agent shall be lawfully entitled to exercise such rights and remedies, each Grantor shall, upon prior written request by the Administrative Agent upon the occurrence of, or at any time during the continuance of, an Event of Default, grant to the Administrative Agent a non-exclusive, irrevocable, royalty-free, limited license (until the termination or cure of the Event of Default) to use, license or sublicense any of the Article 9 Collateral consisting of Intellectual Property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Section 4.03 shall require Grantors to grant any license that is prohibited by any rule of law, statute or regulation, or is prohibited by, or constitutes a breach or default under or results in the termination of any contract, license, agreement, instrument or other document evidencing, giving rise to or theretofore granted, to the extent permitted by the Credit Agreement, with respect to such property or otherwise unreasonably prejudices the value thereof to the relevant Grantor;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 such licenses to be granted hereunder with respect to Trademarks shall be subject to the maintenance of quality standards with respect to the goods and services on which such Trademarks are used sufficient to preserve the validity of such Trademarks, and (b) such licenses to be granted hereunder with respect to trade secrets shall be subject to the Administrative Agent taking reasonable steps to maintain such trade secrets under applicable law and to preserve the secrecy thereof. For the avoidance of doubt, the use of such license by the Administrative Agent may be exercised, at the option of the Administrative Agent, only during the continuation of an Event of Default. Furthermore, each Grantor hereby grants to the Administrative Agent an absolute power of attorney to sign, upon the occurrence and during the continuance of any Event of Default, any document which may be required by the USPTO or the USCO in order to effect an absolute assignment of all right, title and interest in each Patent, Trademark or Copyright included in the Article 9 Collateral, and to record the same.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Indemnity, Subrogation and Subordination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Indemnity</w:t>
      </w:r>
      <w:r>
        <w:rPr>
          <w:rFonts w:ascii="Times New Roman" w:hAnsi="Times New Roman"/>
          <w:sz w:val="20"/>
        </w:rPr>
        <w:t xml:space="preserve">. In addition to all such rights of indemnity and subrogation as the Grantors may have under applicable law (but subject to Section 5.03), the Borrower agrees that, in the event any assets of any Grantor shall be sold pursuant to this Agreement or any other Collateral Document to satisfy in whole or in part a Secured Obligation owed to any Secured Party, the Borrower shall indemnify such Grantor in an amount equal to the greater of the book value or the fair market value of the assets so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Contribution and Subrogation</w:t>
      </w:r>
      <w:r>
        <w:rPr>
          <w:rFonts w:ascii="Times New Roman" w:hAnsi="Times New Roman"/>
          <w:sz w:val="20"/>
        </w:rPr>
        <w:t>. Each Grantor (a “</w:t>
      </w:r>
      <w:r>
        <w:rPr>
          <w:rFonts w:ascii="Times New Roman" w:hAnsi="Times New Roman"/>
          <w:b/>
          <w:sz w:val="20"/>
        </w:rPr>
        <w:t>Contributing Party</w:t>
      </w:r>
      <w:r>
        <w:rPr>
          <w:rFonts w:ascii="Times New Roman" w:hAnsi="Times New Roman"/>
          <w:sz w:val="20"/>
        </w:rPr>
        <w:t>”) agrees (subject to Section 5.03) that, in the event assets of any other Grantor shall be sold pursuant to any Collateral Document to satisfy any Secured Obligation owed to any Secured Party, and such other Grantor (the “</w:t>
      </w:r>
      <w:r>
        <w:rPr>
          <w:rFonts w:ascii="Times New Roman" w:hAnsi="Times New Roman"/>
          <w:b/>
          <w:sz w:val="20"/>
        </w:rPr>
        <w:t>Claiming Party</w:t>
      </w:r>
      <w:r>
        <w:rPr>
          <w:rFonts w:ascii="Times New Roman" w:hAnsi="Times New Roman"/>
          <w:sz w:val="20"/>
        </w:rPr>
        <w:t xml:space="preserve">”) shall not have been fully indemnified by the Borrower as provided in Section 5.01, the Contributing Party shall indemnify the Claiming Party in an amount equal to the greater of the book value or the fair market value of such assets, in each case multiplied by a fraction of which the numerator shall be the net worth of the Contributing Party on the date hereof and the denominator shall be the aggregate net worth of all the Contributing Parties together with the net worth of the Claiming Party on the date hereof (or, in the case of any Grantor becoming a party hereto pursuant to Section 6.15, the date of the Security Agreement Supplement hereto executed and delivered by such Grantor). Any Contributing Party making any payment to a Claiming Party pursuant to this Section 5.02 shall be subrogated to the rights of such Claiming Party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Subordination</w:t>
      </w:r>
      <w:r>
        <w:rPr>
          <w:rFonts w:ascii="Times New Roman" w:hAnsi="Times New Roman"/>
          <w:sz w:val="20"/>
        </w:rPr>
        <w:t xml:space="preserve">. Notwithstanding any provision of this Agreement to the contrary, all rights of the Grantors under Sections 5.01 and 5.02 and all other rights of indemnity, contribution or subrogation under applicable law or otherwise shall be fully subordinated to the indefeasible payment in full in cash of the Secured Obligations, </w:t>
      </w:r>
      <w:r>
        <w:rPr>
          <w:rFonts w:ascii="Times New Roman" w:hAnsi="Times New Roman"/>
          <w:i/>
          <w:sz w:val="20"/>
        </w:rPr>
        <w:t>provided</w:t>
      </w:r>
      <w:r>
        <w:rPr>
          <w:rFonts w:ascii="Times New Roman" w:hAnsi="Times New Roman"/>
          <w:sz w:val="20"/>
        </w:rPr>
        <w:t xml:space="preserve"> that if any amount shall be paid to such Grantor on account of such subrogation rights at any time prior to the irrevocable payment in full in cash of all the Secured Obligations, such amount shall be held in trust for the benefit of the Secured Parties and shall forthwith be paid to the Administrative Agent to be credited and applied against the Secured Obligations, whether matured or unmatured, in accordance with Section 9.03 of the Credit Agreement. No failure on the part of the Borrower or any Grantor to make the payments required by Sections 5.01 and 5.02 (or any other payments required under applicable law or otherwise) shall in any respect limit the obligations and liabilities of any Grantor with respect to its obligations hereunder, and each Grantor shall remain liable for the full amount of the obligations of such Grantor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Notices</w:t>
      </w:r>
      <w:r>
        <w:rPr>
          <w:rFonts w:ascii="Times New Roman" w:hAnsi="Times New Roman"/>
          <w:sz w:val="20"/>
        </w:rPr>
        <w:t xml:space="preserve">. All communications and notices hereunder shall (except as otherwise expressly permitted herein) be in writing and given as provided in Section 13.01 of the Credit Agreement. All communications and notices hereunder to any Grantor shall be given to it in care of the Borrower as provided in Section 13.01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Waivers; Amendment</w:t>
      </w:r>
      <w:r>
        <w:rPr>
          <w:rFonts w:ascii="Times New Roman" w:hAnsi="Times New Roman"/>
          <w:sz w:val="20"/>
        </w:rPr>
        <w:t xml:space="preserve">.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 hereunder and under the other Loan Documents are cumulative and are not exclusive of any rights or remedies that they would otherwise have. No waiver of any provision of this Agreement or consent to any departure by any Grantor therefrom shall in any event be effective unless the same shall be permitted by paragraph (b) of this Section 6.02,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may have had notice or knowledge of such Default at the time. No notice or demand on any Grantor in any case shall entitle any Grantor to any other or further notice or demand in similar or other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this Agreement nor any provision hereof may be waived, amended or modified except pursuant to an agreement or agreements in writing entered into by the Administrative Agent and the Grantor or Grantors with respect to which such waiver, amendment or modification is to apply, subject to any consent required in accordance with Section 9.02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Administrative Agent’s Fees and Expenses</w:t>
      </w:r>
      <w:r>
        <w:rPr>
          <w:rFonts w:ascii="Times New Roman" w:hAnsi="Times New Roman"/>
          <w:sz w:val="20"/>
        </w:rPr>
        <w:t xml:space="preserve">. (a) The parties hereto agree that the Administrative Agent shall be entitled to reimbursement of its expenses incurred hereunder as provided in Section 13.10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limitation of its indemnification obligations under the other Loan Documents, the Borrower agrees to indemnify the Administrative Agent and the other Indemnitees (as defined in Section 13.12 of the Credit Agreement)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the execution, delivery or performance of this Agreement or any claim, litigation, investigation or proceeding relating to any of the foregoing agreements or instruments contemplated hereby, whether or not any Indemnitee is a party thereto; </w:t>
      </w:r>
      <w:r>
        <w:rPr>
          <w:rFonts w:ascii="Times New Roman" w:hAnsi="Times New Roman"/>
          <w:i/>
          <w:sz w:val="20"/>
        </w:rPr>
        <w:t>provided</w:t>
      </w:r>
      <w:r>
        <w:rPr>
          <w:rFonts w:ascii="Times New Roman" w:hAnsi="Times New Roman"/>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wilful misconduct of such Indemnitee or Related Indemnified Person of such Indemnitee. </w:t>
      </w:r>
    </w:p>
    <w:p>
      <w:pPr>
        <w:pStyle w:val="TextBody"/>
        <w:bidi w:val="0"/>
        <w:spacing w:before="240" w:after="0"/>
        <w:jc w:val="left"/>
        <w:rPr>
          <w:rFonts w:ascii="Times New Roman" w:hAnsi="Times New Roman"/>
          <w:sz w:val="20"/>
        </w:rPr>
      </w:pPr>
      <w:r>
        <w:rPr>
          <w:rFonts w:ascii="Times New Roman" w:hAnsi="Times New Roman"/>
          <w:sz w:val="20"/>
        </w:rPr>
        <w:t xml:space="preserve">(c) Any such amounts payable as provided hereunder shall be additional Secured Obligations secured hereby and by the other Security Documents. The provisions of this Section 6.03 shall remain operative and in full force and effect regardless of the termination of this Agreement or any other Loan Document, the consummation of the transactions contemplated hereby, the repayment of any of the Secured Obligations, the invalidity or unenforceability of any term or provision of this Agreement or any other Loan Document, or any investigation made by or on behalf of the Administrative Agent or any other Secured Party. All amounts due under this Section 6.03 shall be payable within 10 days of written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Successors and Assigns</w:t>
      </w:r>
      <w:r>
        <w:rPr>
          <w:rFonts w:ascii="Times New Roman" w:hAnsi="Times New Roman"/>
          <w:sz w:val="20"/>
        </w:rPr>
        <w:t xml:space="preserve">. Whenever in this Agreement any of the parties hereto is referred to, such reference shall be deemed to include the permitted successors and assigns of such party; and all covenants, promises and agreements by or on behalf of any Grantor or the Administrative Agent that are contained in this Agreement shall bind and inure to the benefit of their respective successors and assigns, to the extent permitted under Section 13.09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Survival of Agreement</w:t>
      </w:r>
      <w:r>
        <w:rPr>
          <w:rFonts w:ascii="Times New Roman" w:hAnsi="Times New Roman"/>
          <w:sz w:val="20"/>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Secured Obligation hereunder shall remain unpaid or unsatisfied.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Counterparts; Effectiveness; Successors and Assigns; Several Agreement</w:t>
      </w:r>
      <w:r>
        <w:rPr>
          <w:rFonts w:ascii="Times New Roman" w:hAnsi="Times New Roman"/>
          <w:sz w:val="20"/>
        </w:rPr>
        <w:t xml:space="preserve">. This Agreement and each other Loan Document may be executed in one or more counterparts, each of which shall be deemed an original, but all of which together shall constitute one and the same instrument. Delivery by facsimile transmission or other electronic communication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facsimile transmission or other electronic communication be confirmed by a manually signed original thereof; </w:t>
      </w:r>
      <w:r>
        <w:rPr>
          <w:rFonts w:ascii="Times New Roman" w:hAnsi="Times New Roman"/>
          <w:i/>
          <w:sz w:val="20"/>
        </w:rPr>
        <w:t>provided</w:t>
      </w:r>
      <w:r>
        <w:rPr>
          <w:rFonts w:ascii="Times New Roman" w:hAnsi="Times New Roman"/>
          <w:sz w:val="20"/>
        </w:rPr>
        <w:t xml:space="preserve"> that the failure to request or deliver the same shall not limit the effectiveness of any document or signature delivered by facsimile transmission or other electronic communication. This Agreement shall become effective as to any Grantor when a counterpart hereof executed on behalf of such Grantor shall have been delivered to the Administrative Agent and a counterpart hereof shall have been executed on behalf of the Administrative Agent, and thereafter shall be binding upon such Grantor and the Administrative Agent and their respective successors and assigns permitted thereby, and shall inure to the benefit of such Grantor, the Administrative Agent and the other Secured Parties and their respective successors and assigns permitted thereby, except that no Grantor shall have the right to assign or transfer its rights or obligations hereunder or any interest herein or in the Collateral (and any such assignment or transfer shall be void) except as expressly contemplated by this Agreement or the other Loan Documents.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Severability</w:t>
      </w:r>
      <w:r>
        <w:rPr>
          <w:rFonts w:ascii="Times New Roman" w:hAnsi="Times New Roman"/>
          <w:sz w:val="20"/>
        </w:rPr>
        <w:t xml:space="preserve">.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Right of Set-Off</w:t>
      </w:r>
      <w:r>
        <w:rPr>
          <w:rFonts w:ascii="Times New Roman" w:hAnsi="Times New Roman"/>
          <w:sz w:val="20"/>
        </w:rPr>
        <w:t xml:space="preserve">. In addition to any rights and remedies of the Lender provided by Law, upon the occurrence and during the continuance of any Event of Default, each Lender and its Affiliates is authorized at any time and from time to time, without prior notice to any Grantor, any such notice being waived by the Borrower (on its own behalf and on behalf of each Grantor and its Subsidiaries) to the fullest extent permitted by applicable Law, to set off and apply any and all deposits (general or special, time or demand, provisional or final) at any time held by, and other Indebtedness at any time owing by, such Lender and its Affiliates, as the case may be, to or for the credit or the account of the respective Loan Parties and their Subsidiaries against any and all Secured Obligations owing to such Lender and its Affiliates hereunder or under any other Loan Document, now or hereafter existing, irrespective of whether or not such Agent or such Lender or Affiliate shall have made demand under this Agreement or any other Loan Document and although such Secured Obligations may be contingent or unmatured or denominated in a currency different from that of the applicable deposit or Indebtedness. Notwithstanding anything to the contrary contained herein, no Lender or its Affiliates shall have a right to set off and apply any deposits held or other Indebtedness owing by such Lender or its Affiliates, as the case may be, to or for the credit or the account of any Subsidiary of a Loan Party which is not a “United States person” within the meaning of Section 7701(a)(30) of the Code unless such Subsidiary is not a direct or indirect subsidiary of Holdings. Each Lender agrees promptly to notify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and the Administrative Agent after any such set off and application made by such Lender, as the case may be; </w:t>
      </w:r>
      <w:r>
        <w:rPr>
          <w:rFonts w:ascii="Times New Roman" w:hAnsi="Times New Roman"/>
          <w:i/>
          <w:sz w:val="20"/>
        </w:rPr>
        <w:t>provided</w:t>
      </w:r>
      <w:r>
        <w:rPr>
          <w:rFonts w:ascii="Times New Roman" w:hAnsi="Times New Roman"/>
          <w:sz w:val="20"/>
        </w:rPr>
        <w:t xml:space="preserve">, that the failure to give such notice shall not affect the validity of such setoff and application. The rights of the Administrative Agent, each Lender under this Section 6.08 are in addition to other rights and remedies (including other rights of setoff) that the Administrative Agent, such Lender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Governing Law; Jurisdiction; Consent to Service of Process</w:t>
      </w:r>
      <w:r>
        <w:rPr>
          <w:rFonts w:ascii="Times New Roman" w:hAnsi="Times New Roman"/>
          <w:sz w:val="20"/>
        </w:rPr>
        <w:t xml:space="preserve">. (a) THIS AGREEMENT AND EACH OTHER LOAN DOCUMENT SHALL BE GOVERNED BY, AND CONSTRUED IN ACCORDANCE WITH, THE LAW OF THE STATE OF NEW YORK (EXCEPT AS OTHERWISE EXPRESSLY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(b)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MAY BE BROUGHT IN THE COURTS OF THE STATE OF NEW YORK SITTING IN NEW YORK CITY OR OF THE UNITED STATES FOR THE SOUTHERN DISTRICT OF SUCH STATE, AND BY EXECUTION AND DELIVERY OF THIS AGREEMENT, EACH OF THE BORROWER, HOLDINGS, EACH GRANTOR AND THE ADMINISTRATIVE AGENT CONSENTS, FOR ITSELF AND IN RESPECT OF ITS PROPERTY, TO THE EXCLUSIVE JURISDICTION OF THOSE COURTS. EACH OF THE BORROWER, HOLDINGS, EACH GRANTOR AND THE ADMINISTRATIVE AGENT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to this Agreement irrevocably consents to service of process in the manner provided for notices in Section 6.01. Nothing in this Agreement or any other Loan Document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WAIVER OF RIGHT TO TRIAL BY JURY</w:t>
      </w:r>
      <w:r>
        <w:rPr>
          <w:rFonts w:ascii="Times New Roman" w:hAnsi="Times New Roman"/>
          <w:sz w:val="20"/>
        </w:rPr>
        <w:t xml:space="preserve">.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6.10 WITH ANY COURT AS WRITTEN EVIDENCE OF THE CONSENT OF THE SIGNATORIES HERETO TO THE WAIVER OF THEIR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are not to affect the construction of, or to be taken into consideration in interpreting,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Security Interest Absolute</w:t>
      </w:r>
      <w:r>
        <w:rPr>
          <w:rFonts w:ascii="Times New Roman" w:hAnsi="Times New Roman"/>
          <w:sz w:val="20"/>
        </w:rPr>
        <w:t xml:space="preserve">. All rights of the Administrative Agent hereunder, the Security Interest, the grant of a security interest in the Collateral and all obligations of each Grantor hereunder shall be absolute and unconditional irrespective of (a) any lack of validity or enforceability of the Credit Agreement, any other Loan Document,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Credit Agreement, any other Loan Document or any other agreement or instrument, (c) any exchange, release or non-perfection of any Lien on other collateral, or any release or amendment or waiver of or consent under or departure from any guarantee, securing or guaranteeing all or any of the Secured Obligations or (d) any other circumstance that might otherwise constitute a defense available to, or a discharge of, any Grantor in respect of the Secured Obligations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Collateral Sharing</w:t>
      </w:r>
      <w:r>
        <w:rPr>
          <w:rFonts w:ascii="Times New Roman" w:hAnsi="Times New Roman"/>
          <w:sz w:val="20"/>
        </w:rPr>
        <w:t xml:space="preserve">. Pursuant to Section 4.12 of the Credit Agreement, the Administrative Agent acknowledges and agrees that it shall (to the extent provided in Section 4.12 of the Credit Agreement) execute and deliver any collateral sharing agreements with one or more of the Grantors and other secured parties that may extend indebtedness thereunder to such Grantor or Grantors. Notwithstanding anything herein to the contrary, the lien and security interest granted to the Administrative Agent, for the benefit of the Secured Parties, pursuant to this Agreement and the exercise of any right or remedy by the Administrative Agent and the other Secured Parties hereunder shall be subject to the provisions of any collateral sharing agreement executed in furtherance of Section 4.12 of the Credit Agreement. In the event of any conflict or inconsistency between a provision of such collateral sharing agreement and this Agreement relating to the foregoing in this Section 6.13, the provisions of such collateral sharing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Termination or Release</w:t>
      </w:r>
      <w:r>
        <w:rPr>
          <w:rFonts w:ascii="Times New Roman" w:hAnsi="Times New Roman"/>
          <w:sz w:val="20"/>
        </w:rPr>
        <w:t xml:space="preserve">. (a) This Agreement, the Security Interest and all other security interests granted hereby shall terminate with respect to all Secured Obligations and any Liens arising therefrom shall be automatically released when all the outstanding Secured Obligations have been indefeasibly paid in full and the Lender has no further commitment to lend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A Grantor shall automatically be released from its obligations hereunder and the Security Interest in the Collateral of such Grantor shall be automatically released upon the consummation of any transaction permitted by the Credit Agreement as a result of which such Grantor ceases to be a Subsidiary or is designated as an Unrestricted Subsidiary of Borrower. </w:t>
      </w:r>
    </w:p>
    <w:p>
      <w:pPr>
        <w:pStyle w:val="TextBody"/>
        <w:bidi w:val="0"/>
        <w:spacing w:before="240" w:after="0"/>
        <w:jc w:val="left"/>
        <w:rPr>
          <w:rFonts w:ascii="Times New Roman" w:hAnsi="Times New Roman"/>
          <w:sz w:val="20"/>
        </w:rPr>
      </w:pPr>
      <w:r>
        <w:rPr>
          <w:rFonts w:ascii="Times New Roman" w:hAnsi="Times New Roman"/>
          <w:sz w:val="20"/>
        </w:rPr>
        <w:t xml:space="preserve">(c) Upon any disposition by any Grantor of any Collateral that is not prohibited by the Credit Agreement or upon the effectiveness of any written consent to the release of the security interest granted hereby in any Collateral pursuant to Section 9.02 of the Credit Agreement, the security interest of such Grantor in such Collateral shall be automatically released. </w:t>
      </w:r>
    </w:p>
    <w:p>
      <w:pPr>
        <w:pStyle w:val="TextBody"/>
        <w:bidi w:val="0"/>
        <w:spacing w:before="240" w:after="0"/>
        <w:jc w:val="left"/>
        <w:rPr>
          <w:rFonts w:ascii="Times New Roman" w:hAnsi="Times New Roman"/>
          <w:sz w:val="20"/>
        </w:rPr>
      </w:pPr>
      <w:r>
        <w:rPr>
          <w:rFonts w:ascii="Times New Roman" w:hAnsi="Times New Roman"/>
          <w:sz w:val="20"/>
        </w:rPr>
        <w:t xml:space="preserve">(d) A Grantor (other than Holdings and the Borrower) shall automatically be released from its obligations hereunder and the Security Interest in the Collateral of such Grantor shall be automatically released if such Grantor ceases to be a Restricted Subsidiary pursuant to the terms of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connection with any termination or release pursuant to paragraph (a), (b), (c) or (d) of this Section 6.14, the Administrative Agent shall execute and deliver to any Grantor, at such Grantor’s expense, all documents that such Grantor shall reasonably request to evidence such termination or release. Any execution and delivery of documents pursuant to this Section 6.14 shall be without recourse to or warranty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At any time that the respective Grantor desires that the Administrative Agent take any action described in the immediately preceding paragraph (e), it shall, upon request of the Administrative Agent, deliver to the Administrative Agent an officer’s certificate certifying that the release of the respective Collateral is permitted pursuant to paragraph (a), (b), (c) or (d). The Administrative Agent shall have no liability whatsoever to any Secured Party or any other Person as a result of any release of Collateral in reliance on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Additional Restricted Subsidiaries</w:t>
      </w:r>
      <w:r>
        <w:rPr>
          <w:rFonts w:ascii="Times New Roman" w:hAnsi="Times New Roman"/>
          <w:sz w:val="20"/>
        </w:rPr>
        <w:t xml:space="preserve">. Pursuant to Section 6.11 of the Credit Agreement, certain Restricted Subsidiaries of Borrower that were not in existence, were not Restricted Subsidiaries or were Excluded Subsidiaries on the date of the Credit Agreement are required to enter in this Agreement as Grantors upon becoming Restricted Subsidiaries or upon ceasing to be Excluded Subsidiaries by execution and delivery of a Security Agreement Supplement in the form of Exhibit I hereto by the Administrative Agent and such Restricted Subsidiary. Upon such execution and delivery, such Restricted Subsidiary shall become a Grantor hereunder with the same force and effect as if originally named as a Grantor herein. The execution and delivery of any such instrument shall not require the consent of any other Grantor hereunder. The rights and obligations of each Grantor hereunder shall remain in full force and effect notwithstanding the addition of any new Grantor as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Administrative Agent Appointed Attorney-in-Fact</w:t>
      </w:r>
      <w:r>
        <w:rPr>
          <w:rFonts w:ascii="Times New Roman" w:hAnsi="Times New Roman"/>
          <w:sz w:val="20"/>
        </w:rPr>
        <w:t xml:space="preserve">. Each Grantor hereby appoints the Administrative Agent the attorney-in-fact of such Grantor for the purpose of carrying out the provisions of this Agreement and taking any action and executing any instrument that the Administrative Agent may deem necessary or advisable to accomplish the purposes hereof at any time after and during the continuance of an Event of Default, which appointment is irrevocable (until termination of the Credit Agreement) and coupled with an interest. Without limiting the generality of the foregoing, the Administrative Agent shall have the right, upon the occurrence and during the continuance of an Event of Default and notice by the Administrative Agent to the Borrower of its intent to exercise such rights, with full power of substitution either in the Administrative Agent’s name or in the name of such Grantor (a) to receive, endorse,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to send verifications of Accounts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Administrative Agent; (h) subject to the terms of the Intercreditor Agreement, to make, settle and adjust claims in respect of Article 9 Collateral under policies of insurance, including endorsing the name of any Grantor on any check, draft, instrument or other item of payment for the proceeds of such policies of insurance, making all determinations and decisions with respect thereto and obtaining or maintaining the policies of insurance required by Section 6.07 of the Credit Agreement or paying any premium in whole or in part relating thereto; and (i) to use, sell, assign, transfer, pledge, make any agreement with respect to or otherwise deal with all or any of the Collateral, and to do all other acts and things necessary to carry out the purposes of this Agreement, as fully and completely as though the Administrative Agent were the absolute owner of the Collateral for all purposes; </w:t>
      </w:r>
      <w:r>
        <w:rPr>
          <w:rFonts w:ascii="Times New Roman" w:hAnsi="Times New Roman"/>
          <w:i/>
          <w:sz w:val="20"/>
        </w:rPr>
        <w:t>provided</w:t>
      </w:r>
      <w:r>
        <w:rPr>
          <w:rFonts w:ascii="Times New Roman" w:hAnsi="Times New Roman"/>
          <w:sz w:val="20"/>
        </w:rPr>
        <w:t xml:space="preserve"> that nothing herein contained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construed as requiring or obligating the Administrative Agent to make any commitment or to make any inquiry as to the nature or sufficiency of any payment received by the Administrative Agent, or to present or file any claim or notice, or to take any action with respect to the Collateral or any part thereof or the moneys due or to become due in respect thereof or any property covered thereby. The Administrative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willful misconduct or that of any of their Affiliates, directors, officers, employees, counsel, agents or attorneys-in-fact, in each case as determined by a court of competent jurisdiction in a final and non-appealable judgment. All sums disbursed by the Administrative Agent in connection with this paragraph, including reasonable attorneys’ fees, court costs, expenses and other charges relating thereto, shall be payable, within 10 days of demand, by the Grantors to the Administrative Agent and shall be additional Secured Obligations secured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General Authority of the Administrative Agent</w:t>
      </w:r>
      <w:r>
        <w:rPr>
          <w:rFonts w:ascii="Times New Roman" w:hAnsi="Times New Roman"/>
          <w:sz w:val="20"/>
        </w:rPr>
        <w:t xml:space="preserve">. By acceptance of the benefits of this Agreement and any other Security Documents, each Secured Party (whether or not a signatory hereto) shall be deemed irrevocably (a) to consent to the appointment of the Administrative Agent as its agent hereunder and under such other Security Documents, (b) to confirm that the Administrative Agent shall have the authority to act as the exclusive agent of such Secured Party for the enforcement of any provisions of this Agreement and such other Security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(d) to agree to be bound by the terms of this Agreement and any other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Recourse; Limited Obligations</w:t>
      </w:r>
      <w:r>
        <w:rPr>
          <w:rFonts w:ascii="Times New Roman" w:hAnsi="Times New Roman"/>
          <w:sz w:val="20"/>
        </w:rPr>
        <w:t xml:space="preserve">. This Agreement is made with full recourse to each Grantor and pursuant to and upon all the warranties, representations, covenants and agreements on the part of such Grantor contained herein, in the Loan Documents and otherwise in writing in connection herewith or therewith. It is the desire and intent of each Grantor and the Secured Parties that this Agreement shall be enforced against each Grantor to the fullest extent permissible under the laws applied in each jurisdiction in which enforcement is sought. Notwithstanding anything to the contrary contained herein, and in furtherance of the foregoing, it is noted that the obligations of each Grantor that is a Guarantor have been limited as expressly provided in the Guaranty and are limited hereunder as and to the same extent provided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Intercreditor Agreement</w:t>
      </w:r>
      <w:r>
        <w:rPr>
          <w:rFonts w:ascii="Times New Roman" w:hAnsi="Times New Roman"/>
          <w:sz w:val="20"/>
        </w:rPr>
        <w:t xml:space="preserve">. Notwithstanding anything herein to the contrary, the lien and security interest granted to the Administrative Agent pursuant to this Agreement and the exercise of any right or remedy by the Administrative Agent hereunder are subject to the provisions of the Intercreditor Agreement. In the event of any conflict between the terms of the Intercreditor Agreement and this Agreement, the terms of the Intercreditor Agreement shall govern and control. The Administrative Agent, in its capacity as an Additional Senior Class Debt Representative (under and as defined in the Intercreditor Agreement), and each Lender, by its acceptance hereof, acknowledges and agrees that upon the Additional Senior Class Debt Representative’s entry into the Intercreditor Joinder Agreement, the Additional Senior Class Debt Representative and each Lender will be subject to and bound by the provisions of the Intercreditor Agreement as Additional First-Lien Secured Parties (as defined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Obligations of Grantors</w:t>
      </w:r>
      <w:r>
        <w:rPr>
          <w:rFonts w:ascii="Times New Roman" w:hAnsi="Times New Roman"/>
          <w:sz w:val="20"/>
        </w:rPr>
        <w:t xml:space="preserve">. To the extent that the obligations of any Grantor hereunder shall conflict, or shall be inconsistent, with the obligations of such Grantor under the Intercreditor Agreement, the provisions of the Intercreditor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Delivery of Collateral</w:t>
      </w:r>
      <w:r>
        <w:rPr>
          <w:rFonts w:ascii="Times New Roman" w:hAnsi="Times New Roman"/>
          <w:sz w:val="20"/>
        </w:rPr>
        <w:t xml:space="preserve">. Notwithstanding anything herein to the contrary, prior to the Discharge of Credit Agreement Obligations (as defined in the Intercreditor Agreement), to the extent any Grantor is required hereunder to indorse, assign or deliver Collateral to the Administrative Agent for any purpose and is unable to do so as a result of having previously indorsed, assigned or delivered such Collateral to the Applicable Administrative Agent (as defined in the Intercreditor Agreement) in accordance with the terms of the Intercreditor Agreement, such Grantor’s obligations hereunder with respect to such indorsement, assignment or delivery shall be deemed satisfied by the indorsement, assignment or delivery in favor of or to the Applicable Administrative Agent (as defined in the Intercreditor Agreement), acting as a gratuitous bailee of the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8"/>
        <w:gridCol w:w="92"/>
        <w:gridCol w:w="3462"/>
      </w:tblGrid>
      <w:tr>
        <w:trPr/>
        <w:tc>
          <w:tcPr>
            <w:tcW w:w="52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HOLDINGS CORPORATION,</w:t>
            </w:r>
          </w:p>
          <w:p>
            <w:pPr>
              <w:pStyle w:val="TableContents"/>
              <w:bidi w:val="0"/>
              <w:spacing w:before="0" w:after="20"/>
              <w:jc w:val="left"/>
              <w:rPr>
                <w:rFonts w:ascii="Times New Roman" w:hAnsi="Times New Roman"/>
                <w:sz w:val="20"/>
              </w:rPr>
            </w:pPr>
            <w:r>
              <w:rPr>
                <w:rFonts w:ascii="Times New Roman" w:hAnsi="Times New Roman"/>
                <w:sz w:val="20"/>
              </w:rPr>
              <w:t>as Holdings</w:t>
            </w:r>
          </w:p>
        </w:tc>
      </w:tr>
      <w:tr>
        <w:trPr>
          <w:trHeight w:val="240" w:hRule="atLeast"/>
        </w:trPr>
        <w:tc>
          <w:tcPr>
            <w:tcW w:w="528" w:type="dxa"/>
            <w:tcBorders/>
            <w:vAlign w:val="center"/>
          </w:tcPr>
          <w:p>
            <w:pPr>
              <w:pStyle w:val="TableContents"/>
              <w:bidi w:val="0"/>
              <w:spacing w:before="0" w:after="283"/>
              <w:jc w:val="left"/>
              <w:rPr>
                <w:sz w:val="4"/>
                <w:szCs w:val="4"/>
              </w:rPr>
            </w:pPr>
            <w:r>
              <w:rPr>
                <w:sz w:val="4"/>
                <w:szCs w:val="4"/>
              </w:rPr>
            </w:r>
          </w:p>
        </w:tc>
        <w:tc>
          <w:tcPr>
            <w:tcW w:w="3554" w:type="dxa"/>
            <w:gridSpan w:val="2"/>
            <w:tcBorders/>
            <w:vAlign w:val="center"/>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pBdr>
                <w:bottom w:val="single" w:sz="2" w:space="1" w:color="000000"/>
              </w:pBdr>
              <w:bidi w:val="0"/>
              <w:spacing w:before="0" w:after="20"/>
              <w:jc w:val="left"/>
              <w:rPr/>
            </w:pPr>
            <w:r>
              <w:rPr/>
              <w:t> </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Name:</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GLBL INC.</w:t>
            </w:r>
          </w:p>
          <w:p>
            <w:pPr>
              <w:pStyle w:val="TableContents"/>
              <w:bidi w:val="0"/>
              <w:spacing w:before="0" w:after="20"/>
              <w:jc w:val="left"/>
              <w:rPr>
                <w:rFonts w:ascii="Times New Roman" w:hAnsi="Times New Roman"/>
                <w:sz w:val="20"/>
              </w:rPr>
            </w:pPr>
            <w:r>
              <w:rPr>
                <w:rFonts w:ascii="Times New Roman" w:hAnsi="Times New Roman"/>
                <w:sz w:val="20"/>
              </w:rPr>
              <w:t>as the Borrower,</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3"/>
        <w:gridCol w:w="69"/>
        <w:gridCol w:w="3590"/>
      </w:tblGrid>
      <w:tr>
        <w:trPr/>
        <w:tc>
          <w:tcPr>
            <w:tcW w:w="423"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EACH OF THE LOAN PARTIES LISTED ON ANNEX A HERETO</w:t>
            </w:r>
            <w:r>
              <w:rPr/>
              <w:t>,</w:t>
            </w:r>
          </w:p>
        </w:tc>
      </w:tr>
      <w:tr>
        <w:trPr>
          <w:trHeight w:val="240" w:hRule="atLeast"/>
        </w:trPr>
        <w:tc>
          <w:tcPr>
            <w:tcW w:w="423" w:type="dxa"/>
            <w:tcBorders/>
            <w:vAlign w:val="center"/>
          </w:tcPr>
          <w:p>
            <w:pPr>
              <w:pStyle w:val="TableContents"/>
              <w:bidi w:val="0"/>
              <w:spacing w:before="0" w:after="283"/>
              <w:jc w:val="left"/>
              <w:rPr>
                <w:sz w:val="4"/>
                <w:szCs w:val="4"/>
              </w:rPr>
            </w:pPr>
            <w:r>
              <w:rPr>
                <w:sz w:val="4"/>
                <w:szCs w:val="4"/>
              </w:rPr>
            </w:r>
          </w:p>
        </w:tc>
        <w:tc>
          <w:tcPr>
            <w:tcW w:w="3659" w:type="dxa"/>
            <w:gridSpan w:val="2"/>
            <w:tcBorders/>
            <w:vAlign w:val="center"/>
          </w:tcPr>
          <w:p>
            <w:pPr>
              <w:pStyle w:val="TableContents"/>
              <w:bidi w:val="0"/>
              <w:spacing w:before="0" w:after="283"/>
              <w:jc w:val="left"/>
              <w:rPr>
                <w:sz w:val="4"/>
                <w:szCs w:val="4"/>
              </w:rPr>
            </w:pPr>
            <w:r>
              <w:rPr>
                <w:sz w:val="4"/>
                <w:szCs w:val="4"/>
              </w:rPr>
            </w:r>
          </w:p>
        </w:tc>
      </w:tr>
      <w:tr>
        <w:trPr/>
        <w:tc>
          <w:tcPr>
            <w:tcW w:w="423" w:type="dxa"/>
            <w:tcBorders/>
          </w:tcPr>
          <w:p>
            <w:pPr>
              <w:pStyle w:val="TableContents"/>
              <w:bidi w:val="0"/>
              <w:spacing w:before="0" w:after="283"/>
              <w:jc w:val="left"/>
              <w:rPr/>
            </w:pPr>
            <w:r>
              <w:rPr/>
              <w:t>By:</w:t>
            </w:r>
          </w:p>
        </w:tc>
        <w:tc>
          <w:tcPr>
            <w:tcW w:w="69" w:type="dxa"/>
            <w:tcBorders/>
            <w:vAlign w:val="bottom"/>
          </w:tcPr>
          <w:p>
            <w:pPr>
              <w:pStyle w:val="TableContents"/>
              <w:bidi w:val="0"/>
              <w:spacing w:before="0" w:after="283"/>
              <w:jc w:val="left"/>
              <w:rPr/>
            </w:pPr>
            <w:r>
              <w:rPr/>
              <w:t> </w:t>
            </w:r>
          </w:p>
        </w:tc>
        <w:tc>
          <w:tcPr>
            <w:tcW w:w="3590" w:type="dxa"/>
            <w:tcBorders/>
          </w:tcPr>
          <w:p>
            <w:pPr>
              <w:pStyle w:val="TableContents"/>
              <w:pBdr>
                <w:bottom w:val="single" w:sz="2" w:space="1" w:color="000000"/>
              </w:pBdr>
              <w:bidi w:val="0"/>
              <w:spacing w:before="0" w:after="20"/>
              <w:jc w:val="left"/>
              <w:rPr/>
            </w:pPr>
            <w:r>
              <w:rPr/>
              <w:t> </w:t>
            </w:r>
          </w:p>
        </w:tc>
      </w:tr>
      <w:tr>
        <w:trPr/>
        <w:tc>
          <w:tcPr>
            <w:tcW w:w="423"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Name:</w:t>
            </w:r>
          </w:p>
        </w:tc>
      </w:tr>
      <w:tr>
        <w:trPr/>
        <w:tc>
          <w:tcPr>
            <w:tcW w:w="423"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90"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1"/>
        <w:gridCol w:w="88"/>
        <w:gridCol w:w="3483"/>
      </w:tblGrid>
      <w:tr>
        <w:trPr/>
        <w:tc>
          <w:tcPr>
            <w:tcW w:w="511"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WILMINGTON TRUST, NATIONAL ASSOCIATION</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511" w:type="dxa"/>
            <w:tcBorders/>
            <w:vAlign w:val="center"/>
          </w:tcPr>
          <w:p>
            <w:pPr>
              <w:pStyle w:val="TableContents"/>
              <w:bidi w:val="0"/>
              <w:spacing w:before="0" w:after="283"/>
              <w:jc w:val="left"/>
              <w:rPr>
                <w:sz w:val="4"/>
                <w:szCs w:val="4"/>
              </w:rPr>
            </w:pPr>
            <w:r>
              <w:rPr>
                <w:sz w:val="4"/>
                <w:szCs w:val="4"/>
              </w:rPr>
            </w:r>
          </w:p>
        </w:tc>
        <w:tc>
          <w:tcPr>
            <w:tcW w:w="3571" w:type="dxa"/>
            <w:gridSpan w:val="2"/>
            <w:tcBorders/>
            <w:vAlign w:val="center"/>
          </w:tcPr>
          <w:p>
            <w:pPr>
              <w:pStyle w:val="TableContents"/>
              <w:bidi w:val="0"/>
              <w:spacing w:before="0" w:after="283"/>
              <w:jc w:val="left"/>
              <w:rPr>
                <w:sz w:val="4"/>
                <w:szCs w:val="4"/>
              </w:rPr>
            </w:pPr>
            <w:r>
              <w:rPr>
                <w:sz w:val="4"/>
                <w:szCs w:val="4"/>
              </w:rPr>
            </w:r>
          </w:p>
        </w:tc>
      </w:tr>
      <w:tr>
        <w:trPr/>
        <w:tc>
          <w:tcPr>
            <w:tcW w:w="511" w:type="dxa"/>
            <w:tcBorders/>
          </w:tcPr>
          <w:p>
            <w:pPr>
              <w:pStyle w:val="TableContents"/>
              <w:bidi w:val="0"/>
              <w:spacing w:before="0" w:after="283"/>
              <w:jc w:val="left"/>
              <w:rPr/>
            </w:pPr>
            <w:r>
              <w:rPr/>
              <w:t>By:</w:t>
            </w:r>
          </w:p>
        </w:tc>
        <w:tc>
          <w:tcPr>
            <w:tcW w:w="88" w:type="dxa"/>
            <w:tcBorders/>
            <w:vAlign w:val="bottom"/>
          </w:tcPr>
          <w:p>
            <w:pPr>
              <w:pStyle w:val="TableContents"/>
              <w:bidi w:val="0"/>
              <w:spacing w:before="0" w:after="283"/>
              <w:jc w:val="left"/>
              <w:rPr/>
            </w:pPr>
            <w:r>
              <w:rPr/>
              <w:t> </w:t>
            </w:r>
          </w:p>
        </w:tc>
        <w:tc>
          <w:tcPr>
            <w:tcW w:w="3483" w:type="dxa"/>
            <w:tcBorders/>
          </w:tcPr>
          <w:p>
            <w:pPr>
              <w:pStyle w:val="TableContents"/>
              <w:pBdr>
                <w:bottom w:val="single" w:sz="2" w:space="1" w:color="000000"/>
              </w:pBdr>
              <w:bidi w:val="0"/>
              <w:spacing w:before="0" w:after="20"/>
              <w:jc w:val="left"/>
              <w:rPr/>
            </w:pPr>
            <w:r>
              <w:rPr/>
              <w:t> </w:t>
            </w:r>
          </w:p>
        </w:tc>
      </w:tr>
      <w:tr>
        <w:trPr/>
        <w:tc>
          <w:tcPr>
            <w:tcW w:w="511"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3" w:type="dxa"/>
            <w:tcBorders/>
          </w:tcPr>
          <w:p>
            <w:pPr>
              <w:pStyle w:val="TableContents"/>
              <w:bidi w:val="0"/>
              <w:spacing w:before="0" w:after="283"/>
              <w:jc w:val="left"/>
              <w:rPr/>
            </w:pPr>
            <w:r>
              <w:rPr/>
              <w:t>Name:</w:t>
            </w:r>
          </w:p>
        </w:tc>
      </w:tr>
      <w:tr>
        <w:trPr/>
        <w:tc>
          <w:tcPr>
            <w:tcW w:w="511"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Pledge and Security Agreement (Intercompany)]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that are Loan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
        <w:gridCol w:w="121"/>
        <w:gridCol w:w="9643"/>
      </w:tblGrid>
      <w:tr>
        <w:trPr/>
        <w:tc>
          <w:tcPr>
            <w:tcW w:w="4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643" w:type="dxa"/>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lastminute.com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2.</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 International Newco,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3.</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SabreMark G.P.,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4.</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SabreMark Limited Partnership</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5.</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Common,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6.</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 GDC,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7.</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PRISM TECHNOLOGIES,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8.</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PRISM Group,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9.</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RSI Midco,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10.</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Radixx Solutions International,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11.</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Holdings,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12.</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13.</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Holdings I,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14.</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Pledged Equity </w:t>
      </w:r>
    </w:p>
    <w:p>
      <w:pPr>
        <w:pStyle w:val="TextBody"/>
        <w:bidi w:val="0"/>
        <w:spacing w:before="0" w:after="0"/>
        <w:jc w:val="left"/>
        <w:rPr/>
      </w:pPr>
      <w:r>
        <w:rPr/>
        <w:t> </w:t>
      </w:r>
    </w:p>
    <w:tbl>
      <w:tblPr>
        <w:tblW w:w="12670" w:type="dxa"/>
        <w:jc w:val="center"/>
        <w:tblInd w:w="0" w:type="dxa"/>
        <w:tblLayout w:type="fixed"/>
        <w:tblCellMar>
          <w:top w:w="0" w:type="dxa"/>
          <w:left w:w="0" w:type="dxa"/>
          <w:bottom w:w="0" w:type="dxa"/>
          <w:right w:w="0" w:type="dxa"/>
        </w:tblCellMar>
      </w:tblPr>
      <w:tblGrid>
        <w:gridCol w:w="1520"/>
        <w:gridCol w:w="60"/>
        <w:gridCol w:w="1610"/>
        <w:gridCol w:w="60"/>
        <w:gridCol w:w="1910"/>
        <w:gridCol w:w="60"/>
        <w:gridCol w:w="2405"/>
        <w:gridCol w:w="60"/>
        <w:gridCol w:w="1220"/>
        <w:gridCol w:w="60"/>
        <w:gridCol w:w="830"/>
        <w:gridCol w:w="60"/>
        <w:gridCol w:w="1535"/>
        <w:gridCol w:w="60"/>
        <w:gridCol w:w="122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Issuer</w:t>
            </w:r>
          </w:p>
        </w:tc>
        <w:tc>
          <w:tcPr>
            <w:tcW w:w="60" w:type="dxa"/>
            <w:tcBorders/>
            <w:vAlign w:val="bottom"/>
          </w:tcPr>
          <w:p>
            <w:pPr>
              <w:pStyle w:val="TableContents"/>
              <w:bidi w:val="0"/>
              <w:spacing w:before="0" w:after="283"/>
              <w:jc w:val="left"/>
              <w:rPr/>
            </w:pPr>
            <w:r>
              <w:rPr/>
              <w:t> </w:t>
            </w:r>
          </w:p>
        </w:tc>
        <w:tc>
          <w:tcPr>
            <w:tcW w:w="1610" w:type="dxa"/>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Issued</w:t>
            </w:r>
            <w:r>
              <w:rPr/>
              <w:br/>
            </w:r>
            <w:r>
              <w:rPr>
                <w:b/>
              </w:rPr>
              <w:t>(if not stock)</w:t>
            </w:r>
          </w:p>
        </w:tc>
        <w:tc>
          <w:tcPr>
            <w:tcW w:w="60"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283"/>
              <w:jc w:val="center"/>
              <w:rPr/>
            </w:pPr>
            <w:r>
              <w:rPr>
                <w:b/>
              </w:rPr>
              <w:t>Record</w:t>
            </w:r>
            <w:r>
              <w:rPr/>
              <w:br/>
            </w:r>
            <w:r>
              <w:rPr>
                <w:b/>
              </w:rPr>
              <w:t>and</w:t>
            </w:r>
            <w:r>
              <w:rPr/>
              <w:br/>
            </w:r>
            <w:r>
              <w:rPr>
                <w:b/>
              </w:rPr>
              <w:t>Beneficial</w:t>
            </w:r>
            <w:r>
              <w:rPr/>
              <w:br/>
            </w:r>
            <w:r>
              <w:rPr>
                <w:b/>
              </w:rPr>
              <w:t>Owner</w:t>
            </w:r>
          </w:p>
        </w:tc>
        <w:tc>
          <w:tcPr>
            <w:tcW w:w="60" w:type="dxa"/>
            <w:tcBorders/>
            <w:vAlign w:val="bottom"/>
          </w:tcPr>
          <w:p>
            <w:pPr>
              <w:pStyle w:val="TableContents"/>
              <w:bidi w:val="0"/>
              <w:spacing w:before="0" w:after="283"/>
              <w:jc w:val="left"/>
              <w:rPr/>
            </w:pPr>
            <w:r>
              <w:rPr/>
              <w:t> </w:t>
            </w:r>
          </w:p>
        </w:tc>
        <w:tc>
          <w:tcPr>
            <w:tcW w:w="2405" w:type="dxa"/>
            <w:tcBorders>
              <w:bottom w:val="single" w:sz="8" w:space="0" w:color="000000"/>
            </w:tcBorders>
            <w:tcMar>
              <w:bottom w:w="28" w:type="dxa"/>
            </w:tcMar>
            <w:vAlign w:val="bottom"/>
          </w:tcPr>
          <w:p>
            <w:pPr>
              <w:pStyle w:val="TableContents"/>
              <w:bidi w:val="0"/>
              <w:spacing w:before="0" w:after="283"/>
              <w:jc w:val="center"/>
              <w:rPr>
                <w:b/>
              </w:rPr>
            </w:pPr>
            <w:r>
              <w:rPr>
                <w:b/>
              </w:rPr>
              <w:t>Total Shares Outstanding</w:t>
            </w:r>
          </w:p>
        </w:tc>
        <w:tc>
          <w:tcPr>
            <w:tcW w:w="6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83"/>
              <w:jc w:val="center"/>
              <w:rPr>
                <w:b/>
              </w:rPr>
            </w:pPr>
            <w:r>
              <w:rPr>
                <w:b/>
              </w:rPr>
              <w:t>Voting or</w:t>
              <w:br/>
              <w:t>Non-Voting</w:t>
              <w:br/>
              <w:t>Interests?</w:t>
            </w:r>
          </w:p>
        </w:tc>
        <w:tc>
          <w:tcPr>
            <w:tcW w:w="60" w:type="dxa"/>
            <w:tcBorders/>
            <w:vAlign w:val="bottom"/>
          </w:tcPr>
          <w:p>
            <w:pPr>
              <w:pStyle w:val="TableContents"/>
              <w:bidi w:val="0"/>
              <w:spacing w:before="0" w:after="283"/>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center"/>
              <w:rPr>
                <w:b/>
              </w:rPr>
            </w:pPr>
            <w:r>
              <w:rPr>
                <w:b/>
              </w:rPr>
              <w:t>Total</w:t>
              <w:br/>
              <w:t>Shares</w:t>
              <w:br/>
              <w:t>Pledged</w:t>
            </w:r>
          </w:p>
        </w:tc>
        <w:tc>
          <w:tcPr>
            <w:tcW w:w="60" w:type="dxa"/>
            <w:tcBorders/>
            <w:vAlign w:val="bottom"/>
          </w:tcPr>
          <w:p>
            <w:pPr>
              <w:pStyle w:val="TableContents"/>
              <w:bidi w:val="0"/>
              <w:spacing w:before="0" w:after="283"/>
              <w:jc w:val="left"/>
              <w:rPr/>
            </w:pPr>
            <w:r>
              <w:rPr/>
              <w:t> </w:t>
            </w:r>
          </w:p>
        </w:tc>
        <w:tc>
          <w:tcPr>
            <w:tcW w:w="1535" w:type="dxa"/>
            <w:tcBorders>
              <w:bottom w:val="single" w:sz="8" w:space="0" w:color="000000"/>
            </w:tcBorders>
            <w:tcMar>
              <w:bottom w:w="28" w:type="dxa"/>
            </w:tcMar>
            <w:vAlign w:val="bottom"/>
          </w:tcPr>
          <w:p>
            <w:pPr>
              <w:pStyle w:val="TableContents"/>
              <w:bidi w:val="0"/>
              <w:spacing w:before="0" w:after="283"/>
              <w:jc w:val="center"/>
              <w:rPr/>
            </w:pPr>
            <w:r>
              <w:rPr>
                <w:b/>
              </w:rPr>
              <w:t>%age Owner-</w:t>
            </w:r>
            <w:r>
              <w:rPr/>
              <w:br/>
            </w:r>
            <w:r>
              <w:rPr>
                <w:b/>
              </w:rPr>
              <w:t>ship</w:t>
            </w:r>
          </w:p>
        </w:tc>
        <w:tc>
          <w:tcPr>
            <w:tcW w:w="6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83"/>
              <w:jc w:val="center"/>
              <w:rPr>
                <w:b/>
              </w:rPr>
            </w:pPr>
            <w:r>
              <w:rPr>
                <w:b/>
              </w:rPr>
              <w:t>Certificated</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lastminute.com LLC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TVL Holdings,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9.0511</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9.0511%</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TVL LP</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90.9489</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90.9489%</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PRISM Group, Inc.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1,000 shares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1,000</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PRISM TECHNOLOGIES, LLC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Sabre Headquarters, LLC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Holdings</w:t>
              <w:br/>
              <w:t>Corporation</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1,000 shares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1,000</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Sabre International Newco, Inc.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1,042 shares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1,042</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Sabre Holdings (Luxembourg)</w:t>
            </w:r>
          </w:p>
          <w:p>
            <w:pPr>
              <w:pStyle w:val="TableContents"/>
              <w:bidi w:val="0"/>
              <w:spacing w:before="0" w:after="20"/>
              <w:jc w:val="left"/>
              <w:rPr>
                <w:rFonts w:ascii="Times New Roman" w:hAnsi="Times New Roman"/>
                <w:sz w:val="20"/>
              </w:rPr>
            </w:pPr>
            <w:r>
              <w:rPr>
                <w:rFonts w:ascii="Times New Roman" w:hAnsi="Times New Roman"/>
                <w:sz w:val="20"/>
              </w:rPr>
              <w:t>S.á r.l.</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International</w:t>
              <w:br/>
              <w:t>Newco,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45,731 shares</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29,726</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SabreMark G.P., LLC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SabreMark Limited Partnership</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w:t>
              <w:br/>
              <w:t>Partnership</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99% LP interest</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52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General</w:t>
              <w:br/>
              <w:t>Partnership</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SabreMark G.P.,</w:t>
              <w:br/>
              <w:t>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1% GP interest</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r>
        <w:br w:type="page"/>
      </w:r>
    </w:p>
    <w:p>
      <w:pPr>
        <w:pStyle w:val="HorizontalLine"/>
        <w:pBdr>
          <w:bottom w:val="double" w:sz="6" w:space="0" w:color="808080"/>
        </w:pBdr>
        <w:bidi w:val="0"/>
        <w:jc w:val="left"/>
        <w:rPr/>
      </w:pPr>
      <w:r>
        <w:rPr/>
      </w:r>
    </w:p>
    <w:tbl>
      <w:tblPr>
        <w:tblW w:w="12535" w:type="dxa"/>
        <w:jc w:val="center"/>
        <w:tblInd w:w="0" w:type="dxa"/>
        <w:tblLayout w:type="fixed"/>
        <w:tblCellMar>
          <w:top w:w="0" w:type="dxa"/>
          <w:left w:w="0" w:type="dxa"/>
          <w:bottom w:w="0" w:type="dxa"/>
          <w:right w:w="0" w:type="dxa"/>
        </w:tblCellMar>
      </w:tblPr>
      <w:tblGrid>
        <w:gridCol w:w="1250"/>
        <w:gridCol w:w="60"/>
        <w:gridCol w:w="1610"/>
        <w:gridCol w:w="60"/>
        <w:gridCol w:w="1505"/>
        <w:gridCol w:w="60"/>
        <w:gridCol w:w="2405"/>
        <w:gridCol w:w="60"/>
        <w:gridCol w:w="1220"/>
        <w:gridCol w:w="60"/>
        <w:gridCol w:w="830"/>
        <w:gridCol w:w="60"/>
        <w:gridCol w:w="2075"/>
        <w:gridCol w:w="60"/>
        <w:gridCol w:w="122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Issuer</w:t>
            </w:r>
          </w:p>
        </w:tc>
        <w:tc>
          <w:tcPr>
            <w:tcW w:w="60" w:type="dxa"/>
            <w:tcBorders/>
            <w:vAlign w:val="bottom"/>
          </w:tcPr>
          <w:p>
            <w:pPr>
              <w:pStyle w:val="TableContents"/>
              <w:bidi w:val="0"/>
              <w:spacing w:before="0" w:after="283"/>
              <w:jc w:val="left"/>
              <w:rPr/>
            </w:pPr>
            <w:r>
              <w:rPr/>
              <w:t> </w:t>
            </w:r>
          </w:p>
        </w:tc>
        <w:tc>
          <w:tcPr>
            <w:tcW w:w="1610" w:type="dxa"/>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Issued</w:t>
            </w:r>
            <w:r>
              <w:rPr/>
              <w:br/>
            </w:r>
            <w:r>
              <w:rPr>
                <w:b/>
              </w:rPr>
              <w:t>(if not stock)</w:t>
            </w:r>
          </w:p>
        </w:tc>
        <w:tc>
          <w:tcPr>
            <w:tcW w:w="60" w:type="dxa"/>
            <w:tcBorders/>
            <w:vAlign w:val="bottom"/>
          </w:tcPr>
          <w:p>
            <w:pPr>
              <w:pStyle w:val="TableContents"/>
              <w:bidi w:val="0"/>
              <w:spacing w:before="0" w:after="283"/>
              <w:jc w:val="left"/>
              <w:rPr/>
            </w:pPr>
            <w:r>
              <w:rPr/>
              <w:t> </w:t>
            </w:r>
          </w:p>
        </w:tc>
        <w:tc>
          <w:tcPr>
            <w:tcW w:w="1505" w:type="dxa"/>
            <w:tcBorders>
              <w:bottom w:val="single" w:sz="8" w:space="0" w:color="000000"/>
            </w:tcBorders>
            <w:tcMar>
              <w:bottom w:w="28" w:type="dxa"/>
            </w:tcMar>
            <w:vAlign w:val="bottom"/>
          </w:tcPr>
          <w:p>
            <w:pPr>
              <w:pStyle w:val="TableContents"/>
              <w:bidi w:val="0"/>
              <w:spacing w:before="0" w:after="283"/>
              <w:jc w:val="center"/>
              <w:rPr/>
            </w:pPr>
            <w:r>
              <w:rPr>
                <w:b/>
              </w:rPr>
              <w:t>Record</w:t>
            </w:r>
            <w:r>
              <w:rPr/>
              <w:br/>
            </w:r>
            <w:r>
              <w:rPr>
                <w:b/>
              </w:rPr>
              <w:t>and</w:t>
            </w:r>
            <w:r>
              <w:rPr/>
              <w:br/>
            </w:r>
            <w:r>
              <w:rPr>
                <w:b/>
              </w:rPr>
              <w:t>Beneficial</w:t>
            </w:r>
            <w:r>
              <w:rPr/>
              <w:br/>
            </w:r>
            <w:r>
              <w:rPr>
                <w:b/>
              </w:rPr>
              <w:t>Owner</w:t>
            </w:r>
          </w:p>
        </w:tc>
        <w:tc>
          <w:tcPr>
            <w:tcW w:w="60" w:type="dxa"/>
            <w:tcBorders/>
            <w:vAlign w:val="bottom"/>
          </w:tcPr>
          <w:p>
            <w:pPr>
              <w:pStyle w:val="TableContents"/>
              <w:bidi w:val="0"/>
              <w:spacing w:before="0" w:after="283"/>
              <w:jc w:val="left"/>
              <w:rPr/>
            </w:pPr>
            <w:r>
              <w:rPr/>
              <w:t> </w:t>
            </w:r>
          </w:p>
        </w:tc>
        <w:tc>
          <w:tcPr>
            <w:tcW w:w="2405" w:type="dxa"/>
            <w:tcBorders>
              <w:bottom w:val="single" w:sz="8" w:space="0" w:color="000000"/>
            </w:tcBorders>
            <w:tcMar>
              <w:bottom w:w="28" w:type="dxa"/>
            </w:tcMar>
            <w:vAlign w:val="bottom"/>
          </w:tcPr>
          <w:p>
            <w:pPr>
              <w:pStyle w:val="TableContents"/>
              <w:bidi w:val="0"/>
              <w:spacing w:before="0" w:after="283"/>
              <w:jc w:val="center"/>
              <w:rPr>
                <w:b/>
              </w:rPr>
            </w:pPr>
            <w:r>
              <w:rPr>
                <w:b/>
              </w:rPr>
              <w:t>Total Shares Outstanding</w:t>
            </w:r>
          </w:p>
        </w:tc>
        <w:tc>
          <w:tcPr>
            <w:tcW w:w="6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83"/>
              <w:jc w:val="center"/>
              <w:rPr>
                <w:b/>
              </w:rPr>
            </w:pPr>
            <w:r>
              <w:rPr>
                <w:b/>
              </w:rPr>
              <w:t>Voting or</w:t>
              <w:br/>
              <w:t>Non-Voting</w:t>
              <w:br/>
              <w:t>Interests?</w:t>
            </w:r>
          </w:p>
        </w:tc>
        <w:tc>
          <w:tcPr>
            <w:tcW w:w="60" w:type="dxa"/>
            <w:tcBorders/>
            <w:vAlign w:val="bottom"/>
          </w:tcPr>
          <w:p>
            <w:pPr>
              <w:pStyle w:val="TableContents"/>
              <w:bidi w:val="0"/>
              <w:spacing w:before="0" w:after="283"/>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center"/>
              <w:rPr>
                <w:b/>
              </w:rPr>
            </w:pPr>
            <w:r>
              <w:rPr>
                <w:b/>
              </w:rPr>
              <w:t>Total</w:t>
              <w:br/>
              <w:t>Shares</w:t>
              <w:br/>
              <w:t>Pledged</w:t>
            </w:r>
          </w:p>
        </w:tc>
        <w:tc>
          <w:tcPr>
            <w:tcW w:w="60" w:type="dxa"/>
            <w:tcBorders/>
            <w:vAlign w:val="bottom"/>
          </w:tcPr>
          <w:p>
            <w:pPr>
              <w:pStyle w:val="TableContents"/>
              <w:bidi w:val="0"/>
              <w:spacing w:before="0" w:after="283"/>
              <w:jc w:val="left"/>
              <w:rPr/>
            </w:pPr>
            <w:r>
              <w:rPr/>
              <w:t> </w:t>
            </w:r>
          </w:p>
        </w:tc>
        <w:tc>
          <w:tcPr>
            <w:tcW w:w="2075" w:type="dxa"/>
            <w:tcBorders>
              <w:bottom w:val="single" w:sz="8" w:space="0" w:color="000000"/>
            </w:tcBorders>
            <w:tcMar>
              <w:bottom w:w="28" w:type="dxa"/>
            </w:tcMar>
            <w:vAlign w:val="bottom"/>
          </w:tcPr>
          <w:p>
            <w:pPr>
              <w:pStyle w:val="TableContents"/>
              <w:bidi w:val="0"/>
              <w:spacing w:before="0" w:after="283"/>
              <w:jc w:val="center"/>
              <w:rPr/>
            </w:pPr>
            <w:r>
              <w:rPr>
                <w:b/>
              </w:rPr>
              <w:t>%age Owner-</w:t>
            </w:r>
            <w:r>
              <w:rPr/>
              <w:br/>
            </w:r>
            <w:r>
              <w:rPr>
                <w:b/>
              </w:rPr>
              <w:t>ship</w:t>
            </w:r>
          </w:p>
        </w:tc>
        <w:tc>
          <w:tcPr>
            <w:tcW w:w="6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83"/>
              <w:jc w:val="center"/>
              <w:rPr>
                <w:b/>
              </w:rPr>
            </w:pPr>
            <w:r>
              <w:rPr>
                <w:b/>
              </w:rPr>
              <w:t>Certificated</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TVL Travel Limited (f/k/a Travelocity.co. uk Limited )</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lastminute. com</w:t>
              <w:br/>
              <w:t>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 Ordinary</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TVL Europe (f/k/a Travelocity Europe Limited )</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lastminute. com</w:t>
              <w:br/>
              <w:t>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2 Ordinary</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50%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Travel</w:t>
              <w:br/>
              <w:t>Limited (f/k/a</w:t>
              <w:br/>
              <w:t>Travelocit</w:t>
              <w:br/>
              <w:t>y.co.uk</w:t>
              <w:br/>
              <w:t>Limited)</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50%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TVL Holdings, Inc.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Sabre GLBL</w:t>
              <w:br/>
              <w:t>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1,000 shares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1,000</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TVL Holdings I, LLC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TVL LLC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Holdings,</w:t>
              <w:br/>
              <w:t>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100% Preferred Units</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Holdings,</w:t>
              <w:br/>
              <w:t>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5% Common Units</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Common,</w:t>
              <w:br/>
              <w:t>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95% Common Units</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TVL LP</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w:t>
              <w:br/>
              <w:t>Partnership</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89% LP</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Holdings</w:t>
              <w:br/>
              <w:t>I, 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1% LP</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General</w:t>
              <w:br/>
              <w:t>Partnership</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TVL 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10% GP</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TVL Common, Inc.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Sabre GLBL</w:t>
              <w:br/>
              <w:t>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 share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1</w:t>
            </w:r>
          </w:p>
        </w:tc>
        <w:tc>
          <w:tcPr>
            <w:tcW w:w="60"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I-2 </w:t>
      </w:r>
      <w:r>
        <w:br w:type="page"/>
      </w:r>
    </w:p>
    <w:p>
      <w:pPr>
        <w:pStyle w:val="HorizontalLine"/>
        <w:pBdr>
          <w:bottom w:val="double" w:sz="6" w:space="0" w:color="808080"/>
        </w:pBdr>
        <w:bidi w:val="0"/>
        <w:jc w:val="left"/>
        <w:rPr/>
      </w:pPr>
      <w:r>
        <w:rPr/>
      </w:r>
    </w:p>
    <w:tbl>
      <w:tblPr>
        <w:tblW w:w="12010" w:type="dxa"/>
        <w:jc w:val="center"/>
        <w:tblInd w:w="0" w:type="dxa"/>
        <w:tblLayout w:type="fixed"/>
        <w:tblCellMar>
          <w:top w:w="0" w:type="dxa"/>
          <w:left w:w="0" w:type="dxa"/>
          <w:bottom w:w="0" w:type="dxa"/>
          <w:right w:w="0" w:type="dxa"/>
        </w:tblCellMar>
      </w:tblPr>
      <w:tblGrid>
        <w:gridCol w:w="1310"/>
        <w:gridCol w:w="60"/>
        <w:gridCol w:w="1610"/>
        <w:gridCol w:w="60"/>
        <w:gridCol w:w="1730"/>
        <w:gridCol w:w="60"/>
        <w:gridCol w:w="2405"/>
        <w:gridCol w:w="60"/>
        <w:gridCol w:w="1220"/>
        <w:gridCol w:w="60"/>
        <w:gridCol w:w="1100"/>
        <w:gridCol w:w="60"/>
        <w:gridCol w:w="995"/>
        <w:gridCol w:w="60"/>
        <w:gridCol w:w="122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Issuer</w:t>
            </w:r>
          </w:p>
        </w:tc>
        <w:tc>
          <w:tcPr>
            <w:tcW w:w="60" w:type="dxa"/>
            <w:tcBorders/>
            <w:vAlign w:val="bottom"/>
          </w:tcPr>
          <w:p>
            <w:pPr>
              <w:pStyle w:val="TableContents"/>
              <w:bidi w:val="0"/>
              <w:spacing w:before="0" w:after="283"/>
              <w:jc w:val="left"/>
              <w:rPr/>
            </w:pPr>
            <w:r>
              <w:rPr/>
              <w:t> </w:t>
            </w:r>
          </w:p>
        </w:tc>
        <w:tc>
          <w:tcPr>
            <w:tcW w:w="1610" w:type="dxa"/>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Issued</w:t>
            </w:r>
            <w:r>
              <w:rPr/>
              <w:br/>
            </w:r>
            <w:r>
              <w:rPr>
                <w:b/>
              </w:rPr>
              <w:t>(if not stock)</w:t>
            </w:r>
          </w:p>
        </w:tc>
        <w:tc>
          <w:tcPr>
            <w:tcW w:w="60" w:type="dxa"/>
            <w:tcBorders/>
            <w:vAlign w:val="bottom"/>
          </w:tcPr>
          <w:p>
            <w:pPr>
              <w:pStyle w:val="TableContents"/>
              <w:bidi w:val="0"/>
              <w:spacing w:before="0" w:after="283"/>
              <w:jc w:val="left"/>
              <w:rPr/>
            </w:pPr>
            <w:r>
              <w:rPr/>
              <w:t> </w:t>
            </w:r>
          </w:p>
        </w:tc>
        <w:tc>
          <w:tcPr>
            <w:tcW w:w="1730" w:type="dxa"/>
            <w:tcBorders>
              <w:bottom w:val="single" w:sz="8" w:space="0" w:color="000000"/>
            </w:tcBorders>
            <w:tcMar>
              <w:bottom w:w="28" w:type="dxa"/>
            </w:tcMar>
            <w:vAlign w:val="bottom"/>
          </w:tcPr>
          <w:p>
            <w:pPr>
              <w:pStyle w:val="TableContents"/>
              <w:bidi w:val="0"/>
              <w:spacing w:before="0" w:after="283"/>
              <w:jc w:val="center"/>
              <w:rPr/>
            </w:pPr>
            <w:r>
              <w:rPr>
                <w:b/>
              </w:rPr>
              <w:t>Record</w:t>
            </w:r>
            <w:r>
              <w:rPr/>
              <w:br/>
            </w:r>
            <w:r>
              <w:rPr>
                <w:b/>
              </w:rPr>
              <w:t>and</w:t>
            </w:r>
            <w:r>
              <w:rPr/>
              <w:br/>
            </w:r>
            <w:r>
              <w:rPr>
                <w:b/>
              </w:rPr>
              <w:t>Beneficial</w:t>
            </w:r>
            <w:r>
              <w:rPr/>
              <w:br/>
            </w:r>
            <w:r>
              <w:rPr>
                <w:b/>
              </w:rPr>
              <w:t>Owner</w:t>
            </w:r>
          </w:p>
        </w:tc>
        <w:tc>
          <w:tcPr>
            <w:tcW w:w="60" w:type="dxa"/>
            <w:tcBorders/>
            <w:vAlign w:val="bottom"/>
          </w:tcPr>
          <w:p>
            <w:pPr>
              <w:pStyle w:val="TableContents"/>
              <w:bidi w:val="0"/>
              <w:spacing w:before="0" w:after="283"/>
              <w:jc w:val="left"/>
              <w:rPr/>
            </w:pPr>
            <w:r>
              <w:rPr/>
              <w:t> </w:t>
            </w:r>
          </w:p>
        </w:tc>
        <w:tc>
          <w:tcPr>
            <w:tcW w:w="2405" w:type="dxa"/>
            <w:tcBorders>
              <w:bottom w:val="single" w:sz="8" w:space="0" w:color="000000"/>
            </w:tcBorders>
            <w:tcMar>
              <w:bottom w:w="28" w:type="dxa"/>
            </w:tcMar>
            <w:vAlign w:val="bottom"/>
          </w:tcPr>
          <w:p>
            <w:pPr>
              <w:pStyle w:val="TableContents"/>
              <w:bidi w:val="0"/>
              <w:spacing w:before="0" w:after="283"/>
              <w:jc w:val="center"/>
              <w:rPr>
                <w:b/>
              </w:rPr>
            </w:pPr>
            <w:r>
              <w:rPr>
                <w:b/>
              </w:rPr>
              <w:t>Total Shares Outstanding</w:t>
            </w:r>
          </w:p>
        </w:tc>
        <w:tc>
          <w:tcPr>
            <w:tcW w:w="6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83"/>
              <w:jc w:val="center"/>
              <w:rPr>
                <w:b/>
              </w:rPr>
            </w:pPr>
            <w:r>
              <w:rPr>
                <w:b/>
              </w:rPr>
              <w:t>Voting or</w:t>
              <w:br/>
              <w:t>Non-Voting</w:t>
              <w:br/>
              <w:t>Interests?</w:t>
            </w:r>
          </w:p>
        </w:tc>
        <w:tc>
          <w:tcPr>
            <w:tcW w:w="60" w:type="dxa"/>
            <w:tcBorders/>
            <w:vAlign w:val="bottom"/>
          </w:tcPr>
          <w:p>
            <w:pPr>
              <w:pStyle w:val="TableContents"/>
              <w:bidi w:val="0"/>
              <w:spacing w:before="0" w:after="283"/>
              <w:jc w:val="left"/>
              <w:rPr/>
            </w:pPr>
            <w:r>
              <w:rPr/>
              <w:t> </w:t>
            </w:r>
          </w:p>
        </w:tc>
        <w:tc>
          <w:tcPr>
            <w:tcW w:w="1100" w:type="dxa"/>
            <w:tcBorders>
              <w:bottom w:val="single" w:sz="8" w:space="0" w:color="000000"/>
            </w:tcBorders>
            <w:tcMar>
              <w:bottom w:w="28" w:type="dxa"/>
            </w:tcMar>
            <w:vAlign w:val="bottom"/>
          </w:tcPr>
          <w:p>
            <w:pPr>
              <w:pStyle w:val="TableContents"/>
              <w:bidi w:val="0"/>
              <w:spacing w:before="0" w:after="283"/>
              <w:jc w:val="center"/>
              <w:rPr>
                <w:b/>
              </w:rPr>
            </w:pPr>
            <w:r>
              <w:rPr>
                <w:b/>
              </w:rPr>
              <w:t>Total Shares</w:t>
              <w:br/>
              <w:t>Pledged</w:t>
            </w:r>
          </w:p>
        </w:tc>
        <w:tc>
          <w:tcPr>
            <w:tcW w:w="60" w:type="dxa"/>
            <w:tcBorders/>
            <w:vAlign w:val="bottom"/>
          </w:tcPr>
          <w:p>
            <w:pPr>
              <w:pStyle w:val="TableContents"/>
              <w:bidi w:val="0"/>
              <w:spacing w:before="0" w:after="283"/>
              <w:jc w:val="left"/>
              <w:rPr/>
            </w:pPr>
            <w:r>
              <w:rPr/>
              <w:t> </w:t>
            </w:r>
          </w:p>
        </w:tc>
        <w:tc>
          <w:tcPr>
            <w:tcW w:w="995" w:type="dxa"/>
            <w:tcBorders>
              <w:bottom w:val="single" w:sz="8" w:space="0" w:color="000000"/>
            </w:tcBorders>
            <w:tcMar>
              <w:bottom w:w="28" w:type="dxa"/>
            </w:tcMar>
            <w:vAlign w:val="bottom"/>
          </w:tcPr>
          <w:p>
            <w:pPr>
              <w:pStyle w:val="TableContents"/>
              <w:bidi w:val="0"/>
              <w:spacing w:before="0" w:after="283"/>
              <w:jc w:val="center"/>
              <w:rPr/>
            </w:pPr>
            <w:r>
              <w:rPr>
                <w:b/>
              </w:rPr>
              <w:t>%age</w:t>
              <w:br/>
              <w:t>Owner-</w:t>
            </w:r>
            <w:r>
              <w:rPr/>
              <w:br/>
            </w:r>
            <w:r>
              <w:rPr>
                <w:b/>
              </w:rPr>
              <w:t>ship</w:t>
            </w:r>
          </w:p>
        </w:tc>
        <w:tc>
          <w:tcPr>
            <w:tcW w:w="6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83"/>
              <w:jc w:val="center"/>
              <w:rPr>
                <w:b/>
              </w:rPr>
            </w:pPr>
            <w:r>
              <w:rPr>
                <w:b/>
              </w:rPr>
              <w:t>Certificated</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Zuji Holdings Ltd.</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TVL LP</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76,772,000 Ordinary</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76,772,000</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ezy Webwerkstaden AB</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Radixx Solutions</w:t>
              <w:br/>
              <w:t>International,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153,125</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153,125</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w:t>
              <w:br/>
              <w:t>A</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Sabre Polska Sp. Z o.o. </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Sabre</w:t>
              <w:br/>
              <w:t>International</w:t>
              <w:br/>
              <w:t>Newco,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2,650 Ordinary</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1,723</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Sabre Travel Technologies Private Limited</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Sabre</w:t>
              <w:br/>
              <w:t>International</w:t>
              <w:br/>
              <w:t>Newco,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237,666 Common 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237,665</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99.9996%</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Sabre GDC, LLC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1</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0.0004%</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RSI Midco, Inc.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100 shares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Radixx Solutions International, Inc.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RSI Midco,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100 shares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Sabre GDC, LLC</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Limited Liability</w:t>
              <w:br/>
              <w:t>Company</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Sabre</w:t>
              <w:br/>
              <w:t>International</w:t>
              <w:br/>
              <w:t>Newco,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N/A</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No</w:t>
            </w:r>
          </w:p>
        </w:tc>
      </w:tr>
      <w:tr>
        <w:trPr>
          <w:trHeight w:val="120" w:hRule="atLeast"/>
        </w:trPr>
        <w:tc>
          <w:tcPr>
            <w:tcW w:w="1310"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Marlins Acquisition Group</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Sabre GLBL Inc.</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1,000 shares of Common</w:t>
              <w:br/>
              <w:t>Stock</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V</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100%</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pPr>
            <w:r>
              <w:rPr/>
              <w:t>Yes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Joint Ventures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4"/>
        <w:gridCol w:w="202"/>
        <w:gridCol w:w="60"/>
        <w:gridCol w:w="1893"/>
        <w:gridCol w:w="60"/>
        <w:gridCol w:w="202"/>
        <w:gridCol w:w="60"/>
        <w:gridCol w:w="1844"/>
        <w:gridCol w:w="60"/>
        <w:gridCol w:w="202"/>
        <w:gridCol w:w="226"/>
        <w:gridCol w:w="1020"/>
        <w:gridCol w:w="282"/>
      </w:tblGrid>
      <w:tr>
        <w:trPr/>
        <w:tc>
          <w:tcPr>
            <w:tcW w:w="409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0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Issuer</w:t>
            </w:r>
          </w:p>
        </w:tc>
        <w:tc>
          <w:tcPr>
            <w:tcW w:w="202" w:type="dxa"/>
            <w:tcBorders/>
            <w:vAlign w:val="bottom"/>
          </w:tcPr>
          <w:p>
            <w:pPr>
              <w:pStyle w:val="TableContents"/>
              <w:bidi w:val="0"/>
              <w:spacing w:before="0" w:after="283"/>
              <w:jc w:val="left"/>
              <w:rPr/>
            </w:pPr>
            <w:r>
              <w:rPr/>
              <w:t>  </w:t>
            </w:r>
          </w:p>
        </w:tc>
        <w:tc>
          <w:tcPr>
            <w:tcW w:w="1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Issued</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04" w:type="dxa"/>
            <w:gridSpan w:val="2"/>
            <w:tcBorders>
              <w:bottom w:val="single" w:sz="8" w:space="0" w:color="000000"/>
            </w:tcBorders>
            <w:tcMar>
              <w:bottom w:w="28" w:type="dxa"/>
            </w:tcMar>
            <w:vAlign w:val="bottom"/>
          </w:tcPr>
          <w:p>
            <w:pPr>
              <w:pStyle w:val="TableContents"/>
              <w:bidi w:val="0"/>
              <w:spacing w:before="0" w:after="283"/>
              <w:jc w:val="center"/>
              <w:rPr/>
            </w:pPr>
            <w:r>
              <w:rPr>
                <w:b/>
              </w:rPr>
              <w:t>Record and</w:t>
              <w:br/>
              <w:t>Beneficial</w:t>
            </w:r>
            <w:r>
              <w:rPr/>
              <w:br/>
            </w:r>
            <w:r>
              <w:rPr>
                <w:b/>
              </w:rPr>
              <w:t>Owner</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Ownership</w:t>
            </w:r>
          </w:p>
        </w:tc>
        <w:tc>
          <w:tcPr>
            <w:tcW w:w="282" w:type="dxa"/>
            <w:tcBorders/>
            <w:vAlign w:val="bottom"/>
          </w:tcPr>
          <w:p>
            <w:pPr>
              <w:pStyle w:val="TableContents"/>
              <w:bidi w:val="0"/>
              <w:spacing w:before="0" w:after="283"/>
              <w:jc w:val="left"/>
              <w:rPr/>
            </w:pPr>
            <w:r>
              <w:rPr/>
              <w:t> </w:t>
            </w:r>
          </w:p>
        </w:tc>
      </w:tr>
      <w:tr>
        <w:trPr/>
        <w:tc>
          <w:tcPr>
            <w:tcW w:w="4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FERMR Holdings Ltd (UK)</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Limited Company</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4" w:type="dxa"/>
            <w:tcBorders/>
            <w:shd w:fill="CCEEFF" w:val="clear"/>
            <w:vAlign w:val="bottom"/>
          </w:tcPr>
          <w:p>
            <w:pPr>
              <w:pStyle w:val="TableContents"/>
              <w:bidi w:val="0"/>
              <w:spacing w:before="0" w:after="283"/>
              <w:jc w:val="right"/>
              <w:rPr/>
            </w:pPr>
            <w:r>
              <w:rPr/>
              <w:t>Sabre GLBL Inc.</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81</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Sabre International Newco, Inc. owns 2,056,463 Yield-Free Convertible Preferred Equity Certificates with a nominal value of $35 issued by Sabre Holdings (Luxembourg) S.á r.l. on December 26, 2012, represented by Certificate N. 4, executed on March 13, 2013.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Pledged Debt </w:t>
      </w:r>
    </w:p>
    <w:p>
      <w:pPr>
        <w:pStyle w:val="TextBody"/>
        <w:bidi w:val="0"/>
        <w:spacing w:before="240" w:after="0"/>
        <w:jc w:val="left"/>
        <w:rPr>
          <w:rFonts w:ascii="Times New Roman" w:hAnsi="Times New Roman"/>
          <w:sz w:val="20"/>
        </w:rPr>
      </w:pPr>
      <w:r>
        <w:rPr>
          <w:rFonts w:ascii="Times New Roman" w:hAnsi="Times New Roman"/>
          <w:sz w:val="20"/>
        </w:rPr>
        <w:t xml:space="preserve">Indebtedness Summary </w:t>
      </w:r>
    </w:p>
    <w:p>
      <w:pPr>
        <w:pStyle w:val="TextBody"/>
        <w:bidi w:val="0"/>
        <w:spacing w:before="240" w:after="0"/>
        <w:jc w:val="left"/>
        <w:rPr>
          <w:rFonts w:ascii="Times New Roman" w:hAnsi="Times New Roman"/>
          <w:sz w:val="20"/>
        </w:rPr>
      </w:pPr>
      <w:r>
        <w:rPr>
          <w:rFonts w:ascii="Times New Roman" w:hAnsi="Times New Roman"/>
          <w:sz w:val="20"/>
        </w:rPr>
        <w:t xml:space="preserve">List of all intercompany promissory notes in excess of $25 million USD in aggregate principal amount and other evidence of indebtedness in excess of $5 million USD in aggregate principal amount at August 31, 2026. </w:t>
      </w:r>
    </w:p>
    <w:p>
      <w:pPr>
        <w:pStyle w:val="TextBody"/>
        <w:bidi w:val="0"/>
        <w:spacing w:before="240" w:after="0"/>
        <w:jc w:val="left"/>
        <w:rPr>
          <w:rFonts w:ascii="Times New Roman" w:hAnsi="Times New Roman"/>
          <w:sz w:val="20"/>
        </w:rPr>
      </w:pPr>
      <w:r>
        <w:rPr>
          <w:rFonts w:ascii="Times New Roman" w:hAnsi="Times New Roman"/>
          <w:sz w:val="20"/>
        </w:rPr>
        <w:t xml:space="preserve">The debt instruments listed below are assets of the Grantor listed (debt that is owed to such Grantor). </w:t>
      </w:r>
    </w:p>
    <w:p>
      <w:pPr>
        <w:pStyle w:val="TextBody"/>
        <w:bidi w:val="0"/>
        <w:spacing w:before="0" w:after="0"/>
        <w:jc w:val="left"/>
        <w:rPr/>
      </w:pPr>
      <w:r>
        <w:rPr/>
        <w:t> </w:t>
      </w:r>
    </w:p>
    <w:tbl>
      <w:tblPr>
        <w:tblW w:w="13690" w:type="dxa"/>
        <w:jc w:val="center"/>
        <w:tblInd w:w="0" w:type="dxa"/>
        <w:tblLayout w:type="fixed"/>
        <w:tblCellMar>
          <w:top w:w="0" w:type="dxa"/>
          <w:left w:w="0" w:type="dxa"/>
          <w:bottom w:w="0" w:type="dxa"/>
          <w:right w:w="0" w:type="dxa"/>
        </w:tblCellMar>
      </w:tblPr>
      <w:tblGrid>
        <w:gridCol w:w="1265"/>
        <w:gridCol w:w="120"/>
        <w:gridCol w:w="1610"/>
        <w:gridCol w:w="120"/>
        <w:gridCol w:w="3605"/>
        <w:gridCol w:w="120"/>
        <w:gridCol w:w="3665"/>
        <w:gridCol w:w="120"/>
        <w:gridCol w:w="306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Grantor</w:t>
            </w:r>
          </w:p>
        </w:tc>
        <w:tc>
          <w:tcPr>
            <w:tcW w:w="120" w:type="dxa"/>
            <w:tcBorders/>
            <w:vAlign w:val="bottom"/>
          </w:tcPr>
          <w:p>
            <w:pPr>
              <w:pStyle w:val="TableContents"/>
              <w:bidi w:val="0"/>
              <w:spacing w:before="0" w:after="283"/>
              <w:jc w:val="left"/>
              <w:rPr/>
            </w:pPr>
            <w:r>
              <w:rPr/>
              <w:t>  </w:t>
            </w:r>
          </w:p>
        </w:tc>
        <w:tc>
          <w:tcPr>
            <w:tcW w:w="16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Loan</w:t>
            </w:r>
          </w:p>
        </w:tc>
        <w:tc>
          <w:tcPr>
            <w:tcW w:w="120" w:type="dxa"/>
            <w:tcBorders/>
            <w:vAlign w:val="bottom"/>
          </w:tcPr>
          <w:p>
            <w:pPr>
              <w:pStyle w:val="TableContents"/>
              <w:bidi w:val="0"/>
              <w:spacing w:before="0" w:after="283"/>
              <w:jc w:val="left"/>
              <w:rPr/>
            </w:pPr>
            <w:r>
              <w:rPr/>
              <w:t>  </w:t>
            </w:r>
          </w:p>
        </w:tc>
        <w:tc>
          <w:tcPr>
            <w:tcW w:w="36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Debtor</w:t>
            </w:r>
          </w:p>
        </w:tc>
        <w:tc>
          <w:tcPr>
            <w:tcW w:w="120" w:type="dxa"/>
            <w:tcBorders/>
            <w:vAlign w:val="bottom"/>
          </w:tcPr>
          <w:p>
            <w:pPr>
              <w:pStyle w:val="TableContents"/>
              <w:bidi w:val="0"/>
              <w:spacing w:before="0" w:after="283"/>
              <w:jc w:val="left"/>
              <w:rPr/>
            </w:pPr>
            <w:r>
              <w:rPr/>
              <w:t>  </w:t>
            </w:r>
          </w:p>
        </w:tc>
        <w:tc>
          <w:tcPr>
            <w:tcW w:w="36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at 8/31/2026</w:t>
            </w:r>
          </w:p>
        </w:tc>
        <w:tc>
          <w:tcPr>
            <w:tcW w:w="120" w:type="dxa"/>
            <w:tcBorders/>
            <w:vAlign w:val="bottom"/>
          </w:tcPr>
          <w:p>
            <w:pPr>
              <w:pStyle w:val="TableContents"/>
              <w:bidi w:val="0"/>
              <w:spacing w:before="0" w:after="283"/>
              <w:jc w:val="left"/>
              <w:rPr/>
            </w:pPr>
            <w:r>
              <w:rPr/>
              <w:t>  </w:t>
            </w:r>
          </w:p>
        </w:tc>
        <w:tc>
          <w:tcPr>
            <w:tcW w:w="306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Interest at</w:t>
            </w:r>
          </w:p>
          <w:p>
            <w:pPr>
              <w:pStyle w:val="TableContents"/>
              <w:bidi w:val="0"/>
              <w:spacing w:before="0" w:after="20"/>
              <w:jc w:val="center"/>
              <w:rPr>
                <w:rFonts w:ascii="Times New Roman" w:hAnsi="Times New Roman"/>
                <w:b/>
                <w:sz w:val="16"/>
              </w:rPr>
            </w:pPr>
            <w:r>
              <w:rPr>
                <w:rFonts w:ascii="Times New Roman" w:hAnsi="Times New Roman"/>
                <w:b/>
                <w:sz w:val="16"/>
              </w:rPr>
              <w:t>8/31/2026</w:t>
            </w:r>
          </w:p>
        </w:tc>
      </w:tr>
      <w:tr>
        <w:trPr>
          <w:trHeight w:val="120" w:hRule="atLeast"/>
        </w:trPr>
        <w:tc>
          <w:tcPr>
            <w:tcW w:w="126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Sabre International Newco, Inc.</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Promissory Note</w:t>
            </w:r>
          </w:p>
        </w:tc>
        <w:tc>
          <w:tcPr>
            <w:tcW w:w="120" w:type="dxa"/>
            <w:tcBorders/>
            <w:vAlign w:val="bottom"/>
          </w:tcPr>
          <w:p>
            <w:pPr>
              <w:pStyle w:val="TableContents"/>
              <w:bidi w:val="0"/>
              <w:spacing w:before="0" w:after="283"/>
              <w:jc w:val="left"/>
              <w:rPr/>
            </w:pPr>
            <w:r>
              <w:rPr/>
              <w:t>  </w:t>
            </w:r>
          </w:p>
        </w:tc>
        <w:tc>
          <w:tcPr>
            <w:tcW w:w="3605" w:type="dxa"/>
            <w:tcBorders/>
            <w:vAlign w:val="bottom"/>
          </w:tcPr>
          <w:p>
            <w:pPr>
              <w:pStyle w:val="TableContents"/>
              <w:bidi w:val="0"/>
              <w:spacing w:before="0" w:after="283"/>
              <w:jc w:val="left"/>
              <w:rPr/>
            </w:pPr>
            <w:r>
              <w:rPr/>
              <w:t>Sabre Holdings (Luxembourg) S.á r.l.</w:t>
            </w:r>
          </w:p>
        </w:tc>
        <w:tc>
          <w:tcPr>
            <w:tcW w:w="12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USD $ 12,772,581</w:t>
            </w:r>
          </w:p>
        </w:tc>
        <w:tc>
          <w:tcPr>
            <w:tcW w:w="12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USD $ 277,650</w:t>
            </w:r>
          </w:p>
        </w:tc>
      </w:tr>
      <w:tr>
        <w:trPr>
          <w:trHeight w:val="120" w:hRule="atLeast"/>
        </w:trPr>
        <w:tc>
          <w:tcPr>
            <w:tcW w:w="126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Sabre International Newco, Inc.</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Promissory Note</w:t>
            </w:r>
          </w:p>
        </w:tc>
        <w:tc>
          <w:tcPr>
            <w:tcW w:w="120" w:type="dxa"/>
            <w:tcBorders/>
            <w:vAlign w:val="bottom"/>
          </w:tcPr>
          <w:p>
            <w:pPr>
              <w:pStyle w:val="TableContents"/>
              <w:bidi w:val="0"/>
              <w:spacing w:before="0" w:after="283"/>
              <w:jc w:val="left"/>
              <w:rPr/>
            </w:pPr>
            <w:r>
              <w:rPr/>
              <w:t>  </w:t>
            </w:r>
          </w:p>
        </w:tc>
        <w:tc>
          <w:tcPr>
            <w:tcW w:w="3605" w:type="dxa"/>
            <w:tcBorders/>
            <w:vAlign w:val="bottom"/>
          </w:tcPr>
          <w:p>
            <w:pPr>
              <w:pStyle w:val="TableContents"/>
              <w:bidi w:val="0"/>
              <w:spacing w:before="0" w:after="283"/>
              <w:jc w:val="left"/>
              <w:rPr/>
            </w:pPr>
            <w:r>
              <w:rPr/>
              <w:t>Sabre Holdings (Luxembourg) S.á r.l.</w:t>
            </w:r>
          </w:p>
        </w:tc>
        <w:tc>
          <w:tcPr>
            <w:tcW w:w="12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USD $ 43,154,271</w:t>
            </w:r>
          </w:p>
        </w:tc>
        <w:tc>
          <w:tcPr>
            <w:tcW w:w="12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Compounded monthly</w:t>
            </w:r>
          </w:p>
        </w:tc>
      </w:tr>
      <w:tr>
        <w:trPr>
          <w:trHeight w:val="120" w:hRule="atLeast"/>
        </w:trPr>
        <w:tc>
          <w:tcPr>
            <w:tcW w:w="126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Sabre International Newco, Inc.</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Promissory Note</w:t>
            </w:r>
          </w:p>
        </w:tc>
        <w:tc>
          <w:tcPr>
            <w:tcW w:w="120" w:type="dxa"/>
            <w:tcBorders/>
            <w:vAlign w:val="bottom"/>
          </w:tcPr>
          <w:p>
            <w:pPr>
              <w:pStyle w:val="TableContents"/>
              <w:bidi w:val="0"/>
              <w:spacing w:before="0" w:after="283"/>
              <w:jc w:val="left"/>
              <w:rPr/>
            </w:pPr>
            <w:r>
              <w:rPr/>
              <w:t>  </w:t>
            </w:r>
          </w:p>
        </w:tc>
        <w:tc>
          <w:tcPr>
            <w:tcW w:w="3605" w:type="dxa"/>
            <w:tcBorders/>
            <w:vAlign w:val="bottom"/>
          </w:tcPr>
          <w:p>
            <w:pPr>
              <w:pStyle w:val="TableContents"/>
              <w:bidi w:val="0"/>
              <w:spacing w:before="0" w:after="283"/>
              <w:jc w:val="left"/>
              <w:rPr/>
            </w:pPr>
            <w:r>
              <w:rPr/>
              <w:t>Sabre Holdings (Luxembourg) S.á r.l.</w:t>
            </w:r>
          </w:p>
        </w:tc>
        <w:tc>
          <w:tcPr>
            <w:tcW w:w="12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USD $ 148,520,329</w:t>
            </w:r>
          </w:p>
        </w:tc>
        <w:tc>
          <w:tcPr>
            <w:tcW w:w="12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Compounded Monthly</w:t>
            </w:r>
          </w:p>
        </w:tc>
      </w:tr>
      <w:tr>
        <w:trPr>
          <w:trHeight w:val="120" w:hRule="atLeast"/>
        </w:trPr>
        <w:tc>
          <w:tcPr>
            <w:tcW w:w="126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Promissory Note</w:t>
            </w:r>
          </w:p>
        </w:tc>
        <w:tc>
          <w:tcPr>
            <w:tcW w:w="120" w:type="dxa"/>
            <w:tcBorders/>
            <w:vAlign w:val="bottom"/>
          </w:tcPr>
          <w:p>
            <w:pPr>
              <w:pStyle w:val="TableContents"/>
              <w:bidi w:val="0"/>
              <w:spacing w:before="0" w:after="283"/>
              <w:jc w:val="left"/>
              <w:rPr/>
            </w:pPr>
            <w:r>
              <w:rPr/>
              <w:t>  </w:t>
            </w:r>
          </w:p>
        </w:tc>
        <w:tc>
          <w:tcPr>
            <w:tcW w:w="3605" w:type="dxa"/>
            <w:tcBorders/>
            <w:vAlign w:val="bottom"/>
          </w:tcPr>
          <w:p>
            <w:pPr>
              <w:pStyle w:val="TableContents"/>
              <w:bidi w:val="0"/>
              <w:spacing w:before="0" w:after="283"/>
              <w:jc w:val="left"/>
              <w:rPr/>
            </w:pPr>
            <w:r>
              <w:rPr/>
              <w:t>Sabre Finance (Luxembourg) S.á r.l.</w:t>
            </w:r>
          </w:p>
        </w:tc>
        <w:tc>
          <w:tcPr>
            <w:tcW w:w="12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USD $ 18,759,208</w:t>
            </w:r>
          </w:p>
        </w:tc>
        <w:tc>
          <w:tcPr>
            <w:tcW w:w="12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USD $ 335,555</w:t>
            </w:r>
          </w:p>
        </w:tc>
      </w:tr>
      <w:tr>
        <w:trPr>
          <w:trHeight w:val="120" w:hRule="atLeast"/>
        </w:trPr>
        <w:tc>
          <w:tcPr>
            <w:tcW w:w="126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lastminute.com LLC</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Promissory Note</w:t>
            </w:r>
          </w:p>
        </w:tc>
        <w:tc>
          <w:tcPr>
            <w:tcW w:w="120" w:type="dxa"/>
            <w:tcBorders/>
            <w:vAlign w:val="bottom"/>
          </w:tcPr>
          <w:p>
            <w:pPr>
              <w:pStyle w:val="TableContents"/>
              <w:bidi w:val="0"/>
              <w:spacing w:before="0" w:after="283"/>
              <w:jc w:val="left"/>
              <w:rPr/>
            </w:pPr>
            <w:r>
              <w:rPr/>
              <w:t>  </w:t>
            </w:r>
          </w:p>
        </w:tc>
        <w:tc>
          <w:tcPr>
            <w:tcW w:w="3605" w:type="dxa"/>
            <w:tcBorders/>
            <w:vAlign w:val="bottom"/>
          </w:tcPr>
          <w:p>
            <w:pPr>
              <w:pStyle w:val="TableContents"/>
              <w:bidi w:val="0"/>
              <w:spacing w:before="0" w:after="283"/>
              <w:jc w:val="left"/>
              <w:rPr/>
            </w:pPr>
            <w:r>
              <w:rPr/>
              <w:t>Sabre GLBL Inc.</w:t>
            </w:r>
          </w:p>
        </w:tc>
        <w:tc>
          <w:tcPr>
            <w:tcW w:w="12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USD $ 152,091,248</w:t>
            </w:r>
          </w:p>
        </w:tc>
        <w:tc>
          <w:tcPr>
            <w:tcW w:w="12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USD $ 5,093,140</w:t>
            </w:r>
          </w:p>
        </w:tc>
      </w:tr>
      <w:tr>
        <w:trPr>
          <w:trHeight w:val="120" w:hRule="atLeast"/>
        </w:trPr>
        <w:tc>
          <w:tcPr>
            <w:tcW w:w="126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pPr>
            <w:r>
              <w:rPr/>
              <w:t>Promissory Note</w:t>
            </w:r>
          </w:p>
        </w:tc>
        <w:tc>
          <w:tcPr>
            <w:tcW w:w="120" w:type="dxa"/>
            <w:tcBorders/>
            <w:vAlign w:val="bottom"/>
          </w:tcPr>
          <w:p>
            <w:pPr>
              <w:pStyle w:val="TableContents"/>
              <w:bidi w:val="0"/>
              <w:spacing w:before="0" w:after="283"/>
              <w:jc w:val="left"/>
              <w:rPr/>
            </w:pPr>
            <w:r>
              <w:rPr/>
              <w:t>  </w:t>
            </w:r>
          </w:p>
        </w:tc>
        <w:tc>
          <w:tcPr>
            <w:tcW w:w="3605" w:type="dxa"/>
            <w:tcBorders/>
            <w:vAlign w:val="bottom"/>
          </w:tcPr>
          <w:p>
            <w:pPr>
              <w:pStyle w:val="TableContents"/>
              <w:bidi w:val="0"/>
              <w:spacing w:before="0" w:after="283"/>
              <w:jc w:val="left"/>
              <w:rPr/>
            </w:pPr>
            <w:r>
              <w:rPr/>
              <w:t>Conferma Limited</w:t>
            </w:r>
          </w:p>
        </w:tc>
        <w:tc>
          <w:tcPr>
            <w:tcW w:w="12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GBP 12,470,713 (USD $ 16,884,098)</w:t>
            </w:r>
          </w:p>
        </w:tc>
        <w:tc>
          <w:tcPr>
            <w:tcW w:w="12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GBP 169,465 (USD $ 229,439)</w:t>
            </w:r>
          </w:p>
        </w:tc>
      </w:tr>
      <w:tr>
        <w:trPr>
          <w:trHeight w:val="120" w:hRule="atLeast"/>
        </w:trPr>
        <w:tc>
          <w:tcPr>
            <w:tcW w:w="126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c>
          <w:tcPr>
            <w:tcW w:w="3185" w:type="dxa"/>
            <w:gridSpan w:val="2"/>
            <w:tcBorders/>
            <w:vAlign w:val="center"/>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USD $ 392,181,735</w:t>
            </w:r>
          </w:p>
        </w:tc>
        <w:tc>
          <w:tcPr>
            <w:tcW w:w="120"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USD $ 5,935,784</w:t>
            </w:r>
          </w:p>
        </w:tc>
      </w:tr>
    </w:tbl>
    <w:p>
      <w:pPr>
        <w:pStyle w:val="TextBody"/>
        <w:bidi w:val="0"/>
        <w:spacing w:before="240" w:after="0"/>
        <w:jc w:val="left"/>
        <w:rPr>
          <w:rFonts w:ascii="Times New Roman" w:hAnsi="Times New Roman"/>
          <w:sz w:val="20"/>
        </w:rPr>
      </w:pPr>
      <w:r>
        <w:rPr>
          <w:rFonts w:ascii="Times New Roman" w:hAnsi="Times New Roman"/>
          <w:sz w:val="20"/>
        </w:rPr>
        <w:t xml:space="preserve">A global note evidencing intercompany debt owed by a Grantor to a Grantor. </w:t>
      </w:r>
    </w:p>
    <w:p>
      <w:pPr>
        <w:pStyle w:val="TextBody"/>
        <w:bidi w:val="0"/>
        <w:spacing w:before="240" w:after="0"/>
        <w:jc w:val="left"/>
        <w:rPr>
          <w:rFonts w:ascii="Times New Roman" w:hAnsi="Times New Roman"/>
          <w:sz w:val="20"/>
        </w:rPr>
      </w:pPr>
      <w:r>
        <w:rPr>
          <w:rFonts w:ascii="Times New Roman" w:hAnsi="Times New Roman"/>
          <w:sz w:val="20"/>
        </w:rPr>
        <w:t xml:space="preserve">A global note evidencing intercompany debt owed by a Non-Loan Party to a Grantor. </w:t>
      </w:r>
    </w:p>
    <w:p>
      <w:pPr>
        <w:pStyle w:val="TextBody"/>
        <w:bidi w:val="0"/>
        <w:spacing w:before="240" w:after="0"/>
        <w:jc w:val="left"/>
        <w:rPr>
          <w:rFonts w:ascii="Times New Roman" w:hAnsi="Times New Roman"/>
          <w:sz w:val="20"/>
        </w:rPr>
      </w:pPr>
      <w:r>
        <w:rPr>
          <w:rFonts w:ascii="Times New Roman" w:hAnsi="Times New Roman"/>
          <w:sz w:val="20"/>
        </w:rPr>
        <w:t xml:space="preserve">Non-Loan Parties as Payors and Loan Parties as Payees Intercompany Note dated as of September 28, 2026, among the Borrower, Holdings and each entity listed as a Payor (as defined in the Intercompany Note) thereto and each entity listed as a Payee (as defined in the Intercompany Note)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Parties as Payors and Non-Loan Parties as Payees Intercompany Note dated as of September 28, 2026, among the Borrower, Holdings and each entity listed as a Payor (as defined in the Intercompany Note) thereto and each entity listed as a Payee (as defined in the Intercompany Note) thereto. </w:t>
      </w:r>
    </w:p>
    <w:p>
      <w:pPr>
        <w:pStyle w:val="TextBody"/>
        <w:bidi w:val="0"/>
        <w:spacing w:before="240" w:after="0"/>
        <w:jc w:val="left"/>
        <w:rPr>
          <w:rFonts w:ascii="Times New Roman" w:hAnsi="Times New Roman"/>
          <w:sz w:val="20"/>
        </w:rPr>
      </w:pPr>
      <w:r>
        <w:rPr>
          <w:rFonts w:ascii="Times New Roman" w:hAnsi="Times New Roman"/>
          <w:sz w:val="20"/>
        </w:rPr>
        <w:t xml:space="preserve">Non-Loan Parties as Payors and Loan Parties as Payees Intercompany Note dated as of September 28, 2026, among the Borrower, Holdings and each entity listed as a Payor (as defined in the Intercompany Note) thereto and each entity listed as a Payee (as defined in the Intercompany Note)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Commercial Tort Claims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list includes all commercial tort claims of each Grantor, with a value in excess of $10,000,000 and for which such Grantor has filed a complaint in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240" w:after="0"/>
        <w:jc w:val="left"/>
        <w:rPr>
          <w:rFonts w:ascii="Times New Roman" w:hAnsi="Times New Roman"/>
          <w:sz w:val="20"/>
        </w:rPr>
      </w:pPr>
      <w:r>
        <w:rPr>
          <w:rFonts w:ascii="Times New Roman" w:hAnsi="Times New Roman"/>
          <w:sz w:val="20"/>
        </w:rPr>
        <w:t xml:space="preserve">SUPPLEMENT </w:t>
      </w:r>
      <w:r>
        <w:rPr>
          <w:rFonts w:ascii="Times New Roman" w:hAnsi="Times New Roman"/>
          <w:sz w:val="20"/>
          <w:u w:val="single"/>
        </w:rPr>
        <w:t>   </w:t>
      </w:r>
      <w:r>
        <w:rPr>
          <w:rFonts w:ascii="Times New Roman" w:hAnsi="Times New Roman"/>
          <w:sz w:val="20"/>
        </w:rPr>
        <w:t xml:space="preserve"> NO. dated as of [ ], to the Pledge and Security Agreement dated as of September 28, 2026 among SABRE HOLDINGS CORPORATION (“</w:t>
      </w:r>
      <w:r>
        <w:rPr>
          <w:rFonts w:ascii="Times New Roman" w:hAnsi="Times New Roman"/>
          <w:b/>
          <w:sz w:val="20"/>
        </w:rPr>
        <w:t>Holdings</w:t>
      </w:r>
      <w:r>
        <w:rPr>
          <w:rFonts w:ascii="Times New Roman" w:hAnsi="Times New Roman"/>
          <w:sz w:val="20"/>
        </w:rPr>
        <w:t>”), SABRE GLBL INC. (the “</w:t>
      </w:r>
      <w:r>
        <w:rPr>
          <w:rFonts w:ascii="Times New Roman" w:hAnsi="Times New Roman"/>
          <w:b/>
          <w:sz w:val="20"/>
        </w:rPr>
        <w:t>Borrower</w:t>
      </w:r>
      <w:r>
        <w:rPr>
          <w:rFonts w:ascii="Times New Roman" w:hAnsi="Times New Roman"/>
          <w:sz w:val="20"/>
        </w:rPr>
        <w:t xml:space="preserve">”), certain Subsidiaries of the Borrower from time to time party thereto and WILMINGTON TRUST, NATIONAL ASSOCIATION, as Administrative Agent for the Secured Parties. </w:t>
      </w:r>
    </w:p>
    <w:p>
      <w:pPr>
        <w:pStyle w:val="TextBody"/>
        <w:bidi w:val="0"/>
        <w:spacing w:before="240" w:after="0"/>
        <w:jc w:val="left"/>
        <w:rPr>
          <w:rFonts w:ascii="Times New Roman" w:hAnsi="Times New Roman"/>
          <w:sz w:val="20"/>
        </w:rPr>
      </w:pPr>
      <w:r>
        <w:rPr>
          <w:rFonts w:ascii="Times New Roman" w:hAnsi="Times New Roman"/>
          <w:sz w:val="20"/>
        </w:rPr>
        <w:t>A. Reference is made to the First Lien Pari Passu Credit Agreement dated as of September 28, 2026 (as amended, restated, supplemented or otherwise modified from time to time, the “</w:t>
      </w:r>
      <w:r>
        <w:rPr>
          <w:rFonts w:ascii="Times New Roman" w:hAnsi="Times New Roman"/>
          <w:b/>
          <w:sz w:val="20"/>
        </w:rPr>
        <w:t>Credit Agreement</w:t>
      </w:r>
      <w:r>
        <w:rPr>
          <w:rFonts w:ascii="Times New Roman" w:hAnsi="Times New Roman"/>
          <w:sz w:val="20"/>
        </w:rPr>
        <w:t>”), among the Borrower, Holdings, the other grantors from time to time party thereto, and WILMINGTON TRUST, NATIONAL ASSOCIATION, as Administrative Agent and the lender from time to time party thereto (the “</w:t>
      </w:r>
      <w:r>
        <w:rPr>
          <w:rFonts w:ascii="Times New Roman" w:hAnsi="Times New Roman"/>
          <w:b/>
          <w:sz w:val="20"/>
        </w:rPr>
        <w:t>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Reference is made to the Pledge and Security Agreement (as amended, restated, supplemented or otherwise modified from time to time, the “</w:t>
      </w:r>
      <w:r>
        <w:rPr>
          <w:rFonts w:ascii="Times New Roman" w:hAnsi="Times New Roman"/>
          <w:b/>
          <w:sz w:val="20"/>
        </w:rPr>
        <w:t>Security Agreement</w:t>
      </w:r>
      <w:r>
        <w:rPr>
          <w:rFonts w:ascii="Times New Roman" w:hAnsi="Times New Roman"/>
          <w:sz w:val="20"/>
        </w:rPr>
        <w:t xml:space="preserve">”), among the Borrower, Holdings, the other guarantors from time to time party thereto, WILMINGTON TRUST, NATIONAL ASSOCIATION, as Administrative Agent for the Secured Parties, and certain Subsidiaries of the Borrower from time to time party thereto. </w:t>
      </w:r>
    </w:p>
    <w:p>
      <w:pPr>
        <w:pStyle w:val="TextBody"/>
        <w:bidi w:val="0"/>
        <w:spacing w:before="240" w:after="0"/>
        <w:jc w:val="left"/>
        <w:rPr>
          <w:rFonts w:ascii="Times New Roman" w:hAnsi="Times New Roman"/>
          <w:sz w:val="20"/>
        </w:rPr>
      </w:pPr>
      <w:r>
        <w:rPr>
          <w:rFonts w:ascii="Times New Roman" w:hAnsi="Times New Roman"/>
          <w:sz w:val="20"/>
        </w:rPr>
        <w:t xml:space="preserve">C. Capitalized terms used herein and not otherwise defined herein shall have the meanings assigned to such terms in the Credit Agreement and the Security Agreement, as applicable. </w:t>
      </w:r>
    </w:p>
    <w:p>
      <w:pPr>
        <w:pStyle w:val="TextBody"/>
        <w:bidi w:val="0"/>
        <w:spacing w:before="240" w:after="0"/>
        <w:jc w:val="left"/>
        <w:rPr>
          <w:rFonts w:ascii="Times New Roman" w:hAnsi="Times New Roman"/>
          <w:sz w:val="20"/>
        </w:rPr>
      </w:pPr>
      <w:r>
        <w:rPr>
          <w:rFonts w:ascii="Times New Roman" w:hAnsi="Times New Roman"/>
          <w:sz w:val="20"/>
        </w:rPr>
        <w:t>D. The Grantors have entered into the Security Agreement in order to induce the Lender to make Loans. Section 6.15 of the Security Agreement provides that additional Restricted Subsidiaries of the Borrower may become Grantors under the Security Agreement by execution and delivery of an instrument in the form of this Supplement. The undersigned Restricted Subsidiary (the “</w:t>
      </w:r>
      <w:r>
        <w:rPr>
          <w:rFonts w:ascii="Times New Roman" w:hAnsi="Times New Roman"/>
          <w:b/>
          <w:sz w:val="20"/>
        </w:rPr>
        <w:t>New Subsidiary</w:t>
      </w:r>
      <w:r>
        <w:rPr>
          <w:rFonts w:ascii="Times New Roman" w:hAnsi="Times New Roman"/>
          <w:sz w:val="20"/>
        </w:rPr>
        <w:t xml:space="preserve">”) is executing this Supplement in accordance with the requirements of the Credit Agreement to become a Grantor under the Security Agreement and as consideration Loans previously made.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Administrative Agent and the New Subsidiary agree as follows: </w:t>
      </w:r>
    </w:p>
    <w:p>
      <w:pPr>
        <w:pStyle w:val="TextBody"/>
        <w:bidi w:val="0"/>
        <w:spacing w:before="240" w:after="0"/>
        <w:jc w:val="left"/>
        <w:rPr>
          <w:rFonts w:ascii="Times New Roman" w:hAnsi="Times New Roman"/>
          <w:sz w:val="20"/>
        </w:rPr>
      </w:pPr>
      <w:r>
        <w:rPr>
          <w:rFonts w:ascii="Times New Roman" w:hAnsi="Times New Roman"/>
          <w:sz w:val="20"/>
        </w:rPr>
        <w:t>SECTION 1. In accordance with Section 6.15 of the Security Agreement, the New Subsidiary by its signature below becomes a Grantor under the Security Agreement with the same force and effect as if originally named therein as a Grantor and the New Subsidiary hereby (a) agrees to all the terms and provisions of the Security Agreement applicable to it as a Grantor and Grantor thereunder and (b) represents and warrants that the representations and warranties made by it as a Grantor thereunder are true and correct on and as of the date hereof. In furtherance of the foregoing, the New Subsidiary, as security for the payment and performance in full of the Secured Obligations does hereby create and grant to the Administrative Agent, its successors and assigns, for the benefit of the Secured Parties, their successors and assigns, a security interest in and lien on all of the New Subsidiary’s right, title and interest in and to the Collateral (as defined in the Security Agreement) of the New Subsidiary. Each reference to a “</w:t>
      </w:r>
      <w:r>
        <w:rPr>
          <w:rFonts w:ascii="Times New Roman" w:hAnsi="Times New Roman"/>
          <w:b/>
          <w:sz w:val="20"/>
        </w:rPr>
        <w:t>Grantor</w:t>
      </w:r>
      <w:r>
        <w:rPr>
          <w:rFonts w:ascii="Times New Roman" w:hAnsi="Times New Roman"/>
          <w:sz w:val="20"/>
        </w:rPr>
        <w:t xml:space="preserve">” in the Security Agreement shall be deemed to include the New Subsidiary. The Security Agreement is hereby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2. The New Subsidiary represents and warrants to the Administrative Agent and the other Secured Parties that this Supplement has been duly authorized, executed and delivered by it and constitutes its legal, valid and binding obligation, enforceable against it in accordance with its terms, except as such enforceability may be limited by Debtor Relief Laws and by general principles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This Supplement may be executed in counterparts (and by different parties hereto on different counterparts), each of which shall constitute an original, but all of which when taken together shall constitute a single contract. This Supplement shall become effective when the Administrative Agent shall have received a counterpart of this Supplement that bears the signature of the New Subsidiary, and the Administrative Agent has executed a counterpart hereof. Delivery of an executed signature page to this Supplement by facsimile transmission or other electronic communication shall be as effective as delivery of a manually signed counterpart of this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The New Subsidiary hereby represents and warrants that (a) set forth on Schedule I attached hereto is a true and correct schedule of the location of any and all Collateral of the New Subsidiary and (b) set forth under its signature hereto is the true and correct legal name of the New Subsidiary, its jurisdiction of formation and the location of its chief executive office. Schedule I shall be incorporated into, and after the date hereof be deemed part of, the Perfection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 Except as expressly supplemented hereby, the Security Agreement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THIS SUPPLEMENT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7. If any provision of this Supplement is held to be illegal, invalid or unenforceable, the legality, validity and enforceability of the remaining provisions of this Supplement and the other Loan Documents shall not be affected or impaired thereby. The invalidity of a provision in a particular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8. All communications and notices hereunder shall be in writing and given as provided in Section 6.01 of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The New Subsidiary agrees to reimburse the Administrative Agent for its reasonable out-of-pocket expenses in connection with the execution and delivery of this Supplement, including the reasonable fees, other charges and disbursements of counsel for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LIEN AND SECURITY INTEREST GRANTED TO THE ADMINISTRATIVE AGENT, FOR THE BENEFIT OF THE SECURED PARTIES, PURSUANT TO THIS AGREEMENT AND THE EXERCISE OF ANY RIGHT OR REMEDY BY THE ADMINISTRATIVE AGENT AND THE OTHER SECURED PARTIES HEREUNDER ARE SUBJECT TO THE PROVISIONS OF THE INTERCREDITOR AGREEMENT. IN THE EVENT OF ANY CONFLICT OR INCONSISTENCY BETWEEN THE PROVISIONS OF THE INTERCREDITOR AGREEMENT AND THIS AGREEMENT, THE PROVISIONS OF THE INTERCREDITOR AGREEMENT SHALL CONTROL.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New Subsidiary and the Administrative Agent have duly executed this Supplement to the Security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2"/>
        <w:gridCol w:w="93"/>
        <w:gridCol w:w="3457"/>
      </w:tblGrid>
      <w:tr>
        <w:trPr/>
        <w:tc>
          <w:tcPr>
            <w:tcW w:w="532"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NEW SUBSIDIARY]</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Name:</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Jurisdiction of Formation:</w:t>
            </w:r>
          </w:p>
          <w:p>
            <w:pPr>
              <w:pStyle w:val="TableContents"/>
              <w:bidi w:val="0"/>
              <w:spacing w:before="0" w:after="20"/>
              <w:jc w:val="left"/>
              <w:rPr>
                <w:rFonts w:ascii="Times New Roman" w:hAnsi="Times New Roman"/>
                <w:sz w:val="20"/>
              </w:rPr>
            </w:pPr>
            <w:r>
              <w:rPr>
                <w:rFonts w:ascii="Times New Roman" w:hAnsi="Times New Roman"/>
                <w:sz w:val="20"/>
              </w:rPr>
              <w:t>Address Of Chief Executive Office: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WILMINGTON TRUST, NATIONALASSOCIATION,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Name:</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I </w:t>
      </w:r>
    </w:p>
    <w:p>
      <w:pPr>
        <w:pStyle w:val="TextBody"/>
        <w:bidi w:val="0"/>
        <w:spacing w:before="0" w:after="0"/>
        <w:jc w:val="right"/>
        <w:rPr>
          <w:rFonts w:ascii="Times New Roman" w:hAnsi="Times New Roman"/>
          <w:sz w:val="20"/>
        </w:rPr>
      </w:pPr>
      <w:r>
        <w:rPr>
          <w:rFonts w:ascii="Times New Roman" w:hAnsi="Times New Roman"/>
          <w:sz w:val="20"/>
        </w:rPr>
        <w:t xml:space="preserve">TO SUPPLEMENTAL NO ___ TO THE </w:t>
      </w:r>
    </w:p>
    <w:p>
      <w:pPr>
        <w:pStyle w:val="TextBody"/>
        <w:bidi w:val="0"/>
        <w:spacing w:before="0" w:after="0"/>
        <w:jc w:val="right"/>
        <w:rPr>
          <w:rFonts w:ascii="Times New Roman" w:hAnsi="Times New Roman"/>
          <w:sz w:val="20"/>
        </w:rPr>
      </w:pPr>
      <w:r>
        <w:rPr>
          <w:rFonts w:ascii="Times New Roman" w:hAnsi="Times New Roman"/>
          <w:sz w:val="20"/>
        </w:rPr>
        <w:t xml:space="preserve">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LOCATION OF COLLATERAL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7"/>
        <w:gridCol w:w="122"/>
        <w:gridCol w:w="7106"/>
      </w:tblGrid>
      <w:tr>
        <w:trPr/>
        <w:tc>
          <w:tcPr>
            <w:tcW w:w="297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06" w:type="dxa"/>
            <w:tcBorders/>
            <w:vAlign w:val="center"/>
          </w:tcPr>
          <w:p>
            <w:pPr>
              <w:pStyle w:val="TableContents"/>
              <w:bidi w:val="0"/>
              <w:spacing w:before="0" w:after="283"/>
              <w:jc w:val="left"/>
              <w:rPr>
                <w:sz w:val="4"/>
                <w:szCs w:val="4"/>
              </w:rPr>
            </w:pPr>
            <w:r>
              <w:rPr>
                <w:sz w:val="4"/>
                <w:szCs w:val="4"/>
              </w:rPr>
            </w:r>
          </w:p>
        </w:tc>
      </w:tr>
      <w:tr>
        <w:trPr/>
        <w:tc>
          <w:tcPr>
            <w:tcW w:w="2977" w:type="dxa"/>
            <w:tcBorders/>
          </w:tcPr>
          <w:p>
            <w:pPr>
              <w:pStyle w:val="TableContents"/>
              <w:bidi w:val="0"/>
              <w:spacing w:before="0" w:after="283"/>
              <w:jc w:val="left"/>
              <w:rPr>
                <w:b/>
              </w:rPr>
            </w:pPr>
            <w:r>
              <w:rPr>
                <w:b/>
              </w:rPr>
              <w:t>Description</w:t>
            </w:r>
          </w:p>
        </w:tc>
        <w:tc>
          <w:tcPr>
            <w:tcW w:w="122" w:type="dxa"/>
            <w:tcBorders/>
            <w:vAlign w:val="bottom"/>
          </w:tcPr>
          <w:p>
            <w:pPr>
              <w:pStyle w:val="TableContents"/>
              <w:bidi w:val="0"/>
              <w:spacing w:before="0" w:after="283"/>
              <w:jc w:val="left"/>
              <w:rPr/>
            </w:pPr>
            <w:r>
              <w:rPr/>
              <w:t>  </w:t>
            </w:r>
          </w:p>
        </w:tc>
        <w:tc>
          <w:tcPr>
            <w:tcW w:w="7106" w:type="dxa"/>
            <w:tcBorders/>
          </w:tcPr>
          <w:p>
            <w:pPr>
              <w:pStyle w:val="TableContents"/>
              <w:bidi w:val="0"/>
              <w:spacing w:before="0" w:after="283"/>
              <w:jc w:val="left"/>
              <w:rPr>
                <w:b/>
              </w:rPr>
            </w:pPr>
            <w:r>
              <w:rPr>
                <w:b/>
              </w:rPr>
              <w:t>Location</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EQUITY INTERESTS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4"/>
        <w:gridCol w:w="107"/>
        <w:gridCol w:w="1971"/>
        <w:gridCol w:w="107"/>
        <w:gridCol w:w="2063"/>
        <w:gridCol w:w="214"/>
        <w:gridCol w:w="1652"/>
        <w:gridCol w:w="120"/>
        <w:gridCol w:w="1697"/>
      </w:tblGrid>
      <w:tr>
        <w:trPr/>
        <w:tc>
          <w:tcPr>
            <w:tcW w:w="227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22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Issuer</w:t>
            </w:r>
          </w:p>
        </w:tc>
        <w:tc>
          <w:tcPr>
            <w:tcW w:w="107" w:type="dxa"/>
            <w:tcBorders/>
            <w:vAlign w:val="bottom"/>
          </w:tcPr>
          <w:p>
            <w:pPr>
              <w:pStyle w:val="TableContents"/>
              <w:bidi w:val="0"/>
              <w:spacing w:before="0" w:after="283"/>
              <w:jc w:val="left"/>
              <w:rPr/>
            </w:pPr>
            <w:r>
              <w:rPr/>
              <w:t> </w:t>
            </w:r>
          </w:p>
        </w:tc>
        <w:tc>
          <w:tcPr>
            <w:tcW w:w="197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20"/>
              <w:jc w:val="center"/>
              <w:rPr>
                <w:rFonts w:ascii="Times New Roman" w:hAnsi="Times New Roman"/>
                <w:b/>
                <w:sz w:val="16"/>
              </w:rPr>
            </w:pPr>
            <w:r>
              <w:rPr>
                <w:rFonts w:ascii="Times New Roman" w:hAnsi="Times New Roman"/>
                <w:b/>
                <w:sz w:val="16"/>
              </w:rPr>
              <w:t>Certificate</w:t>
            </w:r>
          </w:p>
        </w:tc>
        <w:tc>
          <w:tcPr>
            <w:tcW w:w="107" w:type="dxa"/>
            <w:tcBorders/>
            <w:vAlign w:val="bottom"/>
          </w:tcPr>
          <w:p>
            <w:pPr>
              <w:pStyle w:val="TableContents"/>
              <w:bidi w:val="0"/>
              <w:spacing w:before="0" w:after="283"/>
              <w:jc w:val="left"/>
              <w:rPr/>
            </w:pPr>
            <w:r>
              <w:rPr/>
              <w:t> </w:t>
            </w:r>
          </w:p>
        </w:tc>
        <w:tc>
          <w:tcPr>
            <w:tcW w:w="206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Registered</w:t>
            </w:r>
          </w:p>
          <w:p>
            <w:pPr>
              <w:pStyle w:val="TableContents"/>
              <w:bidi w:val="0"/>
              <w:spacing w:before="0" w:after="20"/>
              <w:jc w:val="center"/>
              <w:rPr>
                <w:rFonts w:ascii="Times New Roman" w:hAnsi="Times New Roman"/>
                <w:b/>
                <w:sz w:val="16"/>
              </w:rPr>
            </w:pPr>
            <w:r>
              <w:rPr>
                <w:rFonts w:ascii="Times New Roman" w:hAnsi="Times New Roman"/>
                <w:b/>
                <w:sz w:val="16"/>
              </w:rPr>
              <w:t>Owner</w:t>
            </w:r>
          </w:p>
        </w:tc>
        <w:tc>
          <w:tcPr>
            <w:tcW w:w="214" w:type="dxa"/>
            <w:tcBorders/>
            <w:vAlign w:val="bottom"/>
          </w:tcPr>
          <w:p>
            <w:pPr>
              <w:pStyle w:val="TableContents"/>
              <w:bidi w:val="0"/>
              <w:spacing w:before="0" w:after="283"/>
              <w:jc w:val="left"/>
              <w:rPr/>
            </w:pPr>
            <w:r>
              <w:rPr/>
              <w:t>  </w:t>
            </w:r>
          </w:p>
        </w:tc>
        <w:tc>
          <w:tcPr>
            <w:tcW w:w="165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and</w:t>
            </w:r>
          </w:p>
          <w:p>
            <w:pPr>
              <w:pStyle w:val="TableContents"/>
              <w:bidi w:val="0"/>
              <w:spacing w:before="0" w:after="0"/>
              <w:jc w:val="center"/>
              <w:rPr>
                <w:rFonts w:ascii="Times New Roman" w:hAnsi="Times New Roman"/>
                <w:b/>
                <w:sz w:val="16"/>
              </w:rPr>
            </w:pPr>
            <w:r>
              <w:rPr>
                <w:rFonts w:ascii="Times New Roman" w:hAnsi="Times New Roman"/>
                <w:b/>
                <w:sz w:val="16"/>
              </w:rPr>
              <w:t>Class of</w:t>
            </w:r>
          </w:p>
          <w:p>
            <w:pPr>
              <w:pStyle w:val="TableContents"/>
              <w:bidi w:val="0"/>
              <w:spacing w:before="0" w:after="20"/>
              <w:jc w:val="center"/>
              <w:rPr>
                <w:rFonts w:ascii="Times New Roman" w:hAnsi="Times New Roman"/>
                <w:b/>
                <w:sz w:val="16"/>
              </w:rPr>
            </w:pPr>
            <w:r>
              <w:rPr>
                <w:rFonts w:ascii="Times New Roman" w:hAnsi="Times New Roman"/>
                <w:b/>
                <w:sz w:val="16"/>
              </w:rPr>
              <w:t>Equity Interests</w:t>
            </w:r>
          </w:p>
        </w:tc>
        <w:tc>
          <w:tcPr>
            <w:tcW w:w="120" w:type="dxa"/>
            <w:tcBorders/>
            <w:vAlign w:val="bottom"/>
          </w:tcPr>
          <w:p>
            <w:pPr>
              <w:pStyle w:val="TableContents"/>
              <w:bidi w:val="0"/>
              <w:spacing w:before="0" w:after="283"/>
              <w:jc w:val="left"/>
              <w:rPr/>
            </w:pPr>
            <w:r>
              <w:rPr/>
              <w:t>  </w:t>
            </w:r>
          </w:p>
        </w:tc>
        <w:tc>
          <w:tcPr>
            <w:tcW w:w="16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Percentage of</w:t>
            </w:r>
          </w:p>
          <w:p>
            <w:pPr>
              <w:pStyle w:val="TableContents"/>
              <w:bidi w:val="0"/>
              <w:spacing w:before="0" w:after="20"/>
              <w:jc w:val="center"/>
              <w:rPr>
                <w:rFonts w:ascii="Times New Roman" w:hAnsi="Times New Roman"/>
                <w:b/>
                <w:sz w:val="16"/>
              </w:rPr>
            </w:pPr>
            <w:r>
              <w:rPr>
                <w:rFonts w:ascii="Times New Roman" w:hAnsi="Times New Roman"/>
                <w:b/>
                <w:sz w:val="16"/>
              </w:rPr>
              <w:t>Equity Interests</w:t>
            </w:r>
          </w:p>
        </w:tc>
      </w:tr>
    </w:tbl>
    <w:p>
      <w:pPr>
        <w:pStyle w:val="TextBody"/>
        <w:bidi w:val="0"/>
        <w:spacing w:before="240" w:after="0"/>
        <w:jc w:val="center"/>
        <w:rPr>
          <w:rFonts w:ascii="Times New Roman" w:hAnsi="Times New Roman"/>
          <w:sz w:val="20"/>
        </w:rPr>
      </w:pPr>
      <w:r>
        <w:rPr>
          <w:rFonts w:ascii="Times New Roman" w:hAnsi="Times New Roman"/>
          <w:sz w:val="20"/>
        </w:rPr>
        <w:t xml:space="preserve">DEBT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1"/>
        <w:gridCol w:w="120"/>
        <w:gridCol w:w="2949"/>
        <w:gridCol w:w="120"/>
        <w:gridCol w:w="2889"/>
        <w:gridCol w:w="120"/>
        <w:gridCol w:w="716"/>
      </w:tblGrid>
      <w:tr>
        <w:trPr/>
        <w:tc>
          <w:tcPr>
            <w:tcW w:w="32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2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Issuer</w:t>
            </w:r>
          </w:p>
        </w:tc>
        <w:tc>
          <w:tcPr>
            <w:tcW w:w="120" w:type="dxa"/>
            <w:tcBorders/>
            <w:vAlign w:val="bottom"/>
          </w:tcPr>
          <w:p>
            <w:pPr>
              <w:pStyle w:val="TableContents"/>
              <w:bidi w:val="0"/>
              <w:spacing w:before="0" w:after="283"/>
              <w:jc w:val="left"/>
              <w:rPr/>
            </w:pPr>
            <w:r>
              <w:rPr/>
              <w:t>  </w:t>
            </w:r>
          </w:p>
        </w:tc>
        <w:tc>
          <w:tcPr>
            <w:tcW w:w="29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r>
          </w:p>
        </w:tc>
        <w:tc>
          <w:tcPr>
            <w:tcW w:w="120" w:type="dxa"/>
            <w:tcBorders/>
            <w:vAlign w:val="bottom"/>
          </w:tcPr>
          <w:p>
            <w:pPr>
              <w:pStyle w:val="TableContents"/>
              <w:bidi w:val="0"/>
              <w:spacing w:before="0" w:after="283"/>
              <w:jc w:val="left"/>
              <w:rPr/>
            </w:pPr>
            <w:r>
              <w:rPr/>
              <w:t>  </w:t>
            </w:r>
          </w:p>
        </w:tc>
        <w:tc>
          <w:tcPr>
            <w:tcW w:w="28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Note</w:t>
            </w:r>
          </w:p>
        </w:tc>
        <w:tc>
          <w:tcPr>
            <w:tcW w:w="120" w:type="dxa"/>
            <w:tcBorders/>
            <w:vAlign w:val="bottom"/>
          </w:tcPr>
          <w:p>
            <w:pPr>
              <w:pStyle w:val="TableContents"/>
              <w:bidi w:val="0"/>
              <w:spacing w:before="0" w:after="283"/>
              <w:jc w:val="left"/>
              <w:rPr/>
            </w:pPr>
            <w:r>
              <w:rPr/>
              <w:t>  </w:t>
            </w:r>
          </w:p>
        </w:tc>
        <w:tc>
          <w:tcPr>
            <w:tcW w:w="7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Maturity</w:t>
              <w:br/>
              <w:t>Date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II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PERFECTION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[On 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III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PATENT SECURITY AGREEMENT </w:t>
      </w:r>
    </w:p>
    <w:p>
      <w:pPr>
        <w:pStyle w:val="TextBody"/>
        <w:bidi w:val="0"/>
        <w:spacing w:before="240" w:after="0"/>
        <w:jc w:val="left"/>
        <w:rPr>
          <w:rFonts w:ascii="Times New Roman" w:hAnsi="Times New Roman"/>
          <w:sz w:val="20"/>
        </w:rPr>
      </w:pPr>
      <w:r>
        <w:rPr>
          <w:rFonts w:ascii="Times New Roman" w:hAnsi="Times New Roman"/>
          <w:sz w:val="20"/>
        </w:rPr>
        <w:t>PATENT SECURITY AGREEMENT, dated as of September 28, 2026 among SABRE HOLDINGS CORPORATION (“</w:t>
      </w:r>
      <w:r>
        <w:rPr>
          <w:rFonts w:ascii="Times New Roman" w:hAnsi="Times New Roman"/>
          <w:b/>
          <w:sz w:val="20"/>
        </w:rPr>
        <w:t>Holdings</w:t>
      </w:r>
      <w:r>
        <w:rPr>
          <w:rFonts w:ascii="Times New Roman" w:hAnsi="Times New Roman"/>
          <w:sz w:val="20"/>
        </w:rPr>
        <w:t>”), SABRE GLBL INC. (the “</w:t>
      </w:r>
      <w:r>
        <w:rPr>
          <w:rFonts w:ascii="Times New Roman" w:hAnsi="Times New Roman"/>
          <w:b/>
          <w:sz w:val="20"/>
        </w:rPr>
        <w:t>Borrower</w:t>
      </w:r>
      <w:r>
        <w:rPr>
          <w:rFonts w:ascii="Times New Roman" w:hAnsi="Times New Roman"/>
          <w:sz w:val="20"/>
        </w:rPr>
        <w:t xml:space="preserve">”), certain Subsidiaries of the Borrower from time to time party hereto and WILMINGTON TRUST, NATIONAL ASSOCIATION. as Administrative Agent for the Secured Parties (as defined below). </w:t>
      </w:r>
    </w:p>
    <w:p>
      <w:pPr>
        <w:pStyle w:val="TextBody"/>
        <w:bidi w:val="0"/>
        <w:spacing w:before="240" w:after="0"/>
        <w:jc w:val="left"/>
        <w:rPr>
          <w:rFonts w:ascii="Times New Roman" w:hAnsi="Times New Roman"/>
          <w:sz w:val="20"/>
        </w:rPr>
      </w:pPr>
      <w:r>
        <w:rPr>
          <w:rFonts w:ascii="Times New Roman" w:hAnsi="Times New Roman"/>
          <w:sz w:val="20"/>
        </w:rPr>
        <w:t>Reference is made to the Pledge and Security Agreement dated as of September 28, 2026 (as amended, restated, supplemented or otherwise modified from time to time, the “</w:t>
      </w:r>
      <w:r>
        <w:rPr>
          <w:rFonts w:ascii="Times New Roman" w:hAnsi="Times New Roman"/>
          <w:b/>
          <w:sz w:val="20"/>
        </w:rPr>
        <w:t>Security Agreement</w:t>
      </w:r>
      <w:r>
        <w:rPr>
          <w:rFonts w:ascii="Times New Roman" w:hAnsi="Times New Roman"/>
          <w:sz w:val="20"/>
        </w:rPr>
        <w:t>”), among Holdings, the Borrower, certain Subsidiaries of the Borrower from time to time party thereto and the Administrative Agent. The Secured Parties’ agreements in respect of extensions of credit to the Borrower are set forth in the First Lien Pari Passu Credit Agreement dated as of September 28, 2026 (as amended, restated, supplemented or otherwise modified from time to time, the “</w:t>
      </w:r>
      <w:r>
        <w:rPr>
          <w:rFonts w:ascii="Times New Roman" w:hAnsi="Times New Roman"/>
          <w:b/>
          <w:sz w:val="20"/>
        </w:rPr>
        <w:t>Credit Agreement</w:t>
      </w:r>
      <w:r>
        <w:rPr>
          <w:rFonts w:ascii="Times New Roman" w:hAnsi="Times New Roman"/>
          <w:sz w:val="20"/>
        </w:rPr>
        <w:t>”), among the Borrower, Holdings, the other grantors from time to time party thereto, WILMINGTON TRUST, NATIONAL ASSOCIATION, as Administrative Agent, and the lender from time to time party thereto (the “</w:t>
      </w:r>
      <w:r>
        <w:rPr>
          <w:rFonts w:ascii="Times New Roman" w:hAnsi="Times New Roman"/>
          <w:b/>
          <w:sz w:val="20"/>
        </w:rPr>
        <w:t>Lender</w:t>
      </w:r>
      <w:r>
        <w:rPr>
          <w:rFonts w:ascii="Times New Roman" w:hAnsi="Times New Roman"/>
          <w:sz w:val="20"/>
        </w:rPr>
        <w:t xml:space="preserve">”). Each of Holdings and the Subsidiaries party hereto is an affiliate of the Borrower and will derive substantial benefits from the extension of credit to the Borrower pursuant to the Credit Agreement and is willing to execute and deliver this Agreement in order to induce the Lender to extend such credit. Accordingly,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Terms.</w:t>
      </w:r>
      <w:r>
        <w:rPr>
          <w:rFonts w:ascii="Times New Roman" w:hAnsi="Times New Roman"/>
          <w:sz w:val="20"/>
        </w:rPr>
        <w:t xml:space="preserve"> Capitalized terms used in this Agreement and not otherwise defined herein have the meanings specified in the Security Agreement or the Credit Agreement, as applicable. The rules of construction specified in Article 1 of the Credit Agreement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Grant of Security Interest.</w:t>
      </w:r>
      <w:r>
        <w:rPr>
          <w:rFonts w:ascii="Times New Roman" w:hAnsi="Times New Roman"/>
          <w:sz w:val="20"/>
        </w:rPr>
        <w:t xml:space="preserve"> As security for the payment or performance, as the case may be, in full of the Secured Obligations, each Grantor, pursuant to and in accordance with the Security Agreement, did and hereby does grant to the Administrative Agent, its successors and assigns, for the benefit of the Secured Parties, a security interest in, all right, title and interest in or to any and all of the following assets and properties now owned or at any time hereafter acquired by such Grantor or in which such Grantor now has or at any time in the future may acquire any right, title or interest (collectively, the “</w:t>
      </w:r>
      <w:r>
        <w:rPr>
          <w:rFonts w:ascii="Times New Roman" w:hAnsi="Times New Roman"/>
          <w:b/>
          <w:sz w:val="20"/>
        </w:rPr>
        <w:t>Patent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letters Patent of the United States, all registrations and recordings thereof, and all applications for letters Patent of the United States in or to which any Grantor now or hereafter has any right, title or interest therein, including registrations, recordings and pending applications in the USPTO, and all reissues, continuations, divisions, continuations-in-part, renewals, improvements or extensions thereof; </w:t>
      </w:r>
    </w:p>
    <w:p>
      <w:pPr>
        <w:pStyle w:val="TextBody"/>
        <w:bidi w:val="0"/>
        <w:spacing w:before="240" w:after="0"/>
        <w:jc w:val="left"/>
        <w:rPr>
          <w:rFonts w:ascii="Times New Roman" w:hAnsi="Times New Roman"/>
          <w:sz w:val="20"/>
        </w:rPr>
      </w:pPr>
      <w:r>
        <w:rPr>
          <w:rFonts w:ascii="Times New Roman" w:hAnsi="Times New Roman"/>
          <w:sz w:val="20"/>
        </w:rPr>
        <w:t xml:space="preserve">(ii) all Proceeds of the foregoing, including license fees, royalties, income, payments, claims, damages and proceeds of suit now or hereafter due and/or payable with respect thereto; and </w:t>
      </w:r>
    </w:p>
    <w:p>
      <w:pPr>
        <w:pStyle w:val="TextBody"/>
        <w:bidi w:val="0"/>
        <w:spacing w:before="240" w:after="0"/>
        <w:jc w:val="left"/>
        <w:rPr>
          <w:rFonts w:ascii="Times New Roman" w:hAnsi="Times New Roman"/>
          <w:sz w:val="20"/>
        </w:rPr>
      </w:pPr>
      <w:r>
        <w:rPr>
          <w:rFonts w:ascii="Times New Roman" w:hAnsi="Times New Roman"/>
          <w:sz w:val="20"/>
        </w:rPr>
        <w:t xml:space="preserve">(iii) all causes of action arising prior to or after the date hereof for infringement of any of the foregoing, or unfair competition claims regarding the same.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is made to secure the satisfactory performance and payment of the Secured Obligations. This Patent Security Agreement and the security interest granted hereby shall terminate with respect to all of a Grantor’s Secured Obligations and any Lien arising therefrom shall be automatically released upon termination of the Security Agreement or release of such Grantor’s obligations thereunder. The Administrative Agent shall, in connection with any termination or release herein or under the Security Agreement, execute and deliver to any Grantor, at such Grantor’s expense and as such Grantor may request, an instrument in writing releasing the security interest in the Patent Collateral acquired under this Agreement. Additionally, upon such satisfactory performance or payment, the Administrative Agent shall reasonably cooperate with any efforts made by a Grantor to make of record or otherwise confirm such satisfaction including, but not limited to, the release and/or termination of this Agreement and any security interest in, to or under the Patent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Supplement to the Security Agreement.</w:t>
      </w:r>
      <w:r>
        <w:rPr>
          <w:rFonts w:ascii="Times New Roman" w:hAnsi="Times New Roman"/>
          <w:sz w:val="20"/>
        </w:rPr>
        <w:t xml:space="preserve"> The security interests granted to the Administrative Agent herein are granted in furtherance, and not in limitation of, the security interests granted to the Administrative Agent pursuant to the Security Agreement. Each Grantor hereby acknowledges and affirms that the rights and remedies of the Administrative Agent with respect to the Patent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Holdings and the Borrower jointly and severally represent and warrant, as to themselves and the other Grantors, to the Administrative Agent and the Secured Parties, that a true and correct list of all of the existing material Patent Collateral consisting of U.S. Patent registrations or applications owned by the Grantor, in whole or in part, as of the date hereof, is set forth in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The provisions of Article VI of the Security Agreement are hereby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LIEN AND SECURITY INTEREST GRANTED TO THE ADMINISTRATIVE AGENT, FOR THE BENEFIT OF THE SECURED PARTIES, PURSUANT TO THIS AGREEMENT AND THE EXERCISE OF ANY RIGHT OR REMEDY BY THE ADMINISTRATIVE AGENT AND THE OTHER SECURED PARTIES HEREUNDER ARE SUBJECT TO THE PROVISIONS OF THE INTERCREDITOR AGREEMENT. IN THE EVENT OF ANY CONFLICT OR INCONSISTENCY BETWEEN THE PROVISIONS OF THE INTERCREDITOR AGREEMENT AND THIS AGREEMENT, THE PROVISIONS OF THE INTERCREDITOR AGREEMENT SHALL CONTROL.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HOLDINGS CORPORATION,</w:t>
            </w:r>
          </w:p>
          <w:p>
            <w:pPr>
              <w:pStyle w:val="TableContents"/>
              <w:bidi w:val="0"/>
              <w:spacing w:before="0" w:after="20"/>
              <w:jc w:val="left"/>
              <w:rPr/>
            </w:pPr>
            <w:r>
              <w:rPr/>
              <w:t> </w:t>
            </w:r>
            <w:r>
              <w:rPr>
                <w:rFonts w:ascii="Times New Roman" w:hAnsi="Times New Roman"/>
                <w:sz w:val="20"/>
              </w:rPr>
              <w:t>as Holdings</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Roushan Zenooz</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GLBL INC.,</w:t>
            </w:r>
          </w:p>
          <w:p>
            <w:pPr>
              <w:pStyle w:val="TableContents"/>
              <w:bidi w:val="0"/>
              <w:spacing w:before="0" w:after="20"/>
              <w:jc w:val="left"/>
              <w:rPr/>
            </w:pPr>
            <w:r>
              <w:rPr/>
              <w:t> </w:t>
            </w:r>
            <w:r>
              <w:rPr>
                <w:rFonts w:ascii="Times New Roman" w:hAnsi="Times New Roman"/>
                <w:sz w:val="20"/>
              </w:rPr>
              <w:t>as the Borrower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Roushan Zenooz</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EACH OF THE LOAN PARTIES LISTED ON ANNEX A HERETO</w:t>
            </w:r>
            <w:r>
              <w:rPr/>
              <w:t>,</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Name:Roushan Zenooz</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Patent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28"/>
        <w:gridCol w:w="92"/>
        <w:gridCol w:w="3462"/>
      </w:tblGrid>
      <w:tr>
        <w:trPr/>
        <w:tc>
          <w:tcPr>
            <w:tcW w:w="52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accepted.</w:t>
            </w:r>
          </w:p>
        </w:tc>
      </w:tr>
      <w:tr>
        <w:trPr>
          <w:trHeight w:val="195"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WILMINGTON TRUST, NATIONAL ASSOCIATION,</w:t>
            </w:r>
            <w:r>
              <w:rPr>
                <w:rFonts w:ascii="Times New Roman" w:hAnsi="Times New Roman"/>
                <w:sz w:val="20"/>
              </w:rPr>
              <w:t xml:space="preserve"> as Administrative Agent</w:t>
            </w:r>
          </w:p>
        </w:tc>
      </w:tr>
      <w:tr>
        <w:trPr>
          <w:trHeight w:val="195" w:hRule="atLeast"/>
        </w:trPr>
        <w:tc>
          <w:tcPr>
            <w:tcW w:w="528" w:type="dxa"/>
            <w:tcBorders/>
            <w:vAlign w:val="center"/>
          </w:tcPr>
          <w:p>
            <w:pPr>
              <w:pStyle w:val="TableContents"/>
              <w:bidi w:val="0"/>
              <w:spacing w:before="0" w:after="283"/>
              <w:jc w:val="left"/>
              <w:rPr>
                <w:sz w:val="4"/>
                <w:szCs w:val="4"/>
              </w:rPr>
            </w:pPr>
            <w:r>
              <w:rPr>
                <w:sz w:val="4"/>
                <w:szCs w:val="4"/>
              </w:rPr>
            </w:r>
          </w:p>
        </w:tc>
        <w:tc>
          <w:tcPr>
            <w:tcW w:w="3554" w:type="dxa"/>
            <w:gridSpan w:val="2"/>
            <w:tcBorders/>
            <w:vAlign w:val="center"/>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pBdr>
                <w:bottom w:val="single" w:sz="2" w:space="1" w:color="000000"/>
              </w:pBdr>
              <w:bidi w:val="0"/>
              <w:spacing w:before="0" w:after="20"/>
              <w:jc w:val="left"/>
              <w:rPr/>
            </w:pPr>
            <w:r>
              <w:rPr/>
              <w:t> </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Name:</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Short Particulars of U.S. Patent Collateral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
        <w:gridCol w:w="133"/>
        <w:gridCol w:w="4761"/>
        <w:gridCol w:w="212"/>
        <w:gridCol w:w="1430"/>
        <w:gridCol w:w="212"/>
        <w:gridCol w:w="1529"/>
        <w:gridCol w:w="212"/>
        <w:gridCol w:w="1442"/>
      </w:tblGrid>
      <w:tr>
        <w:trPr/>
        <w:tc>
          <w:tcPr>
            <w:tcW w:w="2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76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212" w:type="dxa"/>
            <w:tcBorders/>
            <w:vAlign w:val="bottom"/>
          </w:tcPr>
          <w:p>
            <w:pPr>
              <w:pStyle w:val="TableContents"/>
              <w:bidi w:val="0"/>
              <w:spacing w:before="0" w:after="283"/>
              <w:jc w:val="left"/>
              <w:rPr/>
            </w:pPr>
            <w:r>
              <w:rPr/>
              <w:t>  </w:t>
            </w:r>
          </w:p>
        </w:tc>
        <w:tc>
          <w:tcPr>
            <w:tcW w:w="14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Owner</w:t>
            </w:r>
          </w:p>
        </w:tc>
        <w:tc>
          <w:tcPr>
            <w:tcW w:w="212" w:type="dxa"/>
            <w:tcBorders/>
            <w:vAlign w:val="bottom"/>
          </w:tcPr>
          <w:p>
            <w:pPr>
              <w:pStyle w:val="TableContents"/>
              <w:bidi w:val="0"/>
              <w:spacing w:before="0" w:after="283"/>
              <w:jc w:val="left"/>
              <w:rPr/>
            </w:pPr>
            <w:r>
              <w:rPr/>
              <w:t>  </w:t>
            </w:r>
          </w:p>
        </w:tc>
        <w:tc>
          <w:tcPr>
            <w:tcW w:w="1529" w:type="dxa"/>
            <w:tcBorders>
              <w:bottom w:val="single" w:sz="8" w:space="0" w:color="000000"/>
            </w:tcBorders>
            <w:tcMar>
              <w:bottom w:w="28" w:type="dxa"/>
            </w:tcMar>
            <w:vAlign w:val="bottom"/>
          </w:tcPr>
          <w:p>
            <w:pPr>
              <w:pStyle w:val="TableContents"/>
              <w:bidi w:val="0"/>
              <w:spacing w:before="0" w:after="283"/>
              <w:jc w:val="center"/>
              <w:rPr>
                <w:b/>
              </w:rPr>
            </w:pPr>
            <w:r>
              <w:rPr>
                <w:b/>
              </w:rPr>
              <w:t>(Application</w:t>
              <w:br/>
              <w:t>Number)/Patent</w:t>
              <w:br/>
              <w:t>Number</w:t>
            </w:r>
          </w:p>
        </w:tc>
        <w:tc>
          <w:tcPr>
            <w:tcW w:w="212" w:type="dxa"/>
            <w:tcBorders/>
            <w:vAlign w:val="bottom"/>
          </w:tcPr>
          <w:p>
            <w:pPr>
              <w:pStyle w:val="TableContents"/>
              <w:bidi w:val="0"/>
              <w:spacing w:before="0" w:after="283"/>
              <w:jc w:val="left"/>
              <w:rPr/>
            </w:pPr>
            <w:r>
              <w:rPr/>
              <w:t>  </w:t>
            </w:r>
          </w:p>
        </w:tc>
        <w:tc>
          <w:tcPr>
            <w:tcW w:w="1442" w:type="dxa"/>
            <w:tcBorders>
              <w:bottom w:val="single" w:sz="8" w:space="0" w:color="000000"/>
            </w:tcBorders>
            <w:tcMar>
              <w:bottom w:w="28" w:type="dxa"/>
            </w:tcMar>
            <w:vAlign w:val="bottom"/>
          </w:tcPr>
          <w:p>
            <w:pPr>
              <w:pStyle w:val="TableContents"/>
              <w:bidi w:val="0"/>
              <w:spacing w:before="0" w:after="283"/>
              <w:jc w:val="center"/>
              <w:rPr>
                <w:b/>
              </w:rPr>
            </w:pPr>
            <w:r>
              <w:rPr>
                <w:b/>
              </w:rPr>
              <w:t>(Filing Date)/</w:t>
              <w:br/>
              <w:t>Issuance Date</w:t>
            </w:r>
          </w:p>
        </w:tc>
      </w:tr>
      <w:tr>
        <w:trPr/>
        <w:tc>
          <w:tcPr>
            <w:tcW w:w="274" w:type="dxa"/>
            <w:tcBorders/>
          </w:tcPr>
          <w:p>
            <w:pPr>
              <w:pStyle w:val="TableContents"/>
              <w:bidi w:val="0"/>
              <w:spacing w:before="0" w:after="283"/>
              <w:jc w:val="left"/>
              <w:rPr/>
            </w:pPr>
            <w:r>
              <w:rPr/>
              <w:t>1.</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System, Method, And Computer Program Product For Comparing The Cost Of Driving An Owned Or Leased Vehicle To The Cost Various Transportation Options</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TVL LP</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7561963</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07/14/2009</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2.</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System, Methods, And Computer Program Products For Determining Rankings Of Product Providers Displayed Via A Product Source System</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TVL LP</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7580868</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08/25/2009</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3.</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System, Method And Computer Program Product For Searching And Retrieving Ranked Points Of Interest Within A Polygonal Area Of Interest</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TVL LP</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7715981</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05/11/2010</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4.</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Systems, Methods And Computer Program Products For Retrieving And Parsing Data At Runtime</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TVL LP</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7861232</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12/28/2010</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5.</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System, Method, And Computer Program Product For Finding Web Services Using Example Queries</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8041727</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10/18/2011</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6.</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Rule-Based Shopping</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8126783</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02/28/2012</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7.</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Tokenized Data Security</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8595812</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11/26/2013</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8.</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Tokenized Data Security</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8739262</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05/27/2014</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9.</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Post-Booking Travel Assistance And Organization</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10,204,317</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02/12/2019</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10.</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Tokenized Data Security</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10,262,128</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04/16/2019</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11.</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Method, Apparatus, And Computer Program Product For Reservations, Inventory Control, Shopping, And Booking With Attribute Based Pricing</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11,017,326</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05/25/2021</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12.</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Data query system with improved response time</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11,455,312</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09/27/2022</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654"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13.</w:t>
            </w:r>
          </w:p>
        </w:tc>
        <w:tc>
          <w:tcPr>
            <w:tcW w:w="133"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System with adaptive ancillary services offering</w:t>
            </w:r>
          </w:p>
        </w:tc>
        <w:tc>
          <w:tcPr>
            <w:tcW w:w="212" w:type="dxa"/>
            <w:tcBorders/>
            <w:vAlign w:val="bottom"/>
          </w:tcPr>
          <w:p>
            <w:pPr>
              <w:pStyle w:val="TableContents"/>
              <w:bidi w:val="0"/>
              <w:spacing w:before="0" w:after="283"/>
              <w:jc w:val="left"/>
              <w:rPr/>
            </w:pPr>
            <w:r>
              <w:rPr/>
              <w:t>  </w:t>
            </w:r>
          </w:p>
        </w:tc>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21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left"/>
              <w:rPr/>
            </w:pPr>
            <w:r>
              <w:rPr/>
              <w:t>16/503,844</w:t>
            </w:r>
          </w:p>
        </w:tc>
        <w:tc>
          <w:tcPr>
            <w:tcW w:w="212"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left"/>
              <w:rPr/>
            </w:pPr>
            <w:r>
              <w:rPr/>
              <w:t>07/05/2019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p>
    <w:p>
      <w:pPr>
        <w:pStyle w:val="TextBody"/>
        <w:bidi w:val="0"/>
        <w:spacing w:before="0" w:after="0"/>
        <w:jc w:val="center"/>
        <w:rPr>
          <w:rFonts w:ascii="Times New Roman" w:hAnsi="Times New Roman"/>
          <w:sz w:val="20"/>
        </w:rPr>
      </w:pPr>
      <w:r>
        <w:rPr>
          <w:rFonts w:ascii="Times New Roman" w:hAnsi="Times New Roman"/>
          <w:sz w:val="20"/>
        </w:rPr>
        <w:t xml:space="preserve">Short Particulars of U.S. Patent Collateral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7"/>
        <w:gridCol w:w="120"/>
        <w:gridCol w:w="5134"/>
        <w:gridCol w:w="134"/>
        <w:gridCol w:w="1419"/>
        <w:gridCol w:w="134"/>
        <w:gridCol w:w="1538"/>
        <w:gridCol w:w="134"/>
        <w:gridCol w:w="1315"/>
      </w:tblGrid>
      <w:tr>
        <w:trPr/>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3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34" w:type="dxa"/>
            <w:tcBorders/>
            <w:vAlign w:val="bottom"/>
          </w:tcPr>
          <w:p>
            <w:pPr>
              <w:pStyle w:val="TableContents"/>
              <w:bidi w:val="0"/>
              <w:spacing w:before="0" w:after="283"/>
              <w:jc w:val="left"/>
              <w:rPr/>
            </w:pPr>
            <w:r>
              <w:rPr/>
              <w:t>  </w:t>
            </w:r>
          </w:p>
        </w:tc>
        <w:tc>
          <w:tcPr>
            <w:tcW w:w="14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Owner</w:t>
            </w:r>
          </w:p>
        </w:tc>
        <w:tc>
          <w:tcPr>
            <w:tcW w:w="134" w:type="dxa"/>
            <w:tcBorders/>
            <w:vAlign w:val="bottom"/>
          </w:tcPr>
          <w:p>
            <w:pPr>
              <w:pStyle w:val="TableContents"/>
              <w:bidi w:val="0"/>
              <w:spacing w:before="0" w:after="283"/>
              <w:jc w:val="left"/>
              <w:rPr/>
            </w:pPr>
            <w:r>
              <w:rPr/>
              <w:t>  </w:t>
            </w:r>
          </w:p>
        </w:tc>
        <w:tc>
          <w:tcPr>
            <w:tcW w:w="1538" w:type="dxa"/>
            <w:tcBorders>
              <w:bottom w:val="single" w:sz="8" w:space="0" w:color="000000"/>
            </w:tcBorders>
            <w:tcMar>
              <w:bottom w:w="28" w:type="dxa"/>
            </w:tcMar>
            <w:vAlign w:val="bottom"/>
          </w:tcPr>
          <w:p>
            <w:pPr>
              <w:pStyle w:val="TableContents"/>
              <w:bidi w:val="0"/>
              <w:spacing w:before="0" w:after="283"/>
              <w:jc w:val="center"/>
              <w:rPr>
                <w:b/>
              </w:rPr>
            </w:pPr>
            <w:r>
              <w:rPr>
                <w:b/>
              </w:rPr>
              <w:t>(Application</w:t>
              <w:br/>
              <w:t>Number)/Patent</w:t>
              <w:br/>
              <w:t>Number</w:t>
            </w:r>
          </w:p>
        </w:tc>
        <w:tc>
          <w:tcPr>
            <w:tcW w:w="134" w:type="dxa"/>
            <w:tcBorders/>
            <w:vAlign w:val="bottom"/>
          </w:tcPr>
          <w:p>
            <w:pPr>
              <w:pStyle w:val="TableContents"/>
              <w:bidi w:val="0"/>
              <w:spacing w:before="0" w:after="283"/>
              <w:jc w:val="left"/>
              <w:rPr/>
            </w:pPr>
            <w:r>
              <w:rPr/>
              <w:t>  </w:t>
            </w:r>
          </w:p>
        </w:tc>
        <w:tc>
          <w:tcPr>
            <w:tcW w:w="1315" w:type="dxa"/>
            <w:tcBorders>
              <w:bottom w:val="single" w:sz="8" w:space="0" w:color="000000"/>
            </w:tcBorders>
            <w:tcMar>
              <w:bottom w:w="28" w:type="dxa"/>
            </w:tcMar>
            <w:vAlign w:val="bottom"/>
          </w:tcPr>
          <w:p>
            <w:pPr>
              <w:pStyle w:val="TableContents"/>
              <w:bidi w:val="0"/>
              <w:spacing w:before="0" w:after="283"/>
              <w:jc w:val="center"/>
              <w:rPr/>
            </w:pPr>
            <w:r>
              <w:rPr>
                <w:b/>
              </w:rPr>
              <w:t>(Filing Date)/</w:t>
            </w:r>
            <w:r>
              <w:rPr/>
              <w:br/>
            </w:r>
            <w:r>
              <w:rPr>
                <w:b/>
              </w:rPr>
              <w:t>Issuance</w:t>
              <w:br/>
              <w:t>Date</w:t>
            </w:r>
          </w:p>
        </w:tc>
      </w:tr>
      <w:tr>
        <w:trPr>
          <w:trHeight w:val="120" w:hRule="atLeast"/>
        </w:trPr>
        <w:tc>
          <w:tcPr>
            <w:tcW w:w="277"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449"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14.</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Database Search Query Enhancer</w:t>
            </w:r>
          </w:p>
        </w:tc>
        <w:tc>
          <w:tcPr>
            <w:tcW w:w="134" w:type="dxa"/>
            <w:tcBorders/>
            <w:vAlign w:val="bottom"/>
          </w:tcPr>
          <w:p>
            <w:pPr>
              <w:pStyle w:val="TableContents"/>
              <w:bidi w:val="0"/>
              <w:spacing w:before="0" w:after="283"/>
              <w:jc w:val="left"/>
              <w:rPr/>
            </w:pPr>
            <w:r>
              <w:rPr/>
              <w:t>  </w:t>
            </w:r>
          </w:p>
        </w:tc>
        <w:tc>
          <w:tcPr>
            <w:tcW w:w="1419"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34"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11,809,420</w:t>
            </w:r>
          </w:p>
        </w:tc>
        <w:tc>
          <w:tcPr>
            <w:tcW w:w="134"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11/07/2023</w:t>
            </w:r>
          </w:p>
        </w:tc>
      </w:tr>
      <w:tr>
        <w:trPr>
          <w:trHeight w:val="120" w:hRule="atLeast"/>
        </w:trPr>
        <w:tc>
          <w:tcPr>
            <w:tcW w:w="277"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449"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15.</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Method, apparatus and computer program product for reservations, inventory control, shopping, and booking with attribute based pricing</w:t>
            </w:r>
          </w:p>
        </w:tc>
        <w:tc>
          <w:tcPr>
            <w:tcW w:w="134" w:type="dxa"/>
            <w:tcBorders/>
            <w:vAlign w:val="bottom"/>
          </w:tcPr>
          <w:p>
            <w:pPr>
              <w:pStyle w:val="TableContents"/>
              <w:bidi w:val="0"/>
              <w:spacing w:before="0" w:after="283"/>
              <w:jc w:val="left"/>
              <w:rPr/>
            </w:pPr>
            <w:r>
              <w:rPr/>
              <w:t>  </w:t>
            </w:r>
          </w:p>
        </w:tc>
        <w:tc>
          <w:tcPr>
            <w:tcW w:w="1419"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34"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11,755,962</w:t>
            </w:r>
          </w:p>
        </w:tc>
        <w:tc>
          <w:tcPr>
            <w:tcW w:w="134"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09/12/2023</w:t>
            </w:r>
          </w:p>
        </w:tc>
      </w:tr>
      <w:tr>
        <w:trPr>
          <w:trHeight w:val="120" w:hRule="atLeast"/>
        </w:trPr>
        <w:tc>
          <w:tcPr>
            <w:tcW w:w="277"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449"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16.</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Data query system with improved response time</w:t>
            </w:r>
          </w:p>
        </w:tc>
        <w:tc>
          <w:tcPr>
            <w:tcW w:w="134" w:type="dxa"/>
            <w:tcBorders/>
            <w:vAlign w:val="bottom"/>
          </w:tcPr>
          <w:p>
            <w:pPr>
              <w:pStyle w:val="TableContents"/>
              <w:bidi w:val="0"/>
              <w:spacing w:before="0" w:after="283"/>
              <w:jc w:val="left"/>
              <w:rPr/>
            </w:pPr>
            <w:r>
              <w:rPr/>
              <w:t>  </w:t>
            </w:r>
          </w:p>
        </w:tc>
        <w:tc>
          <w:tcPr>
            <w:tcW w:w="1419"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34"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11,755,600</w:t>
            </w:r>
          </w:p>
        </w:tc>
        <w:tc>
          <w:tcPr>
            <w:tcW w:w="134"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09/12/2023</w:t>
            </w:r>
          </w:p>
        </w:tc>
      </w:tr>
      <w:tr>
        <w:trPr>
          <w:trHeight w:val="120" w:hRule="atLeast"/>
        </w:trPr>
        <w:tc>
          <w:tcPr>
            <w:tcW w:w="277"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449"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17.</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Computerized Travel Itinerary Recommendation Tool and Method Using Contextual</w:t>
            </w:r>
          </w:p>
        </w:tc>
        <w:tc>
          <w:tcPr>
            <w:tcW w:w="134" w:type="dxa"/>
            <w:tcBorders/>
            <w:vAlign w:val="bottom"/>
          </w:tcPr>
          <w:p>
            <w:pPr>
              <w:pStyle w:val="TableContents"/>
              <w:bidi w:val="0"/>
              <w:spacing w:before="0" w:after="283"/>
              <w:jc w:val="left"/>
              <w:rPr/>
            </w:pPr>
            <w:r>
              <w:rPr/>
              <w:t>  </w:t>
            </w:r>
          </w:p>
        </w:tc>
        <w:tc>
          <w:tcPr>
            <w:tcW w:w="1419"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34"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16/219,234</w:t>
            </w:r>
          </w:p>
        </w:tc>
        <w:tc>
          <w:tcPr>
            <w:tcW w:w="134"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12/13/2018</w:t>
            </w:r>
          </w:p>
        </w:tc>
      </w:tr>
      <w:tr>
        <w:trPr>
          <w:trHeight w:val="120" w:hRule="atLeast"/>
        </w:trPr>
        <w:tc>
          <w:tcPr>
            <w:tcW w:w="277"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449"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18.</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Method, Apparatus and Computer Product for Reservations, Inventory Controls, Shopping and Booking with Attribute Based Pricing</w:t>
            </w:r>
          </w:p>
        </w:tc>
        <w:tc>
          <w:tcPr>
            <w:tcW w:w="134" w:type="dxa"/>
            <w:tcBorders/>
            <w:vAlign w:val="bottom"/>
          </w:tcPr>
          <w:p>
            <w:pPr>
              <w:pStyle w:val="TableContents"/>
              <w:bidi w:val="0"/>
              <w:spacing w:before="0" w:after="283"/>
              <w:jc w:val="left"/>
              <w:rPr/>
            </w:pPr>
            <w:r>
              <w:rPr/>
              <w:t>  </w:t>
            </w:r>
          </w:p>
        </w:tc>
        <w:tc>
          <w:tcPr>
            <w:tcW w:w="1419"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34"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12,190,259</w:t>
            </w:r>
          </w:p>
        </w:tc>
        <w:tc>
          <w:tcPr>
            <w:tcW w:w="134"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01/07/2025</w:t>
            </w:r>
          </w:p>
        </w:tc>
      </w:tr>
      <w:tr>
        <w:trPr>
          <w:trHeight w:val="120" w:hRule="atLeast"/>
        </w:trPr>
        <w:tc>
          <w:tcPr>
            <w:tcW w:w="277"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449"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19.</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Database Search Query Enhancer</w:t>
            </w:r>
          </w:p>
        </w:tc>
        <w:tc>
          <w:tcPr>
            <w:tcW w:w="134" w:type="dxa"/>
            <w:tcBorders/>
            <w:vAlign w:val="bottom"/>
          </w:tcPr>
          <w:p>
            <w:pPr>
              <w:pStyle w:val="TableContents"/>
              <w:bidi w:val="0"/>
              <w:spacing w:before="0" w:after="283"/>
              <w:jc w:val="left"/>
              <w:rPr/>
            </w:pPr>
            <w:r>
              <w:rPr/>
              <w:t>  </w:t>
            </w:r>
          </w:p>
        </w:tc>
        <w:tc>
          <w:tcPr>
            <w:tcW w:w="1419"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34"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12,436,947</w:t>
            </w:r>
          </w:p>
        </w:tc>
        <w:tc>
          <w:tcPr>
            <w:tcW w:w="134"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10/07/2025</w:t>
            </w:r>
          </w:p>
        </w:tc>
      </w:tr>
      <w:tr>
        <w:trPr>
          <w:trHeight w:val="120" w:hRule="atLeast"/>
        </w:trPr>
        <w:tc>
          <w:tcPr>
            <w:tcW w:w="277"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c>
          <w:tcPr>
            <w:tcW w:w="1672" w:type="dxa"/>
            <w:gridSpan w:val="2"/>
            <w:tcBorders/>
            <w:vAlign w:val="center"/>
          </w:tcPr>
          <w:p>
            <w:pPr>
              <w:pStyle w:val="TableContents"/>
              <w:bidi w:val="0"/>
              <w:spacing w:before="0" w:after="283"/>
              <w:jc w:val="left"/>
              <w:rPr>
                <w:sz w:val="4"/>
                <w:szCs w:val="4"/>
              </w:rPr>
            </w:pPr>
            <w:r>
              <w:rPr>
                <w:sz w:val="4"/>
                <w:szCs w:val="4"/>
              </w:rPr>
            </w:r>
          </w:p>
        </w:tc>
        <w:tc>
          <w:tcPr>
            <w:tcW w:w="1449"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pPr>
            <w:r>
              <w:rPr/>
              <w:t>20.</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Order Management System with Synchronized Multiple PRN Capability</w:t>
            </w:r>
          </w:p>
        </w:tc>
        <w:tc>
          <w:tcPr>
            <w:tcW w:w="134" w:type="dxa"/>
            <w:tcBorders/>
            <w:vAlign w:val="bottom"/>
          </w:tcPr>
          <w:p>
            <w:pPr>
              <w:pStyle w:val="TableContents"/>
              <w:bidi w:val="0"/>
              <w:spacing w:before="0" w:after="283"/>
              <w:jc w:val="left"/>
              <w:rPr/>
            </w:pPr>
            <w:r>
              <w:rPr/>
              <w:t>  </w:t>
            </w:r>
          </w:p>
        </w:tc>
        <w:tc>
          <w:tcPr>
            <w:tcW w:w="1419"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c>
          <w:tcPr>
            <w:tcW w:w="134"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19/175,519</w:t>
            </w:r>
          </w:p>
        </w:tc>
        <w:tc>
          <w:tcPr>
            <w:tcW w:w="134"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04/10/2025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I-2 </w:t>
      </w:r>
    </w:p>
    <w:p>
      <w:pPr>
        <w:pStyle w:val="TextBody"/>
        <w:bidi w:val="0"/>
        <w:spacing w:before="0" w:after="0"/>
        <w:jc w:val="center"/>
        <w:rPr>
          <w:rFonts w:ascii="Times New Roman" w:hAnsi="Times New Roman"/>
          <w:sz w:val="20"/>
        </w:rPr>
      </w:pPr>
      <w:r>
        <w:rPr>
          <w:rFonts w:ascii="Times New Roman" w:hAnsi="Times New Roman"/>
          <w:sz w:val="20"/>
        </w:rPr>
        <w:t xml:space="preserve">Short Particulars of U.S. Patent Collateral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that are Loan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
        <w:gridCol w:w="124"/>
        <w:gridCol w:w="9633"/>
      </w:tblGrid>
      <w:tr>
        <w:trPr/>
        <w:tc>
          <w:tcPr>
            <w:tcW w:w="44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633" w:type="dxa"/>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1.</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lastminute.com LLC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2.</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Sabre International Newco, Inc.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3.</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SabreMark G.P., LLC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4.</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SabreMark Limited Partnership</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5.</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TVL Common, Inc.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6.</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Sabre GDC, LLC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7.</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PRISM TECHNOLOGIES, LLC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8.</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PRISM Group, Inc.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9.</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RSI Midco, Inc.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10.</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Radixx Solutions International, Inc.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11.</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TVL Holdings, Inc.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12.</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TVL LLC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13.</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TVL Holdings I, LLC</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14.</w:t>
            </w:r>
          </w:p>
        </w:tc>
        <w:tc>
          <w:tcPr>
            <w:tcW w:w="124" w:type="dxa"/>
            <w:tcBorders/>
            <w:vAlign w:val="bottom"/>
          </w:tcPr>
          <w:p>
            <w:pPr>
              <w:pStyle w:val="TableContents"/>
              <w:bidi w:val="0"/>
              <w:spacing w:before="0" w:after="283"/>
              <w:jc w:val="left"/>
              <w:rPr/>
            </w:pPr>
            <w:r>
              <w:rPr/>
              <w:t>  </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TVL LP</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I-3 </w:t>
      </w:r>
    </w:p>
    <w:p>
      <w:pPr>
        <w:pStyle w:val="TextBody"/>
        <w:bidi w:val="0"/>
        <w:spacing w:before="0" w:after="0"/>
        <w:jc w:val="center"/>
        <w:rPr>
          <w:rFonts w:ascii="Times New Roman" w:hAnsi="Times New Roman"/>
          <w:sz w:val="20"/>
        </w:rPr>
      </w:pPr>
      <w:r>
        <w:rPr>
          <w:rFonts w:ascii="Times New Roman" w:hAnsi="Times New Roman"/>
          <w:sz w:val="20"/>
        </w:rPr>
        <w:t xml:space="preserve">Short Particulars of U.S. Patent Collateral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IV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TRADEMARK SECURITY AGREEMENT </w:t>
      </w:r>
    </w:p>
    <w:p>
      <w:pPr>
        <w:pStyle w:val="TextBody"/>
        <w:bidi w:val="0"/>
        <w:spacing w:before="240" w:after="0"/>
        <w:jc w:val="left"/>
        <w:rPr>
          <w:rFonts w:ascii="Times New Roman" w:hAnsi="Times New Roman"/>
          <w:sz w:val="20"/>
        </w:rPr>
      </w:pPr>
      <w:r>
        <w:rPr>
          <w:rFonts w:ascii="Times New Roman" w:hAnsi="Times New Roman"/>
          <w:sz w:val="20"/>
        </w:rPr>
        <w:t>TRADEMARK SECURITY AGREEMENT, dated as of September 28, 2026 among SABRE HOLDINGS CORPORATION (“</w:t>
      </w:r>
      <w:r>
        <w:rPr>
          <w:rFonts w:ascii="Times New Roman" w:hAnsi="Times New Roman"/>
          <w:b/>
          <w:sz w:val="20"/>
        </w:rPr>
        <w:t>Holdings</w:t>
      </w:r>
      <w:r>
        <w:rPr>
          <w:rFonts w:ascii="Times New Roman" w:hAnsi="Times New Roman"/>
          <w:sz w:val="20"/>
        </w:rPr>
        <w:t>”), SABRE GLBL, INC. (the “</w:t>
      </w:r>
      <w:r>
        <w:rPr>
          <w:rFonts w:ascii="Times New Roman" w:hAnsi="Times New Roman"/>
          <w:b/>
          <w:sz w:val="20"/>
        </w:rPr>
        <w:t>Borrower</w:t>
      </w:r>
      <w:r>
        <w:rPr>
          <w:rFonts w:ascii="Times New Roman" w:hAnsi="Times New Roman"/>
          <w:sz w:val="20"/>
        </w:rPr>
        <w:t xml:space="preserve">”), certain Subsidiaries of the Borrower from time to time party hereto and WILMINGTON TRUST, NATIONAL ASSOCIATION, as Administrative Agent for the Secured Parties (as defined below). </w:t>
      </w:r>
    </w:p>
    <w:p>
      <w:pPr>
        <w:pStyle w:val="TextBody"/>
        <w:bidi w:val="0"/>
        <w:spacing w:before="240" w:after="0"/>
        <w:jc w:val="left"/>
        <w:rPr>
          <w:rFonts w:ascii="Times New Roman" w:hAnsi="Times New Roman"/>
          <w:sz w:val="20"/>
        </w:rPr>
      </w:pPr>
      <w:r>
        <w:rPr>
          <w:rFonts w:ascii="Times New Roman" w:hAnsi="Times New Roman"/>
          <w:sz w:val="20"/>
        </w:rPr>
        <w:t>Reference is made to the Pledge and Security Agreement dated as of September 28, 2026 (as amended, restated, supplemented or otherwise modified from time to time, the “</w:t>
      </w:r>
      <w:r>
        <w:rPr>
          <w:rFonts w:ascii="Times New Roman" w:hAnsi="Times New Roman"/>
          <w:b/>
          <w:sz w:val="20"/>
        </w:rPr>
        <w:t>Security Agreement</w:t>
      </w:r>
      <w:r>
        <w:rPr>
          <w:rFonts w:ascii="Times New Roman" w:hAnsi="Times New Roman"/>
          <w:sz w:val="20"/>
        </w:rPr>
        <w:t>”), among Holdings, the Borrower, certain Subsidiaries of the Borrower from time to time party thereto and the Administrative Agent. The Secured Parties’ agreements in respect of extensions of credit to the Borrower are set forth in the First Lien Pari Passu Credit Agreement dated as of September 28, 2026 (as amended, restated, supplemented or otherwise modified from time to time, the “</w:t>
      </w:r>
      <w:r>
        <w:rPr>
          <w:rFonts w:ascii="Times New Roman" w:hAnsi="Times New Roman"/>
          <w:b/>
          <w:sz w:val="20"/>
        </w:rPr>
        <w:t>Credit Agreement</w:t>
      </w:r>
      <w:r>
        <w:rPr>
          <w:rFonts w:ascii="Times New Roman" w:hAnsi="Times New Roman"/>
          <w:sz w:val="20"/>
        </w:rPr>
        <w:t>”), among the Borrower, Holdings, the other grantors from time to time party thereto, WILMINGTON TRUST, NATIONAL ASSOCIATION, as Administrative Agent, and the lender from time to time party thereto (the “</w:t>
      </w:r>
      <w:r>
        <w:rPr>
          <w:rFonts w:ascii="Times New Roman" w:hAnsi="Times New Roman"/>
          <w:b/>
          <w:sz w:val="20"/>
        </w:rPr>
        <w:t>Lender</w:t>
      </w:r>
      <w:r>
        <w:rPr>
          <w:rFonts w:ascii="Times New Roman" w:hAnsi="Times New Roman"/>
          <w:sz w:val="20"/>
        </w:rPr>
        <w:t xml:space="preserve">”). Each of Holdings and the Subsidiaries party hereto is an affiliate of the Borrower and will derive substantial benefits from the extension of credit to the Borrower pursuant to the Credit Agreement and is willing to execute and deliver this Agreement in order to induce the Lender to extend such credit. Accordingly,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Terms.</w:t>
      </w:r>
      <w:r>
        <w:rPr>
          <w:rFonts w:ascii="Times New Roman" w:hAnsi="Times New Roman"/>
          <w:sz w:val="20"/>
        </w:rPr>
        <w:t xml:space="preserve"> Capitalized terms used in this Agreement and not otherwise defined herein have the meanings specified in the Security Agreement or the Credit Agreement, as applicable. The rules of construction specified in Article 1 of the Credit Agreement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Grant of Security Interest.</w:t>
      </w:r>
      <w:r>
        <w:rPr>
          <w:rFonts w:ascii="Times New Roman" w:hAnsi="Times New Roman"/>
          <w:sz w:val="20"/>
        </w:rPr>
        <w:t xml:space="preserve"> As security for the payment or performance, as the case may be, in full of the Secured Obligations, each Grantor, pursuant to and in accordance with the Security Agreement, did and hereby does grant to the Administrative Agent, its successors and assigns, for the benefit of the Secured Parties, a security interest in, all right, title and interest in or to any and all of the following assets and properties now owned or at any time hereafter acquired by such Grantor or in which such Grantor now has or at any time in the future may acquire any right, title or interest, except for any Excluded Assets (collectively, the “</w:t>
      </w:r>
      <w:r>
        <w:rPr>
          <w:rFonts w:ascii="Times New Roman" w:hAnsi="Times New Roman"/>
          <w:b/>
          <w:sz w:val="20"/>
        </w:rPr>
        <w:t>Trademark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 all registrations and registration applications in the USPTO or any similar offices in any State of the United States for trademarks or service marks now existing or hereafter adopted or acquired, and all extensions or renewals thereof, and (b) all goodwill connected with the use of and symbolized thereby; </w:t>
      </w:r>
    </w:p>
    <w:p>
      <w:pPr>
        <w:pStyle w:val="TextBody"/>
        <w:bidi w:val="0"/>
        <w:spacing w:before="240" w:after="0"/>
        <w:jc w:val="left"/>
        <w:rPr>
          <w:rFonts w:ascii="Times New Roman" w:hAnsi="Times New Roman"/>
          <w:sz w:val="20"/>
        </w:rPr>
      </w:pPr>
      <w:r>
        <w:rPr>
          <w:rFonts w:ascii="Times New Roman" w:hAnsi="Times New Roman"/>
          <w:sz w:val="20"/>
        </w:rPr>
        <w:t xml:space="preserve">(ii) all Proceeds of the foregoing, including license fees, royalties, income, payments, claims, damages and proceeds of suit now or hereafter due and/or payable with respect thereto; and </w:t>
      </w:r>
    </w:p>
    <w:p>
      <w:pPr>
        <w:pStyle w:val="TextBody"/>
        <w:bidi w:val="0"/>
        <w:spacing w:before="240" w:after="0"/>
        <w:jc w:val="left"/>
        <w:rPr>
          <w:rFonts w:ascii="Times New Roman" w:hAnsi="Times New Roman"/>
          <w:sz w:val="20"/>
        </w:rPr>
      </w:pPr>
      <w:r>
        <w:rPr>
          <w:rFonts w:ascii="Times New Roman" w:hAnsi="Times New Roman"/>
          <w:sz w:val="20"/>
        </w:rPr>
        <w:t xml:space="preserve">(iii) all causes of action arising prior to or after the date hereof for infringement of any of the foregoing, or unfair competition claims regarding the same.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is made to secure the satisfactory performance and payment of the Secured Obligations. This Trademark Security Agreement and the security interest granted hereby shall terminate with respect to all of a Grantor’s Secured Obligations and any Lien arising therefrom shall be automatically released upon termination of the Security Agreement or release of such Grantor’s obligations thereunder. The Administrative Agent shall, in connection with any termination or release herein or under the Security Agreement, execute and deliver to any Grantor, at such Grantor’s expense and as such Grantor may request, an instrument in writing releasing the security interest in the Trademark Collateral acquired under this Agreement. Additionally, upon such satisfactory performance or payment, the Administrative Agent shall reasonably cooperate with any efforts made by a Grantor to make of record or otherwise confirm such satisfaction including, but not limited to, the release and/or termination of this Agreement and any security interest in, to or under the Trademark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Supplement to the Security Agreement</w:t>
      </w:r>
      <w:r>
        <w:rPr>
          <w:rFonts w:ascii="Times New Roman" w:hAnsi="Times New Roman"/>
          <w:sz w:val="20"/>
        </w:rPr>
        <w:t xml:space="preserve">. The security interests granted to the Administrative Agent herein are granted in furtherance, and not in limitation of, the security interests granted to the Administrative Agent pursuant to the Security Agreement. Each Grantor hereby acknowledges and affirms that the rights and remedies of the Administrative Agent with respect to the Trademark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Holdings and the Borrower jointly and severally represent and warrant, as to themselves and the other Grantors, to the Administrative Agent and the Secured Parties, that a true and correct list of all of the existing material Trademark Collateral consisting of U.S. Trademark registrations or applications owned by the Grantor, in whole or in part, as of the date hereof, excluding any Excluded Assets, is set forth in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The provisions of Article VI of the Security Agreement are hereby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LIEN AND SECURITY INTEREST GRANTED TO THE ADMINISTRATIVE AGENT, FOR THE BENEFIT OF THE SECURED PARTIES, PURSUANT TO THIS AGREEMENT AND THE EXERCISE OF ANY RIGHT OR REMEDY BY THE ADMINISTRATIVE AGENT AND THE OTHER SECURED PARTIES HEREUNDER ARE SUBJECT TO THE PROVISIONS OF THE INTERCREDITOR AGREEMENT. IN THE EVENT OF ANY CONFLICT OR INCONSISTENCY BETWEEN THE PROVISIONS OF THE INTERCREDITOR AGREEMENT AND THIS AGREEMENT, THE PROVISIONS OF THE INTERCREDITOR AGREEMENT SHALL CONTROL.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HOLDINGS CORPORATION,</w:t>
            </w:r>
          </w:p>
          <w:p>
            <w:pPr>
              <w:pStyle w:val="TableContents"/>
              <w:bidi w:val="0"/>
              <w:spacing w:before="0" w:after="20"/>
              <w:jc w:val="left"/>
              <w:rPr/>
            </w:pPr>
            <w:r>
              <w:rPr/>
              <w:t> </w:t>
            </w:r>
            <w:r>
              <w:rPr>
                <w:rFonts w:ascii="Times New Roman" w:hAnsi="Times New Roman"/>
                <w:sz w:val="20"/>
              </w:rPr>
              <w:t>as Holdings</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Roushan Zenooz</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SABRE GLBL INC.</w:t>
            </w:r>
          </w:p>
          <w:p>
            <w:pPr>
              <w:pStyle w:val="TableContents"/>
              <w:bidi w:val="0"/>
              <w:spacing w:before="0" w:after="20"/>
              <w:jc w:val="left"/>
              <w:rPr/>
            </w:pPr>
            <w:r>
              <w:rPr/>
              <w:t> </w:t>
            </w:r>
            <w:r>
              <w:rPr>
                <w:rFonts w:ascii="Times New Roman" w:hAnsi="Times New Roman"/>
                <w:sz w:val="20"/>
              </w:rPr>
              <w:t>as the Borrower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Roushan Zenooz</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EACH OF THE LOAN PARTIES LISTED ON ANNEX A HERETO</w:t>
            </w:r>
            <w:r>
              <w:rPr/>
              <w:t>,</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Roushan Zenooz</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Trademark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28"/>
        <w:gridCol w:w="92"/>
        <w:gridCol w:w="3462"/>
      </w:tblGrid>
      <w:tr>
        <w:trPr/>
        <w:tc>
          <w:tcPr>
            <w:tcW w:w="52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WILMINGTON TRUST, NATIONAL ASSOCIATION,</w:t>
            </w:r>
          </w:p>
          <w:p>
            <w:pPr>
              <w:pStyle w:val="TableContents"/>
              <w:bidi w:val="0"/>
              <w:spacing w:before="0" w:after="20"/>
              <w:jc w:val="left"/>
              <w:rPr/>
            </w:pPr>
            <w:r>
              <w:rPr/>
              <w:t> </w:t>
            </w:r>
            <w:r>
              <w:rPr>
                <w:rFonts w:ascii="Times New Roman" w:hAnsi="Times New Roman"/>
                <w:sz w:val="20"/>
              </w:rPr>
              <w:t>as Administrative Agent</w:t>
            </w:r>
          </w:p>
        </w:tc>
      </w:tr>
      <w:tr>
        <w:trPr>
          <w:trHeight w:val="240" w:hRule="atLeast"/>
        </w:trPr>
        <w:tc>
          <w:tcPr>
            <w:tcW w:w="528" w:type="dxa"/>
            <w:tcBorders/>
            <w:vAlign w:val="center"/>
          </w:tcPr>
          <w:p>
            <w:pPr>
              <w:pStyle w:val="TableContents"/>
              <w:bidi w:val="0"/>
              <w:spacing w:before="0" w:after="283"/>
              <w:jc w:val="left"/>
              <w:rPr>
                <w:sz w:val="4"/>
                <w:szCs w:val="4"/>
              </w:rPr>
            </w:pPr>
            <w:r>
              <w:rPr>
                <w:sz w:val="4"/>
                <w:szCs w:val="4"/>
              </w:rPr>
            </w:r>
          </w:p>
        </w:tc>
        <w:tc>
          <w:tcPr>
            <w:tcW w:w="3554" w:type="dxa"/>
            <w:gridSpan w:val="2"/>
            <w:tcBorders/>
            <w:vAlign w:val="center"/>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pBdr>
                <w:bottom w:val="single" w:sz="2" w:space="1" w:color="000000"/>
              </w:pBdr>
              <w:bidi w:val="0"/>
              <w:spacing w:before="0" w:after="20"/>
              <w:jc w:val="left"/>
              <w:rPr/>
            </w:pPr>
            <w:r>
              <w:rPr/>
              <w:t> </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Name:</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Trademark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that are Loan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
        <w:gridCol w:w="121"/>
        <w:gridCol w:w="9643"/>
      </w:tblGrid>
      <w:tr>
        <w:trPr/>
        <w:tc>
          <w:tcPr>
            <w:tcW w:w="4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643" w:type="dxa"/>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lastminute.com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2.</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 International Newco,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3.</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SabreMark G.P.,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4.</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SabreMark Limited Partnership</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5.</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Common,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6.</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 GDC,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7.</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PRISM TECHNOLOGIES,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8.</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PRISM Group,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9.</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RSI Midco,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10.</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Radixx Solutions International,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11.</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Holdings,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12.</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13.</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Holdings I,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14.</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LP</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United States Trademarks, Service Marks and Trademark Applications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
        <w:gridCol w:w="126"/>
        <w:gridCol w:w="3482"/>
        <w:gridCol w:w="126"/>
        <w:gridCol w:w="1197"/>
        <w:gridCol w:w="126"/>
        <w:gridCol w:w="1070"/>
        <w:gridCol w:w="126"/>
        <w:gridCol w:w="860"/>
        <w:gridCol w:w="126"/>
        <w:gridCol w:w="830"/>
        <w:gridCol w:w="126"/>
        <w:gridCol w:w="1736"/>
      </w:tblGrid>
      <w:tr>
        <w:trPr/>
        <w:tc>
          <w:tcPr>
            <w:tcW w:w="2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48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2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w:t>
            </w:r>
          </w:p>
        </w:tc>
        <w:tc>
          <w:tcPr>
            <w:tcW w:w="126" w:type="dxa"/>
            <w:tcBorders/>
            <w:vAlign w:val="bottom"/>
          </w:tcPr>
          <w:p>
            <w:pPr>
              <w:pStyle w:val="TableContents"/>
              <w:bidi w:val="0"/>
              <w:spacing w:before="0" w:after="283"/>
              <w:jc w:val="left"/>
              <w:rPr/>
            </w:pPr>
            <w:r>
              <w:rPr/>
              <w:t>  </w:t>
            </w:r>
          </w:p>
        </w:tc>
        <w:tc>
          <w:tcPr>
            <w:tcW w:w="34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MARK</w:t>
            </w:r>
          </w:p>
        </w:tc>
        <w:tc>
          <w:tcPr>
            <w:tcW w:w="126" w:type="dxa"/>
            <w:tcBorders/>
            <w:vAlign w:val="bottom"/>
          </w:tcPr>
          <w:p>
            <w:pPr>
              <w:pStyle w:val="TableContents"/>
              <w:bidi w:val="0"/>
              <w:spacing w:before="0" w:after="283"/>
              <w:jc w:val="left"/>
              <w:rPr/>
            </w:pPr>
            <w:r>
              <w:rPr/>
              <w:t>  </w:t>
            </w:r>
          </w:p>
        </w:tc>
        <w:tc>
          <w:tcPr>
            <w:tcW w:w="1197" w:type="dxa"/>
            <w:tcBorders>
              <w:bottom w:val="single" w:sz="8" w:space="0" w:color="000000"/>
            </w:tcBorders>
            <w:tcMar>
              <w:bottom w:w="28" w:type="dxa"/>
            </w:tcMar>
            <w:vAlign w:val="bottom"/>
          </w:tcPr>
          <w:p>
            <w:pPr>
              <w:pStyle w:val="TableContents"/>
              <w:bidi w:val="0"/>
              <w:spacing w:before="0" w:after="283"/>
              <w:jc w:val="center"/>
              <w:rPr/>
            </w:pPr>
            <w:r>
              <w:rPr>
                <w:b/>
              </w:rPr>
              <w:t>SERIAL</w:t>
            </w:r>
            <w:r>
              <w:rPr/>
              <w:br/>
            </w:r>
            <w:r>
              <w:rPr>
                <w:b/>
              </w:rPr>
              <w:t>NO</w:t>
            </w:r>
          </w:p>
        </w:tc>
        <w:tc>
          <w:tcPr>
            <w:tcW w:w="126" w:type="dxa"/>
            <w:tcBorders/>
            <w:vAlign w:val="bottom"/>
          </w:tcPr>
          <w:p>
            <w:pPr>
              <w:pStyle w:val="TableContents"/>
              <w:bidi w:val="0"/>
              <w:spacing w:before="0" w:after="283"/>
              <w:jc w:val="left"/>
              <w:rPr/>
            </w:pPr>
            <w:r>
              <w:rPr/>
              <w:t>  </w:t>
            </w:r>
          </w:p>
        </w:tc>
        <w:tc>
          <w:tcPr>
            <w:tcW w:w="1070" w:type="dxa"/>
            <w:tcBorders>
              <w:bottom w:val="single" w:sz="8" w:space="0" w:color="000000"/>
            </w:tcBorders>
            <w:tcMar>
              <w:bottom w:w="28" w:type="dxa"/>
            </w:tcMar>
            <w:vAlign w:val="bottom"/>
          </w:tcPr>
          <w:p>
            <w:pPr>
              <w:pStyle w:val="TableContents"/>
              <w:bidi w:val="0"/>
              <w:spacing w:before="0" w:after="283"/>
              <w:jc w:val="center"/>
              <w:rPr>
                <w:b/>
              </w:rPr>
            </w:pPr>
            <w:r>
              <w:rPr>
                <w:b/>
              </w:rPr>
              <w:t>REG NO</w:t>
            </w:r>
          </w:p>
        </w:tc>
        <w:tc>
          <w:tcPr>
            <w:tcW w:w="126" w:type="dxa"/>
            <w:tcBorders/>
            <w:vAlign w:val="bottom"/>
          </w:tcPr>
          <w:p>
            <w:pPr>
              <w:pStyle w:val="TableContents"/>
              <w:bidi w:val="0"/>
              <w:spacing w:before="0" w:after="283"/>
              <w:jc w:val="left"/>
              <w:rPr/>
            </w:pPr>
            <w:r>
              <w:rPr/>
              <w:t>  </w:t>
            </w:r>
          </w:p>
        </w:tc>
        <w:tc>
          <w:tcPr>
            <w:tcW w:w="860" w:type="dxa"/>
            <w:tcBorders>
              <w:bottom w:val="single" w:sz="8" w:space="0" w:color="000000"/>
            </w:tcBorders>
            <w:tcMar>
              <w:bottom w:w="28" w:type="dxa"/>
            </w:tcMar>
            <w:vAlign w:val="bottom"/>
          </w:tcPr>
          <w:p>
            <w:pPr>
              <w:pStyle w:val="TableContents"/>
              <w:bidi w:val="0"/>
              <w:spacing w:before="0" w:after="283"/>
              <w:jc w:val="center"/>
              <w:rPr>
                <w:b/>
              </w:rPr>
            </w:pPr>
            <w:r>
              <w:rPr>
                <w:b/>
              </w:rPr>
              <w:t>FILE DT</w:t>
            </w:r>
          </w:p>
        </w:tc>
        <w:tc>
          <w:tcPr>
            <w:tcW w:w="126" w:type="dxa"/>
            <w:tcBorders/>
            <w:vAlign w:val="bottom"/>
          </w:tcPr>
          <w:p>
            <w:pPr>
              <w:pStyle w:val="TableContents"/>
              <w:bidi w:val="0"/>
              <w:spacing w:before="0" w:after="283"/>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center"/>
              <w:rPr>
                <w:b/>
              </w:rPr>
            </w:pPr>
            <w:r>
              <w:rPr>
                <w:b/>
              </w:rPr>
              <w:t>REG DT</w:t>
            </w:r>
          </w:p>
        </w:tc>
        <w:tc>
          <w:tcPr>
            <w:tcW w:w="126" w:type="dxa"/>
            <w:tcBorders/>
            <w:vAlign w:val="bottom"/>
          </w:tcPr>
          <w:p>
            <w:pPr>
              <w:pStyle w:val="TableContents"/>
              <w:bidi w:val="0"/>
              <w:spacing w:before="0" w:after="283"/>
              <w:jc w:val="left"/>
              <w:rPr/>
            </w:pPr>
            <w:r>
              <w:rPr/>
              <w:t>  </w:t>
            </w:r>
          </w:p>
        </w:tc>
        <w:tc>
          <w:tcPr>
            <w:tcW w:w="17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OWNER</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INTELLIGENCE EXCHANGE</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88/752,443</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6,708,740</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01/09/2020</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04/19/2022</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Sabre GLBL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2.</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PASSPORT TO FREEDOM</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88/689,599</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6,214,501</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11/12/2019</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12/08/2020</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Sabre GLBL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3.</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78542613</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3340992</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01/05/</w:t>
              <w:br/>
              <w:t>2005</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11/20/2007</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4.</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78542608</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3340991</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01/05/2005</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11/20/2007</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5.</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AIR ENTERPRISE</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77226689</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3465976</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07/11/2007</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07/15/2008</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6.</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AIR ENTERPRISE</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77226663</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3465975</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07/11/</w:t>
              <w:br/>
              <w:t>2007</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07/15/</w:t>
              <w:br/>
              <w:t>2008</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7.</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EZYCOMMERCE</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88/903136</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6,264,540</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05/06/2020</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02/09/2021</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Internationsl,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8.</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EZYCOMMERCE</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88/621,460</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6,029,071</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09/18/2019</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04/07/2020</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9.</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GO</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88/621,413</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6,128,341</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09/18/2019</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8/18/2020</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10.</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GO</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88/621,469</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6,02,9072</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09/18/2019</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4/07/2020</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11.</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GO</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88/903,189</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6,264,543</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05/06/2020</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02/09/2021</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12.</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INSIGHT</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88/903166</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6,264,541</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05/06/2020</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02/09/2021</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13.</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INSIGHT</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88,621,476</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6,029,073</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09/18/2019</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04/07/2020</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14.</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INTERNATIONAL &amp; Design</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77226700</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3394598</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01/11/2007</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03/11/2008</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15.</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INTERNATIONAL &amp; Design</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77226623</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3394589</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07/11/2007</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03/11/2008</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3608"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56" w:type="dxa"/>
            <w:gridSpan w:val="2"/>
            <w:tcBorders/>
            <w:vAlign w:val="center"/>
          </w:tcPr>
          <w:p>
            <w:pPr>
              <w:pStyle w:val="TableContents"/>
              <w:bidi w:val="0"/>
              <w:spacing w:before="0" w:after="283"/>
              <w:jc w:val="left"/>
              <w:rPr>
                <w:sz w:val="4"/>
                <w:szCs w:val="4"/>
              </w:rPr>
            </w:pPr>
            <w:r>
              <w:rPr>
                <w:sz w:val="4"/>
                <w:szCs w:val="4"/>
              </w:rPr>
            </w:r>
          </w:p>
        </w:tc>
        <w:tc>
          <w:tcPr>
            <w:tcW w:w="1862"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tcPr>
          <w:p>
            <w:pPr>
              <w:pStyle w:val="TableContents"/>
              <w:bidi w:val="0"/>
              <w:spacing w:before="0" w:after="283"/>
              <w:jc w:val="left"/>
              <w:rPr/>
            </w:pPr>
            <w:r>
              <w:rPr/>
              <w:t>16.</w:t>
            </w:r>
          </w:p>
        </w:tc>
        <w:tc>
          <w:tcPr>
            <w:tcW w:w="126"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RADIXX RES</w:t>
            </w:r>
          </w:p>
        </w:tc>
        <w:tc>
          <w:tcPr>
            <w:tcW w:w="126" w:type="dxa"/>
            <w:tcBorders/>
            <w:vAlign w:val="bottom"/>
          </w:tcPr>
          <w:p>
            <w:pPr>
              <w:pStyle w:val="TableContents"/>
              <w:bidi w:val="0"/>
              <w:spacing w:before="0" w:after="283"/>
              <w:jc w:val="left"/>
              <w:rPr/>
            </w:pPr>
            <w:r>
              <w:rPr/>
              <w:t>  </w:t>
            </w:r>
          </w:p>
        </w:tc>
        <w:tc>
          <w:tcPr>
            <w:tcW w:w="1197" w:type="dxa"/>
            <w:tcBorders/>
          </w:tcPr>
          <w:p>
            <w:pPr>
              <w:pStyle w:val="TableContents"/>
              <w:bidi w:val="0"/>
              <w:spacing w:before="0" w:after="283"/>
              <w:jc w:val="left"/>
              <w:rPr/>
            </w:pPr>
            <w:r>
              <w:rPr/>
              <w:t>88/903,183</w:t>
            </w:r>
          </w:p>
        </w:tc>
        <w:tc>
          <w:tcPr>
            <w:tcW w:w="126"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6,264,542</w:t>
            </w:r>
          </w:p>
        </w:tc>
        <w:tc>
          <w:tcPr>
            <w:tcW w:w="12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pPr>
            <w:r>
              <w:rPr/>
              <w:t>05/06/2020</w:t>
            </w:r>
          </w:p>
        </w:tc>
        <w:tc>
          <w:tcPr>
            <w:tcW w:w="126"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02/09/2021</w:t>
            </w:r>
          </w:p>
        </w:tc>
        <w:tc>
          <w:tcPr>
            <w:tcW w:w="126"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pPr>
            <w:r>
              <w:rPr/>
              <w:t>Radixx Solutions International,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6"/>
        <w:gridCol w:w="130"/>
        <w:gridCol w:w="3146"/>
        <w:gridCol w:w="130"/>
        <w:gridCol w:w="1193"/>
        <w:gridCol w:w="130"/>
        <w:gridCol w:w="1122"/>
        <w:gridCol w:w="130"/>
        <w:gridCol w:w="1000"/>
        <w:gridCol w:w="129"/>
        <w:gridCol w:w="978"/>
        <w:gridCol w:w="130"/>
        <w:gridCol w:w="1711"/>
      </w:tblGrid>
      <w:tr>
        <w:trPr/>
        <w:tc>
          <w:tcPr>
            <w:tcW w:w="27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w:t>
            </w:r>
          </w:p>
        </w:tc>
        <w:tc>
          <w:tcPr>
            <w:tcW w:w="130" w:type="dxa"/>
            <w:tcBorders/>
            <w:vAlign w:val="bottom"/>
          </w:tcPr>
          <w:p>
            <w:pPr>
              <w:pStyle w:val="TableContents"/>
              <w:bidi w:val="0"/>
              <w:spacing w:before="0" w:after="283"/>
              <w:jc w:val="left"/>
              <w:rPr/>
            </w:pPr>
            <w:r>
              <w:rPr/>
              <w:t>  </w:t>
            </w:r>
          </w:p>
        </w:tc>
        <w:tc>
          <w:tcPr>
            <w:tcW w:w="31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MARK</w:t>
            </w:r>
          </w:p>
        </w:tc>
        <w:tc>
          <w:tcPr>
            <w:tcW w:w="130" w:type="dxa"/>
            <w:tcBorders/>
            <w:vAlign w:val="bottom"/>
          </w:tcPr>
          <w:p>
            <w:pPr>
              <w:pStyle w:val="TableContents"/>
              <w:bidi w:val="0"/>
              <w:spacing w:before="0" w:after="283"/>
              <w:jc w:val="left"/>
              <w:rPr/>
            </w:pPr>
            <w:r>
              <w:rPr/>
              <w:t>  </w:t>
            </w:r>
          </w:p>
        </w:tc>
        <w:tc>
          <w:tcPr>
            <w:tcW w:w="1193" w:type="dxa"/>
            <w:tcBorders>
              <w:bottom w:val="single" w:sz="8" w:space="0" w:color="000000"/>
            </w:tcBorders>
            <w:tcMar>
              <w:bottom w:w="28" w:type="dxa"/>
            </w:tcMar>
            <w:vAlign w:val="bottom"/>
          </w:tcPr>
          <w:p>
            <w:pPr>
              <w:pStyle w:val="TableContents"/>
              <w:bidi w:val="0"/>
              <w:spacing w:before="0" w:after="283"/>
              <w:jc w:val="center"/>
              <w:rPr/>
            </w:pPr>
            <w:r>
              <w:rPr>
                <w:b/>
              </w:rPr>
              <w:t>SERIAL</w:t>
            </w:r>
            <w:r>
              <w:rPr/>
              <w:br/>
            </w:r>
            <w:r>
              <w:rPr>
                <w:b/>
              </w:rPr>
              <w:t>NO</w:t>
            </w:r>
          </w:p>
        </w:tc>
        <w:tc>
          <w:tcPr>
            <w:tcW w:w="130" w:type="dxa"/>
            <w:tcBorders/>
            <w:vAlign w:val="bottom"/>
          </w:tcPr>
          <w:p>
            <w:pPr>
              <w:pStyle w:val="TableContents"/>
              <w:bidi w:val="0"/>
              <w:spacing w:before="0" w:after="283"/>
              <w:jc w:val="left"/>
              <w:rPr/>
            </w:pPr>
            <w:r>
              <w:rPr/>
              <w:t>  </w:t>
            </w:r>
          </w:p>
        </w:tc>
        <w:tc>
          <w:tcPr>
            <w:tcW w:w="1122" w:type="dxa"/>
            <w:tcBorders>
              <w:bottom w:val="single" w:sz="8" w:space="0" w:color="000000"/>
            </w:tcBorders>
            <w:tcMar>
              <w:bottom w:w="28" w:type="dxa"/>
            </w:tcMar>
            <w:vAlign w:val="bottom"/>
          </w:tcPr>
          <w:p>
            <w:pPr>
              <w:pStyle w:val="TableContents"/>
              <w:bidi w:val="0"/>
              <w:spacing w:before="0" w:after="283"/>
              <w:jc w:val="center"/>
              <w:rPr>
                <w:b/>
              </w:rPr>
            </w:pPr>
            <w:r>
              <w:rPr>
                <w:b/>
              </w:rPr>
              <w:t>REG NO</w:t>
            </w:r>
          </w:p>
        </w:tc>
        <w:tc>
          <w:tcPr>
            <w:tcW w:w="130" w:type="dxa"/>
            <w:tcBorders/>
            <w:vAlign w:val="bottom"/>
          </w:tcPr>
          <w:p>
            <w:pPr>
              <w:pStyle w:val="TableContents"/>
              <w:bidi w:val="0"/>
              <w:spacing w:before="0" w:after="283"/>
              <w:jc w:val="left"/>
              <w:rPr/>
            </w:pPr>
            <w:r>
              <w:rPr/>
              <w:t>  </w:t>
            </w:r>
          </w:p>
        </w:tc>
        <w:tc>
          <w:tcPr>
            <w:tcW w:w="1000" w:type="dxa"/>
            <w:tcBorders>
              <w:bottom w:val="single" w:sz="8" w:space="0" w:color="000000"/>
            </w:tcBorders>
            <w:tcMar>
              <w:bottom w:w="28" w:type="dxa"/>
            </w:tcMar>
            <w:vAlign w:val="bottom"/>
          </w:tcPr>
          <w:p>
            <w:pPr>
              <w:pStyle w:val="TableContents"/>
              <w:bidi w:val="0"/>
              <w:spacing w:before="0" w:after="283"/>
              <w:jc w:val="center"/>
              <w:rPr>
                <w:b/>
              </w:rPr>
            </w:pPr>
            <w:r>
              <w:rPr>
                <w:b/>
              </w:rPr>
              <w:t>FILE DT</w:t>
            </w:r>
          </w:p>
        </w:tc>
        <w:tc>
          <w:tcPr>
            <w:tcW w:w="129" w:type="dxa"/>
            <w:tcBorders/>
            <w:vAlign w:val="bottom"/>
          </w:tcPr>
          <w:p>
            <w:pPr>
              <w:pStyle w:val="TableContents"/>
              <w:bidi w:val="0"/>
              <w:spacing w:before="0" w:after="283"/>
              <w:jc w:val="left"/>
              <w:rPr/>
            </w:pPr>
            <w:r>
              <w:rPr/>
              <w:t>  </w:t>
            </w:r>
          </w:p>
        </w:tc>
        <w:tc>
          <w:tcPr>
            <w:tcW w:w="978" w:type="dxa"/>
            <w:tcBorders>
              <w:bottom w:val="single" w:sz="8" w:space="0" w:color="000000"/>
            </w:tcBorders>
            <w:tcMar>
              <w:bottom w:w="28" w:type="dxa"/>
            </w:tcMar>
            <w:vAlign w:val="bottom"/>
          </w:tcPr>
          <w:p>
            <w:pPr>
              <w:pStyle w:val="TableContents"/>
              <w:bidi w:val="0"/>
              <w:spacing w:before="0" w:after="283"/>
              <w:jc w:val="center"/>
              <w:rPr>
                <w:b/>
              </w:rPr>
            </w:pPr>
            <w:r>
              <w:rPr>
                <w:b/>
              </w:rPr>
              <w:t>REG DT</w:t>
            </w:r>
          </w:p>
        </w:tc>
        <w:tc>
          <w:tcPr>
            <w:tcW w:w="130" w:type="dxa"/>
            <w:tcBorders/>
            <w:vAlign w:val="bottom"/>
          </w:tcPr>
          <w:p>
            <w:pPr>
              <w:pStyle w:val="TableContents"/>
              <w:bidi w:val="0"/>
              <w:spacing w:before="0" w:after="283"/>
              <w:jc w:val="left"/>
              <w:rPr/>
            </w:pPr>
            <w:r>
              <w:rPr/>
              <w:t>  </w:t>
            </w:r>
          </w:p>
        </w:tc>
        <w:tc>
          <w:tcPr>
            <w:tcW w:w="17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OWNER</w:t>
            </w:r>
          </w:p>
        </w:tc>
      </w:tr>
      <w:tr>
        <w:trPr/>
        <w:tc>
          <w:tcPr>
            <w:tcW w:w="276" w:type="dxa"/>
            <w:tcBorders/>
          </w:tcPr>
          <w:p>
            <w:pPr>
              <w:pStyle w:val="TableContents"/>
              <w:bidi w:val="0"/>
              <w:spacing w:before="0" w:after="283"/>
              <w:jc w:val="left"/>
              <w:rPr/>
            </w:pPr>
            <w:r>
              <w:rPr/>
              <w:t>17.</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73/210,956</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1,219,417</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04/10/1979</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12/07/1982</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18.</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74/215,811</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1,817,762</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10/24/1991</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01/25/1994</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19.</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75/677,801</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2,732,438</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04/06/1999</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07/01/2003</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20.</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86/828,656</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5,387,201</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11/23/2015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01/23/2018</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21.</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86/828,657</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5,214,766</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11/23/2015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05/30/2017</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22.</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86/828,654</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5,214,765</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11/23/2015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05/30/2017</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23.</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86/828,659</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5,214,767</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11/23/2015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05/30/2017</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24.</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97908314</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04/26/2023</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25.</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(Stylized)</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86/771,686</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5,346,780</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09/29/2015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11/28/2017</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26.</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(Stylized)</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86/771,695</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5,346,781</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09/29/2015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11/28/2017</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27.</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(Stylized)</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86/771,705</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5,346,782</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09/29/2015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11/28/2017</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28.</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(Stylized) with design</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86/771,704</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5,214,693</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09/29/2015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05/30/2017</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29.</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AIRLINE SOLUTIONS</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78/219,946</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3,046,751</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02/27/2003</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01/17/2006</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30.</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DIGITAL WORKSPACE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97908270</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04/26/2023</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31.</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INTELLIGENCE EXCHANGE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86/524,555</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5,041,999</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02/04/2015</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07/30/2013</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32.</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IX</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88752692</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7,196,545</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01/09/2020</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10/17/2023</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33.</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SABREMOSAIC</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jc w:val="left"/>
              <w:rPr/>
            </w:pPr>
            <w:r>
              <w:rPr/>
              <w:t>98559643</w:t>
            </w:r>
          </w:p>
          <w:p>
            <w:pPr>
              <w:pStyle w:val="TableContents"/>
              <w:bidi w:val="0"/>
              <w:spacing w:before="0" w:after="20"/>
              <w:jc w:val="left"/>
              <w:rPr>
                <w:rFonts w:ascii="Times New Roman" w:hAnsi="Times New Roman"/>
                <w:sz w:val="20"/>
              </w:rPr>
            </w:pPr>
            <w:r>
              <w:rPr>
                <w:rFonts w:ascii="Times New Roman" w:hAnsi="Times New Roman"/>
                <w:sz w:val="20"/>
              </w:rPr>
              <w:t>Intent to</w:t>
              <w:br/>
              <w:t>Use</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05/20/2024</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34.</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SABREMOSAIQ</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jc w:val="left"/>
              <w:rPr/>
            </w:pPr>
            <w:r>
              <w:rPr/>
              <w:t>98559668</w:t>
            </w:r>
          </w:p>
          <w:p>
            <w:pPr>
              <w:pStyle w:val="TableContents"/>
              <w:bidi w:val="0"/>
              <w:spacing w:before="0" w:after="20"/>
              <w:jc w:val="left"/>
              <w:rPr>
                <w:rFonts w:ascii="Times New Roman" w:hAnsi="Times New Roman"/>
                <w:sz w:val="20"/>
              </w:rPr>
            </w:pPr>
            <w:r>
              <w:rPr>
                <w:rFonts w:ascii="Times New Roman" w:hAnsi="Times New Roman"/>
                <w:sz w:val="20"/>
              </w:rPr>
              <w:t>Intent to</w:t>
              <w:br/>
              <w:t>Use</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05/20/2024</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35.</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SABREMOSAIX</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jc w:val="left"/>
              <w:rPr/>
            </w:pPr>
            <w:r>
              <w:rPr/>
              <w:t>98559672</w:t>
            </w:r>
          </w:p>
          <w:p>
            <w:pPr>
              <w:pStyle w:val="TableContents"/>
              <w:bidi w:val="0"/>
              <w:spacing w:before="0" w:after="20"/>
              <w:jc w:val="left"/>
              <w:rPr>
                <w:rFonts w:ascii="Times New Roman" w:hAnsi="Times New Roman"/>
                <w:sz w:val="20"/>
              </w:rPr>
            </w:pPr>
            <w:r>
              <w:rPr>
                <w:rFonts w:ascii="Times New Roman" w:hAnsi="Times New Roman"/>
                <w:sz w:val="20"/>
              </w:rPr>
              <w:t>Intent to</w:t>
              <w:br/>
              <w:t>Use</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05/20/2024</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36.</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RED</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85/050,532</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4,071,408</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05/28/2010</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12/13/2011</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37.</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TECHNOLOGY EXCHANGE</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88/689,693</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6,214,502</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11/12/2019</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12/08/2020</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38.</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 TRAVEL NETWORK</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78/219,939</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3,088,266</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02/27/2003</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05/02/2006</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39.</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SABRESONIC</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78/348,412</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3,169,390</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01/06/2004</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11/07/2006</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r>
        <w:trPr>
          <w:trHeight w:val="120" w:hRule="atLeast"/>
        </w:trPr>
        <w:tc>
          <w:tcPr>
            <w:tcW w:w="276" w:type="dxa"/>
            <w:tcBorders/>
            <w:vAlign w:val="center"/>
          </w:tcPr>
          <w:p>
            <w:pPr>
              <w:pStyle w:val="TableContents"/>
              <w:bidi w:val="0"/>
              <w:spacing w:before="0" w:after="283"/>
              <w:jc w:val="left"/>
              <w:rPr>
                <w:sz w:val="4"/>
                <w:szCs w:val="4"/>
              </w:rPr>
            </w:pPr>
            <w:r>
              <w:rPr>
                <w:sz w:val="4"/>
                <w:szCs w:val="4"/>
              </w:rPr>
            </w:r>
          </w:p>
        </w:tc>
        <w:tc>
          <w:tcPr>
            <w:tcW w:w="3276" w:type="dxa"/>
            <w:gridSpan w:val="2"/>
            <w:tcBorders/>
            <w:vAlign w:val="center"/>
          </w:tcPr>
          <w:p>
            <w:pPr>
              <w:pStyle w:val="TableContents"/>
              <w:bidi w:val="0"/>
              <w:spacing w:before="0" w:after="283"/>
              <w:jc w:val="left"/>
              <w:rPr>
                <w:sz w:val="4"/>
                <w:szCs w:val="4"/>
              </w:rPr>
            </w:pPr>
            <w:r>
              <w:rPr>
                <w:sz w:val="4"/>
                <w:szCs w:val="4"/>
              </w:rPr>
            </w:r>
          </w:p>
        </w:tc>
        <w:tc>
          <w:tcPr>
            <w:tcW w:w="1323" w:type="dxa"/>
            <w:gridSpan w:val="2"/>
            <w:tcBorders/>
            <w:vAlign w:val="center"/>
          </w:tcPr>
          <w:p>
            <w:pPr>
              <w:pStyle w:val="TableContents"/>
              <w:bidi w:val="0"/>
              <w:spacing w:before="0" w:after="283"/>
              <w:jc w:val="left"/>
              <w:rPr>
                <w:sz w:val="4"/>
                <w:szCs w:val="4"/>
              </w:rPr>
            </w:pPr>
            <w:r>
              <w:rPr>
                <w:sz w:val="4"/>
                <w:szCs w:val="4"/>
              </w:rPr>
            </w:r>
          </w:p>
        </w:tc>
        <w:tc>
          <w:tcPr>
            <w:tcW w:w="1252"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1841" w:type="dxa"/>
            <w:gridSpan w:val="2"/>
            <w:tcBorders/>
            <w:vAlign w:val="center"/>
          </w:tcPr>
          <w:p>
            <w:pPr>
              <w:pStyle w:val="TableContents"/>
              <w:bidi w:val="0"/>
              <w:spacing w:before="0" w:after="283"/>
              <w:jc w:val="left"/>
              <w:rPr>
                <w:sz w:val="4"/>
                <w:szCs w:val="4"/>
              </w:rPr>
            </w:pPr>
            <w:r>
              <w:rPr>
                <w:sz w:val="4"/>
                <w:szCs w:val="4"/>
              </w:rPr>
            </w:r>
          </w:p>
        </w:tc>
      </w:tr>
      <w:tr>
        <w:trPr/>
        <w:tc>
          <w:tcPr>
            <w:tcW w:w="276" w:type="dxa"/>
            <w:tcBorders/>
          </w:tcPr>
          <w:p>
            <w:pPr>
              <w:pStyle w:val="TableContents"/>
              <w:bidi w:val="0"/>
              <w:spacing w:before="0" w:after="283"/>
              <w:jc w:val="left"/>
              <w:rPr/>
            </w:pPr>
            <w:r>
              <w:rPr/>
              <w:t>40.</w:t>
            </w:r>
          </w:p>
        </w:tc>
        <w:tc>
          <w:tcPr>
            <w:tcW w:w="130" w:type="dxa"/>
            <w:tcBorders/>
            <w:vAlign w:val="bottom"/>
          </w:tcPr>
          <w:p>
            <w:pPr>
              <w:pStyle w:val="TableContents"/>
              <w:bidi w:val="0"/>
              <w:spacing w:before="0" w:after="283"/>
              <w:jc w:val="left"/>
              <w:rPr/>
            </w:pPr>
            <w:r>
              <w:rPr/>
              <w:t>  </w:t>
            </w:r>
          </w:p>
        </w:tc>
        <w:tc>
          <w:tcPr>
            <w:tcW w:w="3146" w:type="dxa"/>
            <w:tcBorders/>
          </w:tcPr>
          <w:p>
            <w:pPr>
              <w:pStyle w:val="TableContents"/>
              <w:bidi w:val="0"/>
              <w:spacing w:before="0" w:after="283"/>
              <w:jc w:val="left"/>
              <w:rPr/>
            </w:pPr>
            <w:r>
              <w:rPr/>
              <w:t>STX</w:t>
            </w:r>
          </w:p>
        </w:tc>
        <w:tc>
          <w:tcPr>
            <w:tcW w:w="130" w:type="dxa"/>
            <w:tcBorders/>
            <w:vAlign w:val="bottom"/>
          </w:tcPr>
          <w:p>
            <w:pPr>
              <w:pStyle w:val="TableContents"/>
              <w:bidi w:val="0"/>
              <w:spacing w:before="0" w:after="283"/>
              <w:jc w:val="left"/>
              <w:rPr/>
            </w:pPr>
            <w:r>
              <w:rPr/>
              <w:t>  </w:t>
            </w:r>
          </w:p>
        </w:tc>
        <w:tc>
          <w:tcPr>
            <w:tcW w:w="1193" w:type="dxa"/>
            <w:tcBorders/>
          </w:tcPr>
          <w:p>
            <w:pPr>
              <w:pStyle w:val="TableContents"/>
              <w:bidi w:val="0"/>
              <w:spacing w:before="0" w:after="283"/>
              <w:jc w:val="left"/>
              <w:rPr/>
            </w:pPr>
            <w:r>
              <w:rPr/>
              <w:t>88/689,724</w:t>
            </w:r>
          </w:p>
        </w:tc>
        <w:tc>
          <w:tcPr>
            <w:tcW w:w="130"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6,145,727</w:t>
            </w:r>
          </w:p>
        </w:tc>
        <w:tc>
          <w:tcPr>
            <w:tcW w:w="130"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11/12/2019</w:t>
            </w:r>
          </w:p>
        </w:tc>
        <w:tc>
          <w:tcPr>
            <w:tcW w:w="12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pPr>
            <w:r>
              <w:rPr/>
              <w:t>09/08/2020</w:t>
            </w:r>
          </w:p>
        </w:tc>
        <w:tc>
          <w:tcPr>
            <w:tcW w:w="130" w:type="dxa"/>
            <w:tcBorders/>
            <w:vAlign w:val="bottom"/>
          </w:tcPr>
          <w:p>
            <w:pPr>
              <w:pStyle w:val="TableContents"/>
              <w:bidi w:val="0"/>
              <w:spacing w:before="0" w:after="283"/>
              <w:jc w:val="left"/>
              <w:rPr/>
            </w:pPr>
            <w:r>
              <w:rPr/>
              <w:t>  </w:t>
            </w:r>
          </w:p>
        </w:tc>
        <w:tc>
          <w:tcPr>
            <w:tcW w:w="1711" w:type="dxa"/>
            <w:tcBorders/>
          </w:tcPr>
          <w:p>
            <w:pPr>
              <w:pStyle w:val="TableContents"/>
              <w:bidi w:val="0"/>
              <w:spacing w:before="0" w:after="283"/>
              <w:jc w:val="left"/>
              <w:rPr/>
            </w:pPr>
            <w:r>
              <w:rPr/>
              <w:t>Sabre GLBL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5"/>
        <w:gridCol w:w="127"/>
        <w:gridCol w:w="3456"/>
        <w:gridCol w:w="127"/>
        <w:gridCol w:w="1117"/>
        <w:gridCol w:w="127"/>
        <w:gridCol w:w="1088"/>
        <w:gridCol w:w="127"/>
        <w:gridCol w:w="910"/>
        <w:gridCol w:w="127"/>
        <w:gridCol w:w="882"/>
        <w:gridCol w:w="127"/>
        <w:gridCol w:w="1715"/>
      </w:tblGrid>
      <w:tr>
        <w:trPr/>
        <w:tc>
          <w:tcPr>
            <w:tcW w:w="27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45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w:t>
            </w:r>
          </w:p>
        </w:tc>
        <w:tc>
          <w:tcPr>
            <w:tcW w:w="127" w:type="dxa"/>
            <w:tcBorders/>
            <w:vAlign w:val="bottom"/>
          </w:tcPr>
          <w:p>
            <w:pPr>
              <w:pStyle w:val="TableContents"/>
              <w:bidi w:val="0"/>
              <w:spacing w:before="0" w:after="283"/>
              <w:jc w:val="left"/>
              <w:rPr/>
            </w:pPr>
            <w:r>
              <w:rPr/>
              <w:t>  </w:t>
            </w:r>
          </w:p>
        </w:tc>
        <w:tc>
          <w:tcPr>
            <w:tcW w:w="34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MARK</w:t>
            </w:r>
          </w:p>
        </w:tc>
        <w:tc>
          <w:tcPr>
            <w:tcW w:w="127" w:type="dxa"/>
            <w:tcBorders/>
            <w:vAlign w:val="bottom"/>
          </w:tcPr>
          <w:p>
            <w:pPr>
              <w:pStyle w:val="TableContents"/>
              <w:bidi w:val="0"/>
              <w:spacing w:before="0" w:after="283"/>
              <w:jc w:val="left"/>
              <w:rPr/>
            </w:pPr>
            <w:r>
              <w:rPr/>
              <w:t>  </w:t>
            </w:r>
          </w:p>
        </w:tc>
        <w:tc>
          <w:tcPr>
            <w:tcW w:w="1117" w:type="dxa"/>
            <w:tcBorders>
              <w:bottom w:val="single" w:sz="8" w:space="0" w:color="000000"/>
            </w:tcBorders>
            <w:tcMar>
              <w:bottom w:w="28" w:type="dxa"/>
            </w:tcMar>
            <w:vAlign w:val="bottom"/>
          </w:tcPr>
          <w:p>
            <w:pPr>
              <w:pStyle w:val="TableContents"/>
              <w:bidi w:val="0"/>
              <w:spacing w:before="0" w:after="283"/>
              <w:jc w:val="center"/>
              <w:rPr/>
            </w:pPr>
            <w:r>
              <w:rPr>
                <w:b/>
              </w:rPr>
              <w:t>SERIAL</w:t>
            </w:r>
            <w:r>
              <w:rPr/>
              <w:br/>
            </w:r>
            <w:r>
              <w:rPr>
                <w:b/>
              </w:rPr>
              <w:t>NO</w:t>
            </w:r>
          </w:p>
        </w:tc>
        <w:tc>
          <w:tcPr>
            <w:tcW w:w="127" w:type="dxa"/>
            <w:tcBorders/>
            <w:vAlign w:val="bottom"/>
          </w:tcPr>
          <w:p>
            <w:pPr>
              <w:pStyle w:val="TableContents"/>
              <w:bidi w:val="0"/>
              <w:spacing w:before="0" w:after="283"/>
              <w:jc w:val="left"/>
              <w:rPr/>
            </w:pPr>
            <w:r>
              <w:rPr/>
              <w:t>  </w:t>
            </w:r>
          </w:p>
        </w:tc>
        <w:tc>
          <w:tcPr>
            <w:tcW w:w="1088" w:type="dxa"/>
            <w:tcBorders>
              <w:bottom w:val="single" w:sz="8" w:space="0" w:color="000000"/>
            </w:tcBorders>
            <w:tcMar>
              <w:bottom w:w="28" w:type="dxa"/>
            </w:tcMar>
            <w:vAlign w:val="bottom"/>
          </w:tcPr>
          <w:p>
            <w:pPr>
              <w:pStyle w:val="TableContents"/>
              <w:bidi w:val="0"/>
              <w:spacing w:before="0" w:after="283"/>
              <w:jc w:val="center"/>
              <w:rPr>
                <w:b/>
              </w:rPr>
            </w:pPr>
            <w:r>
              <w:rPr>
                <w:b/>
              </w:rPr>
              <w:t>REG NO</w:t>
            </w:r>
          </w:p>
        </w:tc>
        <w:tc>
          <w:tcPr>
            <w:tcW w:w="127" w:type="dxa"/>
            <w:tcBorders/>
            <w:vAlign w:val="bottom"/>
          </w:tcPr>
          <w:p>
            <w:pPr>
              <w:pStyle w:val="TableContents"/>
              <w:bidi w:val="0"/>
              <w:spacing w:before="0" w:after="283"/>
              <w:jc w:val="left"/>
              <w:rPr/>
            </w:pPr>
            <w:r>
              <w:rPr/>
              <w:t>  </w:t>
            </w:r>
          </w:p>
        </w:tc>
        <w:tc>
          <w:tcPr>
            <w:tcW w:w="910" w:type="dxa"/>
            <w:tcBorders>
              <w:bottom w:val="single" w:sz="8" w:space="0" w:color="000000"/>
            </w:tcBorders>
            <w:tcMar>
              <w:bottom w:w="28" w:type="dxa"/>
            </w:tcMar>
            <w:vAlign w:val="bottom"/>
          </w:tcPr>
          <w:p>
            <w:pPr>
              <w:pStyle w:val="TableContents"/>
              <w:bidi w:val="0"/>
              <w:spacing w:before="0" w:after="283"/>
              <w:jc w:val="center"/>
              <w:rPr>
                <w:b/>
              </w:rPr>
            </w:pPr>
            <w:r>
              <w:rPr>
                <w:b/>
              </w:rPr>
              <w:t>FILE DT</w:t>
            </w:r>
          </w:p>
        </w:tc>
        <w:tc>
          <w:tcPr>
            <w:tcW w:w="127" w:type="dxa"/>
            <w:tcBorders/>
            <w:vAlign w:val="bottom"/>
          </w:tcPr>
          <w:p>
            <w:pPr>
              <w:pStyle w:val="TableContents"/>
              <w:bidi w:val="0"/>
              <w:spacing w:before="0" w:after="283"/>
              <w:jc w:val="left"/>
              <w:rPr/>
            </w:pPr>
            <w:r>
              <w:rPr/>
              <w:t>  </w:t>
            </w:r>
          </w:p>
        </w:tc>
        <w:tc>
          <w:tcPr>
            <w:tcW w:w="882" w:type="dxa"/>
            <w:tcBorders>
              <w:bottom w:val="single" w:sz="8" w:space="0" w:color="000000"/>
            </w:tcBorders>
            <w:tcMar>
              <w:bottom w:w="28" w:type="dxa"/>
            </w:tcMar>
            <w:vAlign w:val="bottom"/>
          </w:tcPr>
          <w:p>
            <w:pPr>
              <w:pStyle w:val="TableContents"/>
              <w:bidi w:val="0"/>
              <w:spacing w:before="0" w:after="283"/>
              <w:jc w:val="center"/>
              <w:rPr>
                <w:b/>
              </w:rPr>
            </w:pPr>
            <w:r>
              <w:rPr>
                <w:b/>
              </w:rPr>
              <w:t>REG DT</w:t>
            </w:r>
          </w:p>
        </w:tc>
        <w:tc>
          <w:tcPr>
            <w:tcW w:w="127" w:type="dxa"/>
            <w:tcBorders/>
            <w:vAlign w:val="bottom"/>
          </w:tcPr>
          <w:p>
            <w:pPr>
              <w:pStyle w:val="TableContents"/>
              <w:bidi w:val="0"/>
              <w:spacing w:before="0" w:after="283"/>
              <w:jc w:val="left"/>
              <w:rPr/>
            </w:pPr>
            <w:r>
              <w:rPr/>
              <w:t>  </w:t>
            </w:r>
          </w:p>
        </w:tc>
        <w:tc>
          <w:tcPr>
            <w:tcW w:w="17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OWNER</w:t>
            </w:r>
          </w:p>
        </w:tc>
      </w:tr>
      <w:tr>
        <w:trPr/>
        <w:tc>
          <w:tcPr>
            <w:tcW w:w="275" w:type="dxa"/>
            <w:tcBorders/>
          </w:tcPr>
          <w:p>
            <w:pPr>
              <w:pStyle w:val="TableContents"/>
              <w:bidi w:val="0"/>
              <w:spacing w:before="0" w:after="283"/>
              <w:jc w:val="left"/>
              <w:rPr/>
            </w:pPr>
            <w:r>
              <w:rPr/>
              <w:t>41.</w:t>
            </w:r>
          </w:p>
        </w:tc>
        <w:tc>
          <w:tcPr>
            <w:tcW w:w="127"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TRIPCASE</w:t>
            </w:r>
          </w:p>
        </w:tc>
        <w:tc>
          <w:tcPr>
            <w:tcW w:w="127" w:type="dxa"/>
            <w:tcBorders/>
            <w:vAlign w:val="bottom"/>
          </w:tcPr>
          <w:p>
            <w:pPr>
              <w:pStyle w:val="TableContents"/>
              <w:bidi w:val="0"/>
              <w:spacing w:before="0" w:after="283"/>
              <w:jc w:val="left"/>
              <w:rPr/>
            </w:pPr>
            <w:r>
              <w:rPr/>
              <w:t>  </w:t>
            </w:r>
          </w:p>
        </w:tc>
        <w:tc>
          <w:tcPr>
            <w:tcW w:w="1117" w:type="dxa"/>
            <w:tcBorders/>
          </w:tcPr>
          <w:p>
            <w:pPr>
              <w:pStyle w:val="TableContents"/>
              <w:bidi w:val="0"/>
              <w:spacing w:before="0" w:after="283"/>
              <w:jc w:val="left"/>
              <w:rPr/>
            </w:pPr>
            <w:r>
              <w:rPr/>
              <w:t>85/663,817</w:t>
            </w:r>
          </w:p>
        </w:tc>
        <w:tc>
          <w:tcPr>
            <w:tcW w:w="127" w:type="dxa"/>
            <w:tcBorders/>
            <w:vAlign w:val="bottom"/>
          </w:tcPr>
          <w:p>
            <w:pPr>
              <w:pStyle w:val="TableContents"/>
              <w:bidi w:val="0"/>
              <w:spacing w:before="0" w:after="283"/>
              <w:jc w:val="left"/>
              <w:rPr/>
            </w:pPr>
            <w:r>
              <w:rPr/>
              <w:t>  </w:t>
            </w:r>
          </w:p>
        </w:tc>
        <w:tc>
          <w:tcPr>
            <w:tcW w:w="1088" w:type="dxa"/>
            <w:tcBorders/>
          </w:tcPr>
          <w:p>
            <w:pPr>
              <w:pStyle w:val="TableContents"/>
              <w:bidi w:val="0"/>
              <w:spacing w:before="0" w:after="283"/>
              <w:jc w:val="left"/>
              <w:rPr/>
            </w:pPr>
            <w:r>
              <w:rPr/>
              <w:t>4,518,442</w:t>
            </w:r>
          </w:p>
        </w:tc>
        <w:tc>
          <w:tcPr>
            <w:tcW w:w="127"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06/28/2012</w:t>
            </w:r>
          </w:p>
        </w:tc>
        <w:tc>
          <w:tcPr>
            <w:tcW w:w="127" w:type="dxa"/>
            <w:tcBorders/>
            <w:vAlign w:val="bottom"/>
          </w:tcPr>
          <w:p>
            <w:pPr>
              <w:pStyle w:val="TableContents"/>
              <w:bidi w:val="0"/>
              <w:spacing w:before="0" w:after="283"/>
              <w:jc w:val="left"/>
              <w:rPr/>
            </w:pPr>
            <w:r>
              <w:rPr/>
              <w:t>  </w:t>
            </w:r>
          </w:p>
        </w:tc>
        <w:tc>
          <w:tcPr>
            <w:tcW w:w="882" w:type="dxa"/>
            <w:tcBorders/>
          </w:tcPr>
          <w:p>
            <w:pPr>
              <w:pStyle w:val="TableContents"/>
              <w:bidi w:val="0"/>
              <w:spacing w:before="0" w:after="283"/>
              <w:jc w:val="left"/>
              <w:rPr/>
            </w:pPr>
            <w:r>
              <w:rPr/>
              <w:t>04/22/2014</w:t>
            </w:r>
          </w:p>
        </w:tc>
        <w:tc>
          <w:tcPr>
            <w:tcW w:w="127"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SabreMark Limited Partnership</w:t>
            </w:r>
          </w:p>
        </w:tc>
      </w:tr>
      <w:tr>
        <w:trPr>
          <w:trHeight w:val="120" w:hRule="atLeast"/>
        </w:trPr>
        <w:tc>
          <w:tcPr>
            <w:tcW w:w="275"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244" w:type="dxa"/>
            <w:gridSpan w:val="2"/>
            <w:tcBorders/>
            <w:vAlign w:val="center"/>
          </w:tcPr>
          <w:p>
            <w:pPr>
              <w:pStyle w:val="TableContents"/>
              <w:bidi w:val="0"/>
              <w:spacing w:before="0" w:after="283"/>
              <w:jc w:val="left"/>
              <w:rPr>
                <w:sz w:val="4"/>
                <w:szCs w:val="4"/>
              </w:rPr>
            </w:pPr>
            <w:r>
              <w:rPr>
                <w:sz w:val="4"/>
                <w:szCs w:val="4"/>
              </w:rPr>
            </w:r>
          </w:p>
        </w:tc>
        <w:tc>
          <w:tcPr>
            <w:tcW w:w="1215"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283"/>
              <w:jc w:val="left"/>
              <w:rPr/>
            </w:pPr>
            <w:r>
              <w:rPr/>
              <w:t>42.</w:t>
            </w:r>
          </w:p>
        </w:tc>
        <w:tc>
          <w:tcPr>
            <w:tcW w:w="127"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TRIPCASE</w:t>
            </w:r>
          </w:p>
        </w:tc>
        <w:tc>
          <w:tcPr>
            <w:tcW w:w="127" w:type="dxa"/>
            <w:tcBorders/>
            <w:vAlign w:val="bottom"/>
          </w:tcPr>
          <w:p>
            <w:pPr>
              <w:pStyle w:val="TableContents"/>
              <w:bidi w:val="0"/>
              <w:spacing w:before="0" w:after="283"/>
              <w:jc w:val="left"/>
              <w:rPr/>
            </w:pPr>
            <w:r>
              <w:rPr/>
              <w:t>  </w:t>
            </w:r>
          </w:p>
        </w:tc>
        <w:tc>
          <w:tcPr>
            <w:tcW w:w="1117" w:type="dxa"/>
            <w:tcBorders/>
          </w:tcPr>
          <w:p>
            <w:pPr>
              <w:pStyle w:val="TableContents"/>
              <w:bidi w:val="0"/>
              <w:spacing w:before="0" w:after="283"/>
              <w:jc w:val="left"/>
              <w:rPr/>
            </w:pPr>
            <w:r>
              <w:rPr/>
              <w:t>77/717,679</w:t>
            </w:r>
          </w:p>
        </w:tc>
        <w:tc>
          <w:tcPr>
            <w:tcW w:w="127" w:type="dxa"/>
            <w:tcBorders/>
            <w:vAlign w:val="bottom"/>
          </w:tcPr>
          <w:p>
            <w:pPr>
              <w:pStyle w:val="TableContents"/>
              <w:bidi w:val="0"/>
              <w:spacing w:before="0" w:after="283"/>
              <w:jc w:val="left"/>
              <w:rPr/>
            </w:pPr>
            <w:r>
              <w:rPr/>
              <w:t>  </w:t>
            </w:r>
          </w:p>
        </w:tc>
        <w:tc>
          <w:tcPr>
            <w:tcW w:w="1088" w:type="dxa"/>
            <w:tcBorders/>
          </w:tcPr>
          <w:p>
            <w:pPr>
              <w:pStyle w:val="TableContents"/>
              <w:bidi w:val="0"/>
              <w:spacing w:before="0" w:after="283"/>
              <w:jc w:val="left"/>
              <w:rPr/>
            </w:pPr>
            <w:r>
              <w:rPr/>
              <w:t>3,905,013</w:t>
            </w:r>
          </w:p>
        </w:tc>
        <w:tc>
          <w:tcPr>
            <w:tcW w:w="127"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04/20/2009</w:t>
            </w:r>
          </w:p>
        </w:tc>
        <w:tc>
          <w:tcPr>
            <w:tcW w:w="127" w:type="dxa"/>
            <w:tcBorders/>
            <w:vAlign w:val="bottom"/>
          </w:tcPr>
          <w:p>
            <w:pPr>
              <w:pStyle w:val="TableContents"/>
              <w:bidi w:val="0"/>
              <w:spacing w:before="0" w:after="283"/>
              <w:jc w:val="left"/>
              <w:rPr/>
            </w:pPr>
            <w:r>
              <w:rPr/>
              <w:t>  </w:t>
            </w:r>
          </w:p>
        </w:tc>
        <w:tc>
          <w:tcPr>
            <w:tcW w:w="882" w:type="dxa"/>
            <w:tcBorders/>
          </w:tcPr>
          <w:p>
            <w:pPr>
              <w:pStyle w:val="TableContents"/>
              <w:bidi w:val="0"/>
              <w:spacing w:before="0" w:after="283"/>
              <w:jc w:val="left"/>
              <w:rPr/>
            </w:pPr>
            <w:r>
              <w:rPr/>
              <w:t>01/11/2011</w:t>
            </w:r>
          </w:p>
        </w:tc>
        <w:tc>
          <w:tcPr>
            <w:tcW w:w="127"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SabreMark Limited Partnership</w:t>
            </w:r>
          </w:p>
        </w:tc>
      </w:tr>
      <w:tr>
        <w:trPr>
          <w:trHeight w:val="120" w:hRule="atLeast"/>
        </w:trPr>
        <w:tc>
          <w:tcPr>
            <w:tcW w:w="275"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244" w:type="dxa"/>
            <w:gridSpan w:val="2"/>
            <w:tcBorders/>
            <w:vAlign w:val="center"/>
          </w:tcPr>
          <w:p>
            <w:pPr>
              <w:pStyle w:val="TableContents"/>
              <w:bidi w:val="0"/>
              <w:spacing w:before="0" w:after="283"/>
              <w:jc w:val="left"/>
              <w:rPr>
                <w:sz w:val="4"/>
                <w:szCs w:val="4"/>
              </w:rPr>
            </w:pPr>
            <w:r>
              <w:rPr>
                <w:sz w:val="4"/>
                <w:szCs w:val="4"/>
              </w:rPr>
            </w:r>
          </w:p>
        </w:tc>
        <w:tc>
          <w:tcPr>
            <w:tcW w:w="1215"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283"/>
              <w:jc w:val="left"/>
              <w:rPr/>
            </w:pPr>
            <w:r>
              <w:rPr/>
              <w:t>43.</w:t>
            </w:r>
          </w:p>
        </w:tc>
        <w:tc>
          <w:tcPr>
            <w:tcW w:w="127"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TRIPCASE</w:t>
            </w:r>
          </w:p>
        </w:tc>
        <w:tc>
          <w:tcPr>
            <w:tcW w:w="127" w:type="dxa"/>
            <w:tcBorders/>
            <w:vAlign w:val="bottom"/>
          </w:tcPr>
          <w:p>
            <w:pPr>
              <w:pStyle w:val="TableContents"/>
              <w:bidi w:val="0"/>
              <w:spacing w:before="0" w:after="283"/>
              <w:jc w:val="left"/>
              <w:rPr/>
            </w:pPr>
            <w:r>
              <w:rPr/>
              <w:t>  </w:t>
            </w:r>
          </w:p>
        </w:tc>
        <w:tc>
          <w:tcPr>
            <w:tcW w:w="1117" w:type="dxa"/>
            <w:tcBorders/>
          </w:tcPr>
          <w:p>
            <w:pPr>
              <w:pStyle w:val="TableContents"/>
              <w:bidi w:val="0"/>
              <w:spacing w:before="0" w:after="283"/>
              <w:jc w:val="left"/>
              <w:rPr/>
            </w:pPr>
            <w:r>
              <w:rPr/>
              <w:t>86/343,980</w:t>
            </w:r>
          </w:p>
        </w:tc>
        <w:tc>
          <w:tcPr>
            <w:tcW w:w="127" w:type="dxa"/>
            <w:tcBorders/>
            <w:vAlign w:val="bottom"/>
          </w:tcPr>
          <w:p>
            <w:pPr>
              <w:pStyle w:val="TableContents"/>
              <w:bidi w:val="0"/>
              <w:spacing w:before="0" w:after="283"/>
              <w:jc w:val="left"/>
              <w:rPr/>
            </w:pPr>
            <w:r>
              <w:rPr/>
              <w:t>  </w:t>
            </w:r>
          </w:p>
        </w:tc>
        <w:tc>
          <w:tcPr>
            <w:tcW w:w="1088" w:type="dxa"/>
            <w:tcBorders/>
          </w:tcPr>
          <w:p>
            <w:pPr>
              <w:pStyle w:val="TableContents"/>
              <w:bidi w:val="0"/>
              <w:spacing w:before="0" w:after="283"/>
              <w:jc w:val="left"/>
              <w:rPr/>
            </w:pPr>
            <w:r>
              <w:rPr/>
              <w:t>4,842,306</w:t>
            </w:r>
          </w:p>
        </w:tc>
        <w:tc>
          <w:tcPr>
            <w:tcW w:w="127"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07/22/2014</w:t>
            </w:r>
          </w:p>
        </w:tc>
        <w:tc>
          <w:tcPr>
            <w:tcW w:w="127" w:type="dxa"/>
            <w:tcBorders/>
            <w:vAlign w:val="bottom"/>
          </w:tcPr>
          <w:p>
            <w:pPr>
              <w:pStyle w:val="TableContents"/>
              <w:bidi w:val="0"/>
              <w:spacing w:before="0" w:after="283"/>
              <w:jc w:val="left"/>
              <w:rPr/>
            </w:pPr>
            <w:r>
              <w:rPr/>
              <w:t>  </w:t>
            </w:r>
          </w:p>
        </w:tc>
        <w:tc>
          <w:tcPr>
            <w:tcW w:w="882" w:type="dxa"/>
            <w:tcBorders/>
          </w:tcPr>
          <w:p>
            <w:pPr>
              <w:pStyle w:val="TableContents"/>
              <w:bidi w:val="0"/>
              <w:spacing w:before="0" w:after="283"/>
              <w:jc w:val="left"/>
              <w:rPr/>
            </w:pPr>
            <w:r>
              <w:rPr/>
              <w:t>10/27/2015</w:t>
            </w:r>
          </w:p>
        </w:tc>
        <w:tc>
          <w:tcPr>
            <w:tcW w:w="127"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SabreMark Limited Partnership</w:t>
            </w:r>
          </w:p>
        </w:tc>
      </w:tr>
      <w:tr>
        <w:trPr>
          <w:trHeight w:val="120" w:hRule="atLeast"/>
        </w:trPr>
        <w:tc>
          <w:tcPr>
            <w:tcW w:w="275"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244" w:type="dxa"/>
            <w:gridSpan w:val="2"/>
            <w:tcBorders/>
            <w:vAlign w:val="center"/>
          </w:tcPr>
          <w:p>
            <w:pPr>
              <w:pStyle w:val="TableContents"/>
              <w:bidi w:val="0"/>
              <w:spacing w:before="0" w:after="283"/>
              <w:jc w:val="left"/>
              <w:rPr>
                <w:sz w:val="4"/>
                <w:szCs w:val="4"/>
              </w:rPr>
            </w:pPr>
            <w:r>
              <w:rPr>
                <w:sz w:val="4"/>
                <w:szCs w:val="4"/>
              </w:rPr>
            </w:r>
          </w:p>
        </w:tc>
        <w:tc>
          <w:tcPr>
            <w:tcW w:w="1215"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283"/>
              <w:jc w:val="left"/>
              <w:rPr/>
            </w:pPr>
            <w:r>
              <w:rPr/>
              <w:t>44.</w:t>
            </w:r>
          </w:p>
        </w:tc>
        <w:tc>
          <w:tcPr>
            <w:tcW w:w="127"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TRIPCASE</w:t>
            </w:r>
          </w:p>
        </w:tc>
        <w:tc>
          <w:tcPr>
            <w:tcW w:w="127" w:type="dxa"/>
            <w:tcBorders/>
            <w:vAlign w:val="bottom"/>
          </w:tcPr>
          <w:p>
            <w:pPr>
              <w:pStyle w:val="TableContents"/>
              <w:bidi w:val="0"/>
              <w:spacing w:before="0" w:after="283"/>
              <w:jc w:val="left"/>
              <w:rPr/>
            </w:pPr>
            <w:r>
              <w:rPr/>
              <w:t>  </w:t>
            </w:r>
          </w:p>
        </w:tc>
        <w:tc>
          <w:tcPr>
            <w:tcW w:w="1117" w:type="dxa"/>
            <w:tcBorders/>
          </w:tcPr>
          <w:p>
            <w:pPr>
              <w:pStyle w:val="TableContents"/>
              <w:bidi w:val="0"/>
              <w:spacing w:before="0" w:after="283"/>
              <w:jc w:val="left"/>
              <w:rPr/>
            </w:pPr>
            <w:r>
              <w:rPr/>
              <w:t>86/344,502</w:t>
            </w:r>
          </w:p>
        </w:tc>
        <w:tc>
          <w:tcPr>
            <w:tcW w:w="127" w:type="dxa"/>
            <w:tcBorders/>
            <w:vAlign w:val="bottom"/>
          </w:tcPr>
          <w:p>
            <w:pPr>
              <w:pStyle w:val="TableContents"/>
              <w:bidi w:val="0"/>
              <w:spacing w:before="0" w:after="283"/>
              <w:jc w:val="left"/>
              <w:rPr/>
            </w:pPr>
            <w:r>
              <w:rPr/>
              <w:t>  </w:t>
            </w:r>
          </w:p>
        </w:tc>
        <w:tc>
          <w:tcPr>
            <w:tcW w:w="1088" w:type="dxa"/>
            <w:tcBorders/>
          </w:tcPr>
          <w:p>
            <w:pPr>
              <w:pStyle w:val="TableContents"/>
              <w:bidi w:val="0"/>
              <w:spacing w:before="0" w:after="283"/>
              <w:jc w:val="left"/>
              <w:rPr/>
            </w:pPr>
            <w:r>
              <w:rPr/>
              <w:t>4,937507</w:t>
            </w:r>
          </w:p>
        </w:tc>
        <w:tc>
          <w:tcPr>
            <w:tcW w:w="127"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07/22/2014</w:t>
            </w:r>
          </w:p>
        </w:tc>
        <w:tc>
          <w:tcPr>
            <w:tcW w:w="127" w:type="dxa"/>
            <w:tcBorders/>
            <w:vAlign w:val="bottom"/>
          </w:tcPr>
          <w:p>
            <w:pPr>
              <w:pStyle w:val="TableContents"/>
              <w:bidi w:val="0"/>
              <w:spacing w:before="0" w:after="283"/>
              <w:jc w:val="left"/>
              <w:rPr/>
            </w:pPr>
            <w:r>
              <w:rPr/>
              <w:t>  </w:t>
            </w:r>
          </w:p>
        </w:tc>
        <w:tc>
          <w:tcPr>
            <w:tcW w:w="882" w:type="dxa"/>
            <w:tcBorders/>
          </w:tcPr>
          <w:p>
            <w:pPr>
              <w:pStyle w:val="TableContents"/>
              <w:bidi w:val="0"/>
              <w:spacing w:before="0" w:after="283"/>
              <w:jc w:val="left"/>
              <w:rPr/>
            </w:pPr>
            <w:r>
              <w:rPr/>
              <w:t>04/12/2016</w:t>
            </w:r>
          </w:p>
        </w:tc>
        <w:tc>
          <w:tcPr>
            <w:tcW w:w="127"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SabreMark Limited Partnership</w:t>
            </w:r>
          </w:p>
        </w:tc>
      </w:tr>
      <w:tr>
        <w:trPr>
          <w:trHeight w:val="120" w:hRule="atLeast"/>
        </w:trPr>
        <w:tc>
          <w:tcPr>
            <w:tcW w:w="275"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244" w:type="dxa"/>
            <w:gridSpan w:val="2"/>
            <w:tcBorders/>
            <w:vAlign w:val="center"/>
          </w:tcPr>
          <w:p>
            <w:pPr>
              <w:pStyle w:val="TableContents"/>
              <w:bidi w:val="0"/>
              <w:spacing w:before="0" w:after="283"/>
              <w:jc w:val="left"/>
              <w:rPr>
                <w:sz w:val="4"/>
                <w:szCs w:val="4"/>
              </w:rPr>
            </w:pPr>
            <w:r>
              <w:rPr>
                <w:sz w:val="4"/>
                <w:szCs w:val="4"/>
              </w:rPr>
            </w:r>
          </w:p>
        </w:tc>
        <w:tc>
          <w:tcPr>
            <w:tcW w:w="1215"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283"/>
              <w:jc w:val="left"/>
              <w:rPr/>
            </w:pPr>
            <w:r>
              <w:rPr/>
              <w:t>45.</w:t>
            </w:r>
          </w:p>
        </w:tc>
        <w:tc>
          <w:tcPr>
            <w:tcW w:w="127"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TRIPCASE &amp; BRIEFCASE DESIGN</w:t>
            </w:r>
          </w:p>
        </w:tc>
        <w:tc>
          <w:tcPr>
            <w:tcW w:w="127" w:type="dxa"/>
            <w:tcBorders/>
            <w:vAlign w:val="bottom"/>
          </w:tcPr>
          <w:p>
            <w:pPr>
              <w:pStyle w:val="TableContents"/>
              <w:bidi w:val="0"/>
              <w:spacing w:before="0" w:after="283"/>
              <w:jc w:val="left"/>
              <w:rPr/>
            </w:pPr>
            <w:r>
              <w:rPr/>
              <w:t>  </w:t>
            </w:r>
          </w:p>
        </w:tc>
        <w:tc>
          <w:tcPr>
            <w:tcW w:w="1117" w:type="dxa"/>
            <w:tcBorders/>
          </w:tcPr>
          <w:p>
            <w:pPr>
              <w:pStyle w:val="TableContents"/>
              <w:bidi w:val="0"/>
              <w:spacing w:before="0" w:after="283"/>
              <w:jc w:val="left"/>
              <w:rPr/>
            </w:pPr>
            <w:r>
              <w:rPr/>
              <w:t>85/981,238</w:t>
            </w:r>
          </w:p>
        </w:tc>
        <w:tc>
          <w:tcPr>
            <w:tcW w:w="127" w:type="dxa"/>
            <w:tcBorders/>
            <w:vAlign w:val="bottom"/>
          </w:tcPr>
          <w:p>
            <w:pPr>
              <w:pStyle w:val="TableContents"/>
              <w:bidi w:val="0"/>
              <w:spacing w:before="0" w:after="283"/>
              <w:jc w:val="left"/>
              <w:rPr/>
            </w:pPr>
            <w:r>
              <w:rPr/>
              <w:t>  </w:t>
            </w:r>
          </w:p>
        </w:tc>
        <w:tc>
          <w:tcPr>
            <w:tcW w:w="1088" w:type="dxa"/>
            <w:tcBorders/>
          </w:tcPr>
          <w:p>
            <w:pPr>
              <w:pStyle w:val="TableContents"/>
              <w:bidi w:val="0"/>
              <w:spacing w:before="0" w:after="283"/>
              <w:jc w:val="left"/>
              <w:rPr/>
            </w:pPr>
            <w:r>
              <w:rPr/>
              <w:t>4,530,905</w:t>
            </w:r>
          </w:p>
        </w:tc>
        <w:tc>
          <w:tcPr>
            <w:tcW w:w="127"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06/28/2012</w:t>
            </w:r>
          </w:p>
        </w:tc>
        <w:tc>
          <w:tcPr>
            <w:tcW w:w="127" w:type="dxa"/>
            <w:tcBorders/>
            <w:vAlign w:val="bottom"/>
          </w:tcPr>
          <w:p>
            <w:pPr>
              <w:pStyle w:val="TableContents"/>
              <w:bidi w:val="0"/>
              <w:spacing w:before="0" w:after="283"/>
              <w:jc w:val="left"/>
              <w:rPr/>
            </w:pPr>
            <w:r>
              <w:rPr/>
              <w:t>  </w:t>
            </w:r>
          </w:p>
        </w:tc>
        <w:tc>
          <w:tcPr>
            <w:tcW w:w="882" w:type="dxa"/>
            <w:tcBorders/>
          </w:tcPr>
          <w:p>
            <w:pPr>
              <w:pStyle w:val="TableContents"/>
              <w:bidi w:val="0"/>
              <w:spacing w:before="0" w:after="283"/>
              <w:jc w:val="left"/>
              <w:rPr/>
            </w:pPr>
            <w:r>
              <w:rPr/>
              <w:t>05/13/2014</w:t>
            </w:r>
          </w:p>
        </w:tc>
        <w:tc>
          <w:tcPr>
            <w:tcW w:w="127"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SabreMark Limited Partnership</w:t>
            </w:r>
          </w:p>
        </w:tc>
      </w:tr>
      <w:tr>
        <w:trPr>
          <w:trHeight w:val="120" w:hRule="atLeast"/>
        </w:trPr>
        <w:tc>
          <w:tcPr>
            <w:tcW w:w="275"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244" w:type="dxa"/>
            <w:gridSpan w:val="2"/>
            <w:tcBorders/>
            <w:vAlign w:val="center"/>
          </w:tcPr>
          <w:p>
            <w:pPr>
              <w:pStyle w:val="TableContents"/>
              <w:bidi w:val="0"/>
              <w:spacing w:before="0" w:after="283"/>
              <w:jc w:val="left"/>
              <w:rPr>
                <w:sz w:val="4"/>
                <w:szCs w:val="4"/>
              </w:rPr>
            </w:pPr>
            <w:r>
              <w:rPr>
                <w:sz w:val="4"/>
                <w:szCs w:val="4"/>
              </w:rPr>
            </w:r>
          </w:p>
        </w:tc>
        <w:tc>
          <w:tcPr>
            <w:tcW w:w="1215"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842"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283"/>
              <w:jc w:val="left"/>
              <w:rPr/>
            </w:pPr>
            <w:r>
              <w:rPr/>
              <w:t>46.</w:t>
            </w:r>
          </w:p>
        </w:tc>
        <w:tc>
          <w:tcPr>
            <w:tcW w:w="127" w:type="dxa"/>
            <w:tcBorders/>
            <w:vAlign w:val="bottom"/>
          </w:tcPr>
          <w:p>
            <w:pPr>
              <w:pStyle w:val="TableContents"/>
              <w:bidi w:val="0"/>
              <w:spacing w:before="0" w:after="283"/>
              <w:jc w:val="left"/>
              <w:rPr/>
            </w:pPr>
            <w:r>
              <w:rPr/>
              <w:t>  </w:t>
            </w:r>
          </w:p>
        </w:tc>
        <w:tc>
          <w:tcPr>
            <w:tcW w:w="3456" w:type="dxa"/>
            <w:tcBorders/>
          </w:tcPr>
          <w:p>
            <w:pPr>
              <w:pStyle w:val="TableContents"/>
              <w:bidi w:val="0"/>
              <w:spacing w:before="0" w:after="283"/>
              <w:jc w:val="left"/>
              <w:rPr/>
            </w:pPr>
            <w:r>
              <w:rPr/>
              <w:t>TRIPCASE APP ICON (BLACK &amp; WHITE)</w:t>
            </w:r>
          </w:p>
        </w:tc>
        <w:tc>
          <w:tcPr>
            <w:tcW w:w="127" w:type="dxa"/>
            <w:tcBorders/>
            <w:vAlign w:val="bottom"/>
          </w:tcPr>
          <w:p>
            <w:pPr>
              <w:pStyle w:val="TableContents"/>
              <w:bidi w:val="0"/>
              <w:spacing w:before="0" w:after="283"/>
              <w:jc w:val="left"/>
              <w:rPr/>
            </w:pPr>
            <w:r>
              <w:rPr/>
              <w:t>  </w:t>
            </w:r>
          </w:p>
        </w:tc>
        <w:tc>
          <w:tcPr>
            <w:tcW w:w="1117" w:type="dxa"/>
            <w:tcBorders/>
          </w:tcPr>
          <w:p>
            <w:pPr>
              <w:pStyle w:val="TableContents"/>
              <w:bidi w:val="0"/>
              <w:spacing w:before="0" w:after="283"/>
              <w:jc w:val="left"/>
              <w:rPr/>
            </w:pPr>
            <w:r>
              <w:rPr/>
              <w:t>86/737,903</w:t>
            </w:r>
          </w:p>
        </w:tc>
        <w:tc>
          <w:tcPr>
            <w:tcW w:w="127" w:type="dxa"/>
            <w:tcBorders/>
            <w:vAlign w:val="bottom"/>
          </w:tcPr>
          <w:p>
            <w:pPr>
              <w:pStyle w:val="TableContents"/>
              <w:bidi w:val="0"/>
              <w:spacing w:before="0" w:after="283"/>
              <w:jc w:val="left"/>
              <w:rPr/>
            </w:pPr>
            <w:r>
              <w:rPr/>
              <w:t>  </w:t>
            </w:r>
          </w:p>
        </w:tc>
        <w:tc>
          <w:tcPr>
            <w:tcW w:w="1088" w:type="dxa"/>
            <w:tcBorders/>
          </w:tcPr>
          <w:p>
            <w:pPr>
              <w:pStyle w:val="TableContents"/>
              <w:bidi w:val="0"/>
              <w:spacing w:before="0" w:after="283"/>
              <w:jc w:val="left"/>
              <w:rPr/>
            </w:pPr>
            <w:r>
              <w:rPr/>
              <w:t>5,296,951</w:t>
            </w:r>
          </w:p>
        </w:tc>
        <w:tc>
          <w:tcPr>
            <w:tcW w:w="127"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08/26/2015</w:t>
            </w:r>
          </w:p>
        </w:tc>
        <w:tc>
          <w:tcPr>
            <w:tcW w:w="127" w:type="dxa"/>
            <w:tcBorders/>
            <w:vAlign w:val="bottom"/>
          </w:tcPr>
          <w:p>
            <w:pPr>
              <w:pStyle w:val="TableContents"/>
              <w:bidi w:val="0"/>
              <w:spacing w:before="0" w:after="283"/>
              <w:jc w:val="left"/>
              <w:rPr/>
            </w:pPr>
            <w:r>
              <w:rPr/>
              <w:t>  </w:t>
            </w:r>
          </w:p>
        </w:tc>
        <w:tc>
          <w:tcPr>
            <w:tcW w:w="882" w:type="dxa"/>
            <w:tcBorders/>
          </w:tcPr>
          <w:p>
            <w:pPr>
              <w:pStyle w:val="TableContents"/>
              <w:bidi w:val="0"/>
              <w:spacing w:before="0" w:after="283"/>
              <w:jc w:val="left"/>
              <w:rPr/>
            </w:pPr>
            <w:r>
              <w:rPr/>
              <w:t>09/26/2017</w:t>
            </w:r>
          </w:p>
        </w:tc>
        <w:tc>
          <w:tcPr>
            <w:tcW w:w="127"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pPr>
            <w:r>
              <w:rPr/>
              <w:t>SabreMark Limited Partnership</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V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COPYRIGHT SECURITY AGREEMENT </w:t>
      </w:r>
    </w:p>
    <w:p>
      <w:pPr>
        <w:pStyle w:val="TextBody"/>
        <w:bidi w:val="0"/>
        <w:spacing w:before="240" w:after="0"/>
        <w:jc w:val="left"/>
        <w:rPr>
          <w:rFonts w:ascii="Times New Roman" w:hAnsi="Times New Roman"/>
          <w:sz w:val="20"/>
        </w:rPr>
      </w:pPr>
      <w:r>
        <w:rPr>
          <w:rFonts w:ascii="Times New Roman" w:hAnsi="Times New Roman"/>
          <w:sz w:val="20"/>
        </w:rPr>
        <w:t>COPYRIGHT SECURITY AGREEMENT, dated as of September 28, 2026 among SABRE HOLDINGS CORPORATION (“</w:t>
      </w:r>
      <w:r>
        <w:rPr>
          <w:rFonts w:ascii="Times New Roman" w:hAnsi="Times New Roman"/>
          <w:b/>
          <w:sz w:val="20"/>
        </w:rPr>
        <w:t>Holdings</w:t>
      </w:r>
      <w:r>
        <w:rPr>
          <w:rFonts w:ascii="Times New Roman" w:hAnsi="Times New Roman"/>
          <w:sz w:val="20"/>
        </w:rPr>
        <w:t>”), SABRE GLBL INC. (the “</w:t>
      </w:r>
      <w:r>
        <w:rPr>
          <w:rFonts w:ascii="Times New Roman" w:hAnsi="Times New Roman"/>
          <w:b/>
          <w:sz w:val="20"/>
        </w:rPr>
        <w:t>Borrower</w:t>
      </w:r>
      <w:r>
        <w:rPr>
          <w:rFonts w:ascii="Times New Roman" w:hAnsi="Times New Roman"/>
          <w:sz w:val="20"/>
        </w:rPr>
        <w:t xml:space="preserve">”), certain Subsidiaries of the Borrower from time to time party hereto and WILMINGTON TRUST, NATIONAL ASSOCIATION, as Administrative Agent for the Secured Parties (as defined below). </w:t>
      </w:r>
    </w:p>
    <w:p>
      <w:pPr>
        <w:pStyle w:val="TextBody"/>
        <w:bidi w:val="0"/>
        <w:spacing w:before="240" w:after="0"/>
        <w:jc w:val="left"/>
        <w:rPr>
          <w:rFonts w:ascii="Times New Roman" w:hAnsi="Times New Roman"/>
          <w:sz w:val="20"/>
        </w:rPr>
      </w:pPr>
      <w:r>
        <w:rPr>
          <w:rFonts w:ascii="Times New Roman" w:hAnsi="Times New Roman"/>
          <w:sz w:val="20"/>
        </w:rPr>
        <w:t>Reference is made to the Pledge and Security Agreement dated as of September 28, 2026 (as amended, restated, supplemented or otherwise modified from time to time, the “</w:t>
      </w:r>
      <w:r>
        <w:rPr>
          <w:rFonts w:ascii="Times New Roman" w:hAnsi="Times New Roman"/>
          <w:b/>
          <w:sz w:val="20"/>
        </w:rPr>
        <w:t>Security Agreement</w:t>
      </w:r>
      <w:r>
        <w:rPr>
          <w:rFonts w:ascii="Times New Roman" w:hAnsi="Times New Roman"/>
          <w:sz w:val="20"/>
        </w:rPr>
        <w:t>”), among Holdings, the Borrower, certain Subsidiaries of the Borrower from time to time party thereto and the Administrative Agent. The Secured Parties’ agreements in respect of extensions of credit to the Borrower are set forth in the First Lien Pari Passu Credit Agreement dated as of September 28, 2026 (as amended, restated, supplemented or otherwise modified from time to time, the “</w:t>
      </w:r>
      <w:r>
        <w:rPr>
          <w:rFonts w:ascii="Times New Roman" w:hAnsi="Times New Roman"/>
          <w:b/>
          <w:sz w:val="20"/>
        </w:rPr>
        <w:t>Credit Agreement</w:t>
      </w:r>
      <w:r>
        <w:rPr>
          <w:rFonts w:ascii="Times New Roman" w:hAnsi="Times New Roman"/>
          <w:sz w:val="20"/>
        </w:rPr>
        <w:t>”), among the Borrower, Holdings, the other grantors from time to time party thereto, WILMINGTON TRUST, NATIONAL ASSOCIATION, as Administrative Agent, and the lender from time to time party thereto (the “</w:t>
      </w:r>
      <w:r>
        <w:rPr>
          <w:rFonts w:ascii="Times New Roman" w:hAnsi="Times New Roman"/>
          <w:b/>
          <w:sz w:val="20"/>
        </w:rPr>
        <w:t>Lender</w:t>
      </w:r>
      <w:r>
        <w:rPr>
          <w:rFonts w:ascii="Times New Roman" w:hAnsi="Times New Roman"/>
          <w:sz w:val="20"/>
        </w:rPr>
        <w:t xml:space="preserve">”). Each of Holdings and the Subsidiaries party hereto is an affiliate of the Borrower and will derive substantial benefits from the extension of credit to the Borrower pursuant to the Credit Agreement and is willing to execute and deliver this Agreement in order to induce the Lender to extend such credit. Accordingly,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Terms</w:t>
      </w:r>
      <w:r>
        <w:rPr>
          <w:rFonts w:ascii="Times New Roman" w:hAnsi="Times New Roman"/>
          <w:sz w:val="20"/>
        </w:rPr>
        <w:t xml:space="preserve">. Capitalized terms used in this Agreement and not otherwise defined herein have the meanings specified in the Security Agreement, or the Credit Agreement, as applicable. The rules of construction specified in Article 1 of the Credit Agreement also apply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Grant of Security Interest</w:t>
      </w:r>
      <w:r>
        <w:rPr>
          <w:rFonts w:ascii="Times New Roman" w:hAnsi="Times New Roman"/>
          <w:sz w:val="20"/>
        </w:rPr>
        <w:t>. As security for the payment or performance, as the case may be, in full of the Secured Obligations, each Grantor, pursuant to and in accordance with the Security Agreement, did and hereby does grant to the Administrative Agent, its successors and assigns, for the benefit of the Secured Parties, a security interest in, all right, title and interest in or to any and all of the following assets and properties now owned or at any time hereafter acquired by such Grantor or in which such Grantor now has or at any time in the future may acquire any right, title or interest (collectively, the “</w:t>
      </w:r>
      <w:r>
        <w:rPr>
          <w:rFonts w:ascii="Times New Roman" w:hAnsi="Times New Roman"/>
          <w:b/>
          <w:sz w:val="20"/>
        </w:rPr>
        <w:t>Copyright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registrations of any copyright in the United States, including registrations, recordings and supplemental registrations in the USCO; </w:t>
      </w:r>
    </w:p>
    <w:p>
      <w:pPr>
        <w:pStyle w:val="TextBody"/>
        <w:bidi w:val="0"/>
        <w:spacing w:before="240" w:after="0"/>
        <w:jc w:val="left"/>
        <w:rPr>
          <w:rFonts w:ascii="Times New Roman" w:hAnsi="Times New Roman"/>
          <w:sz w:val="20"/>
        </w:rPr>
      </w:pPr>
      <w:r>
        <w:rPr>
          <w:rFonts w:ascii="Times New Roman" w:hAnsi="Times New Roman"/>
          <w:sz w:val="20"/>
        </w:rPr>
        <w:t xml:space="preserve">(ii) all Proceeds of the foregoing, including license fees, royalties, income, payments, claims, damages and proceeds of suit now or hereafter due and/or payable with respect thereto; and </w:t>
      </w:r>
    </w:p>
    <w:p>
      <w:pPr>
        <w:pStyle w:val="TextBody"/>
        <w:bidi w:val="0"/>
        <w:spacing w:before="240" w:after="0"/>
        <w:jc w:val="left"/>
        <w:rPr>
          <w:rFonts w:ascii="Times New Roman" w:hAnsi="Times New Roman"/>
          <w:sz w:val="20"/>
        </w:rPr>
      </w:pPr>
      <w:r>
        <w:rPr>
          <w:rFonts w:ascii="Times New Roman" w:hAnsi="Times New Roman"/>
          <w:sz w:val="20"/>
        </w:rPr>
        <w:t xml:space="preserve">(iii) all causes of action arising prior to or after the date hereof for infringement of any of the foregoing, or unfair competition claims regarding the same.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is made to secure the satisfactory performance and payment of the Secured Obligations. This Copyright Security Agreement and the security interest granted hereby shall terminate with respect to all of a Grantor’s Secured Obligations and any Lien arising therefrom shall be automatically released upon termination of the Security Agreement or release of such Grantor’s obligations thereunder. The Administrative Agent shall, in connection with any termination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release herein or under the Security Agreement, execute and deliver to any Grantor, at such Grantor’s expense and as such Grantor may request, an instrument in writing releasing the security interest in the Copyright Collateral acquired under this Agreement. Additionally, upon such satisfactory performance or payment, the Administrative Agent shall reasonably cooperate with any efforts made by a Grantor to make of record or otherwise confirm such satisfaction including, but not limited to, the release and/or termination of this Agreement and any security interest in, to or under the Copyright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Supplement to the Security Agreement</w:t>
      </w:r>
      <w:r>
        <w:rPr>
          <w:rFonts w:ascii="Times New Roman" w:hAnsi="Times New Roman"/>
          <w:sz w:val="20"/>
        </w:rPr>
        <w:t xml:space="preserve">. The security interests granted to the Administrative Agent herein are granted in furtherance, and not in limitation of, the security interests granted to the Administrative Agent pursuant to the Security Agreement. Each Grantor hereby acknowledges and affirms that the rights and remedies of the Administrative Agent with respect to the Copyright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Holdings and the Borrower jointly and severally represent and warrant, as to themselves and the other Grantors, to the Administrative Agent and the Secured Parties, that a true and correct list of all of the existing material Copyright Collateral consisting of U.S. Copyright registrations or applications owned by the Grantor, in whole or in part, as of the date hereof, is set forth in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The provisions of Article VI of the Security Agreement are hereby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LIEN AND SECURITY INTEREST GRANTED TO THE ADMINISTRATIVE AGENT, FOR THE BENEFIT OF THE SECURED PARTIES, PURSUANT TO THIS AGREEMENT AND THE EXERCISE OF ANY RIGHT OR REMEDY BY THE ADMINISTRATIVE AGENT AND THE OTHER SECURED PARTIES HEREUNDER ARE SUBJECT TO THE PROVISIONS OF THE INTERCREDITOR AGREEMENT. IN THE EVENT OF ANY CONFLICT OR INCONSISTENCY BETWEEN THE PROVISIONS OF THE INTERCREDITOR AGREEMENT AND THIS AGREEMENT, THE PROVISIONS OF THE INTERCREDITOR AGREEMENT SHALL CONTROL.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SABRE HOLDINGS CORPORATION,</w:t>
            </w:r>
            <w:r>
              <w:rPr/>
              <w:t xml:space="preserve"> as Holdings</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Roushan Zenooz</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SABRE GLBL INC.,</w:t>
            </w:r>
            <w:r>
              <w:rPr/>
              <w:t xml:space="preserve"> as the Borrower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Roushan Zenooz</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EACH OF THE LOAN PARTIES LISTED ON ANNEX A HERETO</w:t>
            </w:r>
            <w:r>
              <w:rPr/>
              <w:t>,</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Roushan Zenooz</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Treasurer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Copyright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28"/>
        <w:gridCol w:w="92"/>
        <w:gridCol w:w="3462"/>
      </w:tblGrid>
      <w:tr>
        <w:trPr/>
        <w:tc>
          <w:tcPr>
            <w:tcW w:w="52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WILMINGTON TRUST, NATIONAL ASSOCIATION</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528" w:type="dxa"/>
            <w:tcBorders/>
            <w:vAlign w:val="center"/>
          </w:tcPr>
          <w:p>
            <w:pPr>
              <w:pStyle w:val="TableContents"/>
              <w:bidi w:val="0"/>
              <w:spacing w:before="0" w:after="283"/>
              <w:jc w:val="left"/>
              <w:rPr>
                <w:sz w:val="4"/>
                <w:szCs w:val="4"/>
              </w:rPr>
            </w:pPr>
            <w:r>
              <w:rPr>
                <w:sz w:val="4"/>
                <w:szCs w:val="4"/>
              </w:rPr>
            </w:r>
          </w:p>
        </w:tc>
        <w:tc>
          <w:tcPr>
            <w:tcW w:w="3554" w:type="dxa"/>
            <w:gridSpan w:val="2"/>
            <w:tcBorders/>
            <w:vAlign w:val="center"/>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pBdr>
                <w:bottom w:val="single" w:sz="2" w:space="1" w:color="000000"/>
              </w:pBdr>
              <w:bidi w:val="0"/>
              <w:spacing w:before="0" w:after="20"/>
              <w:jc w:val="left"/>
              <w:rPr/>
            </w:pPr>
            <w:r>
              <w:rPr/>
              <w:t> </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Name:</w:t>
            </w:r>
          </w:p>
        </w:tc>
      </w:tr>
      <w:tr>
        <w:trPr/>
        <w:tc>
          <w:tcPr>
            <w:tcW w:w="528"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Copyright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that are Loan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
        <w:gridCol w:w="121"/>
        <w:gridCol w:w="9643"/>
      </w:tblGrid>
      <w:tr>
        <w:trPr/>
        <w:tc>
          <w:tcPr>
            <w:tcW w:w="4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643" w:type="dxa"/>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lastminute.com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2.</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 International Newco,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3.</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SabreMark G.P.,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4.</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SabreMark Limited Partnership</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5.</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Common,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6.</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Sabre GDC,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7.</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PRISM TECHNOLOGIES,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8.</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PRISM Group,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9.</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RSI Midco,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10.</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Radixx Solutions International,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11.</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Holdings, Inc.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12.</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13.</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Holdings I, LLC</w:t>
            </w:r>
          </w:p>
        </w:tc>
      </w:tr>
      <w:tr>
        <w:trPr>
          <w:trHeight w:val="120" w:hRule="atLeast"/>
        </w:trPr>
        <w:tc>
          <w:tcPr>
            <w:tcW w:w="441" w:type="dxa"/>
            <w:tcBorders/>
            <w:vAlign w:val="center"/>
          </w:tcPr>
          <w:p>
            <w:pPr>
              <w:pStyle w:val="TableContents"/>
              <w:bidi w:val="0"/>
              <w:spacing w:before="0" w:after="283"/>
              <w:jc w:val="left"/>
              <w:rPr>
                <w:sz w:val="4"/>
                <w:szCs w:val="4"/>
              </w:rPr>
            </w:pPr>
            <w:r>
              <w:rPr>
                <w:sz w:val="4"/>
                <w:szCs w:val="4"/>
              </w:rPr>
            </w:r>
          </w:p>
        </w:tc>
        <w:tc>
          <w:tcPr>
            <w:tcW w:w="9764" w:type="dxa"/>
            <w:gridSpan w:val="2"/>
            <w:tcBorders/>
            <w:vAlign w:val="center"/>
          </w:tcPr>
          <w:p>
            <w:pPr>
              <w:pStyle w:val="TableContents"/>
              <w:bidi w:val="0"/>
              <w:spacing w:before="0" w:after="283"/>
              <w:jc w:val="left"/>
              <w:rPr>
                <w:sz w:val="4"/>
                <w:szCs w:val="4"/>
              </w:rPr>
            </w:pPr>
            <w:r>
              <w:rPr>
                <w:sz w:val="4"/>
                <w:szCs w:val="4"/>
              </w:rPr>
            </w:r>
          </w:p>
        </w:tc>
      </w:tr>
      <w:tr>
        <w:trPr/>
        <w:tc>
          <w:tcPr>
            <w:tcW w:w="441" w:type="dxa"/>
            <w:tcBorders/>
          </w:tcPr>
          <w:p>
            <w:pPr>
              <w:pStyle w:val="TableContents"/>
              <w:bidi w:val="0"/>
              <w:spacing w:before="0" w:after="283"/>
              <w:jc w:val="left"/>
              <w:rPr/>
            </w:pPr>
            <w:r>
              <w:rPr/>
              <w:t>14.</w:t>
            </w:r>
          </w:p>
        </w:tc>
        <w:tc>
          <w:tcPr>
            <w:tcW w:w="121" w:type="dxa"/>
            <w:tcBorders/>
            <w:vAlign w:val="bottom"/>
          </w:tcPr>
          <w:p>
            <w:pPr>
              <w:pStyle w:val="TableContents"/>
              <w:bidi w:val="0"/>
              <w:spacing w:before="0" w:after="283"/>
              <w:jc w:val="left"/>
              <w:rPr/>
            </w:pPr>
            <w:r>
              <w:rPr/>
              <w:t>  </w:t>
            </w:r>
          </w:p>
        </w:tc>
        <w:tc>
          <w:tcPr>
            <w:tcW w:w="9643" w:type="dxa"/>
            <w:tcBorders/>
          </w:tcPr>
          <w:p>
            <w:pPr>
              <w:pStyle w:val="TableContents"/>
              <w:bidi w:val="0"/>
              <w:spacing w:before="0" w:after="283"/>
              <w:jc w:val="left"/>
              <w:rPr/>
            </w:pPr>
            <w:r>
              <w:rPr/>
              <w:t>TVL LP</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SHORT PARTICULARS OF U.S. COPYRIGHT COLLATERAL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
        <w:gridCol w:w="131"/>
        <w:gridCol w:w="4227"/>
        <w:gridCol w:w="131"/>
        <w:gridCol w:w="1981"/>
        <w:gridCol w:w="131"/>
        <w:gridCol w:w="60"/>
        <w:gridCol w:w="1027"/>
        <w:gridCol w:w="197"/>
        <w:gridCol w:w="131"/>
        <w:gridCol w:w="1915"/>
      </w:tblGrid>
      <w:tr>
        <w:trPr/>
        <w:tc>
          <w:tcPr>
            <w:tcW w:w="27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422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2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w:t>
            </w:r>
          </w:p>
        </w:tc>
        <w:tc>
          <w:tcPr>
            <w:tcW w:w="131" w:type="dxa"/>
            <w:tcBorders/>
            <w:vAlign w:val="bottom"/>
          </w:tcPr>
          <w:p>
            <w:pPr>
              <w:pStyle w:val="TableContents"/>
              <w:bidi w:val="0"/>
              <w:spacing w:before="0" w:after="283"/>
              <w:jc w:val="left"/>
              <w:rPr/>
            </w:pPr>
            <w:r>
              <w:rPr/>
              <w:t>  </w:t>
            </w:r>
          </w:p>
        </w:tc>
        <w:tc>
          <w:tcPr>
            <w:tcW w:w="42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31" w:type="dxa"/>
            <w:tcBorders/>
            <w:vAlign w:val="bottom"/>
          </w:tcPr>
          <w:p>
            <w:pPr>
              <w:pStyle w:val="TableContents"/>
              <w:bidi w:val="0"/>
              <w:spacing w:before="0" w:after="283"/>
              <w:jc w:val="left"/>
              <w:rPr/>
            </w:pPr>
            <w:r>
              <w:rPr/>
              <w:t>  </w:t>
            </w:r>
          </w:p>
        </w:tc>
        <w:tc>
          <w:tcPr>
            <w:tcW w:w="1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REG NO</w:t>
            </w:r>
          </w:p>
        </w:tc>
        <w:tc>
          <w:tcPr>
            <w:tcW w:w="131"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REG</w:t>
              <w:br/>
              <w:t>DATE</w:t>
            </w:r>
          </w:p>
        </w:tc>
        <w:tc>
          <w:tcPr>
            <w:tcW w:w="19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OWNER</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358"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2046"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vAlign w:val="bottom"/>
          </w:tcPr>
          <w:p>
            <w:pPr>
              <w:pStyle w:val="TableContents"/>
              <w:bidi w:val="0"/>
              <w:spacing w:before="0" w:after="283"/>
              <w:jc w:val="left"/>
              <w:rPr/>
            </w:pPr>
            <w:r>
              <w:rPr/>
              <w:t>1.</w:t>
            </w:r>
          </w:p>
        </w:tc>
        <w:tc>
          <w:tcPr>
            <w:tcW w:w="131" w:type="dxa"/>
            <w:tcBorders/>
            <w:vAlign w:val="bottom"/>
          </w:tcPr>
          <w:p>
            <w:pPr>
              <w:pStyle w:val="TableContents"/>
              <w:bidi w:val="0"/>
              <w:spacing w:before="0" w:after="283"/>
              <w:jc w:val="left"/>
              <w:rPr/>
            </w:pPr>
            <w:r>
              <w:rPr/>
              <w:t>  </w:t>
            </w:r>
          </w:p>
        </w:tc>
        <w:tc>
          <w:tcPr>
            <w:tcW w:w="4227" w:type="dxa"/>
            <w:tcBorders/>
          </w:tcPr>
          <w:p>
            <w:pPr>
              <w:pStyle w:val="TableContents"/>
              <w:bidi w:val="0"/>
              <w:spacing w:before="0" w:after="0"/>
              <w:jc w:val="left"/>
              <w:rPr>
                <w:rFonts w:ascii="Times New Roman" w:hAnsi="Times New Roman"/>
                <w:sz w:val="20"/>
              </w:rPr>
            </w:pPr>
            <w:r>
              <w:rPr>
                <w:rFonts w:ascii="Times New Roman" w:hAnsi="Times New Roman"/>
                <w:sz w:val="20"/>
              </w:rPr>
              <w:t>TripCase App Icon 2</w:t>
            </w:r>
          </w:p>
        </w:tc>
        <w:tc>
          <w:tcPr>
            <w:tcW w:w="131" w:type="dxa"/>
            <w:tcBorders/>
            <w:vAlign w:val="bottom"/>
          </w:tcPr>
          <w:p>
            <w:pPr>
              <w:pStyle w:val="TableContents"/>
              <w:bidi w:val="0"/>
              <w:spacing w:before="0" w:after="283"/>
              <w:jc w:val="left"/>
              <w:rPr/>
            </w:pPr>
            <w:r>
              <w:rPr/>
              <w:t>  </w:t>
            </w:r>
          </w:p>
        </w:tc>
        <w:tc>
          <w:tcPr>
            <w:tcW w:w="1981" w:type="dxa"/>
            <w:tcBorders/>
          </w:tcPr>
          <w:p>
            <w:pPr>
              <w:pStyle w:val="TableContents"/>
              <w:bidi w:val="0"/>
              <w:spacing w:before="0" w:after="0"/>
              <w:jc w:val="left"/>
              <w:rPr>
                <w:rFonts w:ascii="Times New Roman" w:hAnsi="Times New Roman"/>
                <w:sz w:val="20"/>
              </w:rPr>
            </w:pPr>
            <w:r>
              <w:rPr>
                <w:rFonts w:ascii="Times New Roman" w:hAnsi="Times New Roman"/>
                <w:sz w:val="20"/>
              </w:rPr>
              <w:t>VA0001985228</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9/21/2015</w:t>
            </w:r>
          </w:p>
        </w:tc>
        <w:tc>
          <w:tcPr>
            <w:tcW w:w="19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r>
      <w:tr>
        <w:trPr>
          <w:trHeight w:val="120" w:hRule="atLeast"/>
        </w:trPr>
        <w:tc>
          <w:tcPr>
            <w:tcW w:w="274" w:type="dxa"/>
            <w:tcBorders/>
            <w:vAlign w:val="center"/>
          </w:tcPr>
          <w:p>
            <w:pPr>
              <w:pStyle w:val="TableContents"/>
              <w:bidi w:val="0"/>
              <w:spacing w:before="0" w:after="283"/>
              <w:jc w:val="left"/>
              <w:rPr>
                <w:sz w:val="4"/>
                <w:szCs w:val="4"/>
              </w:rPr>
            </w:pPr>
            <w:r>
              <w:rPr>
                <w:sz w:val="4"/>
                <w:szCs w:val="4"/>
              </w:rPr>
            </w:r>
          </w:p>
        </w:tc>
        <w:tc>
          <w:tcPr>
            <w:tcW w:w="4358"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2046" w:type="dxa"/>
            <w:gridSpan w:val="2"/>
            <w:tcBorders/>
            <w:vAlign w:val="center"/>
          </w:tcPr>
          <w:p>
            <w:pPr>
              <w:pStyle w:val="TableContents"/>
              <w:bidi w:val="0"/>
              <w:spacing w:before="0" w:after="283"/>
              <w:jc w:val="left"/>
              <w:rPr>
                <w:sz w:val="4"/>
                <w:szCs w:val="4"/>
              </w:rPr>
            </w:pPr>
            <w:r>
              <w:rPr>
                <w:sz w:val="4"/>
                <w:szCs w:val="4"/>
              </w:rPr>
            </w:r>
          </w:p>
        </w:tc>
      </w:tr>
      <w:tr>
        <w:trPr/>
        <w:tc>
          <w:tcPr>
            <w:tcW w:w="274" w:type="dxa"/>
            <w:tcBorders/>
            <w:vAlign w:val="bottom"/>
          </w:tcPr>
          <w:p>
            <w:pPr>
              <w:pStyle w:val="TableContents"/>
              <w:bidi w:val="0"/>
              <w:spacing w:before="0" w:after="283"/>
              <w:jc w:val="left"/>
              <w:rPr/>
            </w:pPr>
            <w:r>
              <w:rPr/>
              <w:t>2.</w:t>
            </w:r>
          </w:p>
        </w:tc>
        <w:tc>
          <w:tcPr>
            <w:tcW w:w="131" w:type="dxa"/>
            <w:tcBorders/>
            <w:vAlign w:val="bottom"/>
          </w:tcPr>
          <w:p>
            <w:pPr>
              <w:pStyle w:val="TableContents"/>
              <w:bidi w:val="0"/>
              <w:spacing w:before="0" w:after="283"/>
              <w:jc w:val="left"/>
              <w:rPr/>
            </w:pPr>
            <w:r>
              <w:rPr/>
              <w:t>  </w:t>
            </w:r>
          </w:p>
        </w:tc>
        <w:tc>
          <w:tcPr>
            <w:tcW w:w="4227" w:type="dxa"/>
            <w:tcBorders/>
          </w:tcPr>
          <w:p>
            <w:pPr>
              <w:pStyle w:val="TableContents"/>
              <w:bidi w:val="0"/>
              <w:spacing w:before="0" w:after="0"/>
              <w:jc w:val="left"/>
              <w:rPr>
                <w:rFonts w:ascii="Times New Roman" w:hAnsi="Times New Roman"/>
                <w:sz w:val="20"/>
              </w:rPr>
            </w:pPr>
            <w:r>
              <w:rPr>
                <w:rFonts w:ascii="Times New Roman" w:hAnsi="Times New Roman"/>
                <w:sz w:val="20"/>
              </w:rPr>
              <w:t>TripCase App Icon</w:t>
            </w:r>
          </w:p>
        </w:tc>
        <w:tc>
          <w:tcPr>
            <w:tcW w:w="131" w:type="dxa"/>
            <w:tcBorders/>
            <w:vAlign w:val="bottom"/>
          </w:tcPr>
          <w:p>
            <w:pPr>
              <w:pStyle w:val="TableContents"/>
              <w:bidi w:val="0"/>
              <w:spacing w:before="0" w:after="283"/>
              <w:jc w:val="left"/>
              <w:rPr/>
            </w:pPr>
            <w:r>
              <w:rPr/>
              <w:t>  </w:t>
            </w:r>
          </w:p>
        </w:tc>
        <w:tc>
          <w:tcPr>
            <w:tcW w:w="1981" w:type="dxa"/>
            <w:tcBorders/>
          </w:tcPr>
          <w:p>
            <w:pPr>
              <w:pStyle w:val="TableContents"/>
              <w:bidi w:val="0"/>
              <w:spacing w:before="0" w:after="0"/>
              <w:jc w:val="left"/>
              <w:rPr>
                <w:rFonts w:ascii="Times New Roman" w:hAnsi="Times New Roman"/>
                <w:sz w:val="20"/>
              </w:rPr>
            </w:pPr>
            <w:r>
              <w:rPr>
                <w:rFonts w:ascii="Times New Roman" w:hAnsi="Times New Roman"/>
                <w:sz w:val="20"/>
              </w:rPr>
              <w:t>VA0001904513</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2/25/2014</w:t>
            </w:r>
          </w:p>
        </w:tc>
        <w:tc>
          <w:tcPr>
            <w:tcW w:w="19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915" w:type="dxa"/>
            <w:tcBorders/>
          </w:tcPr>
          <w:p>
            <w:pPr>
              <w:pStyle w:val="TableContents"/>
              <w:bidi w:val="0"/>
              <w:spacing w:before="0" w:after="0"/>
              <w:jc w:val="left"/>
              <w:rPr>
                <w:rFonts w:ascii="Times New Roman" w:hAnsi="Times New Roman"/>
                <w:sz w:val="20"/>
              </w:rPr>
            </w:pPr>
            <w:r>
              <w:rPr>
                <w:rFonts w:ascii="Times New Roman" w:hAnsi="Times New Roman"/>
                <w:sz w:val="20"/>
              </w:rPr>
              <w:t>Sabre GLBL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- 1 </w:t>
      </w:r>
    </w:p>
    <w:p>
      <w:pPr>
        <w:pStyle w:val="TextBody"/>
        <w:bidi w:val="0"/>
        <w:spacing w:before="0" w:after="0"/>
        <w:jc w:val="center"/>
        <w:rPr>
          <w:rFonts w:ascii="Times New Roman" w:hAnsi="Times New Roman"/>
          <w:sz w:val="20"/>
        </w:rPr>
      </w:pPr>
      <w:r>
        <w:rPr>
          <w:rFonts w:ascii="Times New Roman" w:hAnsi="Times New Roman"/>
          <w:sz w:val="20"/>
        </w:rPr>
        <w:t xml:space="preserve">Short Particulars of U.S. Copyright Collateral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G-1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INTERCOMPANY NOTE </w:t>
      </w:r>
    </w:p>
    <w:p>
      <w:pPr>
        <w:pStyle w:val="TextBody"/>
        <w:bidi w:val="0"/>
        <w:spacing w:before="0" w:after="0"/>
        <w:jc w:val="center"/>
        <w:rPr>
          <w:rFonts w:ascii="Times New Roman" w:hAnsi="Times New Roman"/>
          <w:b/>
          <w:sz w:val="20"/>
        </w:rPr>
      </w:pPr>
      <w:r>
        <w:rPr>
          <w:rFonts w:ascii="Times New Roman" w:hAnsi="Times New Roman"/>
          <w:b/>
          <w:sz w:val="20"/>
        </w:rPr>
        <w:t xml:space="preserve">LOAN PARTY PAYORS </w:t>
      </w:r>
    </w:p>
    <w:p>
      <w:pPr>
        <w:pStyle w:val="TextBody"/>
        <w:bidi w:val="0"/>
        <w:spacing w:before="0" w:after="0"/>
        <w:jc w:val="center"/>
        <w:rPr>
          <w:rFonts w:ascii="Times New Roman" w:hAnsi="Times New Roman"/>
          <w:b/>
          <w:sz w:val="20"/>
        </w:rPr>
      </w:pPr>
      <w:r>
        <w:rPr>
          <w:rFonts w:ascii="Times New Roman" w:hAnsi="Times New Roman"/>
          <w:b/>
          <w:sz w:val="20"/>
        </w:rPr>
        <w:t xml:space="preserve">LOAN PARTY PAYEES </w:t>
      </w:r>
    </w:p>
    <w:p>
      <w:pPr>
        <w:pStyle w:val="TextBody"/>
        <w:bidi w:val="0"/>
        <w:spacing w:before="240" w:after="0"/>
        <w:jc w:val="right"/>
        <w:rPr>
          <w:rFonts w:ascii="Times New Roman" w:hAnsi="Times New Roman"/>
          <w:sz w:val="20"/>
        </w:rPr>
      </w:pPr>
      <w:r>
        <w:rPr>
          <w:rFonts w:ascii="Times New Roman" w:hAnsi="Times New Roman"/>
          <w:sz w:val="20"/>
        </w:rPr>
        <w:t xml:space="preserve">New York, New York </w:t>
      </w:r>
    </w:p>
    <w:p>
      <w:pPr>
        <w:pStyle w:val="TextBody"/>
        <w:bidi w:val="0"/>
        <w:spacing w:before="0" w:after="0"/>
        <w:jc w:val="right"/>
        <w:rPr>
          <w:rFonts w:ascii="Times New Roman" w:hAnsi="Times New Roman"/>
          <w:sz w:val="20"/>
        </w:rPr>
      </w:pPr>
      <w:r>
        <w:rPr>
          <w:rFonts w:ascii="Times New Roman" w:hAnsi="Times New Roman"/>
          <w:sz w:val="20"/>
        </w:rPr>
        <w:t xml:space="preserve">December [], 2026 </w:t>
      </w:r>
    </w:p>
    <w:p>
      <w:pPr>
        <w:pStyle w:val="TextBody"/>
        <w:bidi w:val="0"/>
        <w:spacing w:before="240" w:after="0"/>
        <w:jc w:val="left"/>
        <w:rPr>
          <w:rFonts w:ascii="Times New Roman" w:hAnsi="Times New Roman"/>
          <w:sz w:val="20"/>
        </w:rPr>
      </w:pPr>
      <w:r>
        <w:rPr>
          <w:rFonts w:ascii="Times New Roman" w:hAnsi="Times New Roman"/>
          <w:sz w:val="20"/>
        </w:rPr>
        <w:t>FOR VALUE RECEIVED, each Person set forth on Schedule A hereto from time to time, in its capacity as Payor (individually or collectively, as the context may require, a “</w:t>
      </w:r>
      <w:r>
        <w:rPr>
          <w:rFonts w:ascii="Times New Roman" w:hAnsi="Times New Roman"/>
          <w:sz w:val="20"/>
          <w:u w:val="single"/>
        </w:rPr>
        <w:t>Payor</w:t>
      </w:r>
      <w:r>
        <w:rPr>
          <w:rFonts w:ascii="Times New Roman" w:hAnsi="Times New Roman"/>
          <w:sz w:val="20"/>
        </w:rPr>
        <w:t>”), hereby promises to pay on demand to the order of each other Person set forth on Schedule A hereto or its assigns (individually or collectively, as the context may require, a “</w:t>
      </w:r>
      <w:r>
        <w:rPr>
          <w:rFonts w:ascii="Times New Roman" w:hAnsi="Times New Roman"/>
          <w:sz w:val="20"/>
          <w:u w:val="single"/>
        </w:rPr>
        <w:t>Payee</w:t>
      </w:r>
      <w:r>
        <w:rPr>
          <w:rFonts w:ascii="Times New Roman" w:hAnsi="Times New Roman"/>
          <w:sz w:val="20"/>
        </w:rPr>
        <w:t xml:space="preserve">”), in lawful money of the United States of America in immediately available funds, at such location in the United States of America as the applicable Payee shall from time to time designate, the unpaid principal amount of all loans and advances made by the applicable Payee to the applicable Payor.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Payor also promises to pay interest on the unpaid principal amount hereof in like money at said location from the date hereof until paid at such rate per annum as shall be agreed upon from time to time by the applicable Payor and the applicable Payee. </w:t>
      </w:r>
    </w:p>
    <w:p>
      <w:pPr>
        <w:pStyle w:val="TextBody"/>
        <w:bidi w:val="0"/>
        <w:spacing w:before="240" w:after="0"/>
        <w:jc w:val="left"/>
        <w:rPr>
          <w:rFonts w:ascii="Times New Roman" w:hAnsi="Times New Roman"/>
          <w:sz w:val="20"/>
        </w:rPr>
      </w:pPr>
      <w:r>
        <w:rPr>
          <w:rFonts w:ascii="Times New Roman" w:hAnsi="Times New Roman"/>
          <w:sz w:val="20"/>
        </w:rPr>
        <w:t>Upon the earlier to occur of (x) the commencement of any bankruptcy, reorganization, arrangement, adjustment of debt, relief of debtors, dissolution, insolvency or liquidation or similar proceeding of any jurisdiction relating to the applicable Payor or (y) any exercise of remedies (including the termination of the Commitments) pursuant to Section 6.02 of the Credit Agreement referred to below, the unpaid principal amount of all loans and advances evidenced by this Note shall become immediately due and payable without presentment, demand, protest or notice of any kind in connection with this Note. This Note is one of the Intercompany Notes referred to in the First Lien Pari Passu Credit Agreement, dated as of September 28, 2026, among Sabre GLBL Inc. (the “</w:t>
      </w:r>
      <w:r>
        <w:rPr>
          <w:rFonts w:ascii="Times New Roman" w:hAnsi="Times New Roman"/>
          <w:sz w:val="20"/>
          <w:u w:val="single"/>
        </w:rPr>
        <w:t>Borrower</w:t>
      </w:r>
      <w:r>
        <w:rPr>
          <w:rFonts w:ascii="Times New Roman" w:hAnsi="Times New Roman"/>
          <w:sz w:val="20"/>
        </w:rPr>
        <w:t>”), Sabre Holdings Corporation, (“</w:t>
      </w:r>
      <w:r>
        <w:rPr>
          <w:rFonts w:ascii="Times New Roman" w:hAnsi="Times New Roman"/>
          <w:sz w:val="20"/>
          <w:u w:val="single"/>
        </w:rPr>
        <w:t>Holdings</w:t>
      </w:r>
      <w:r>
        <w:rPr>
          <w:rFonts w:ascii="Times New Roman" w:hAnsi="Times New Roman"/>
          <w:sz w:val="20"/>
        </w:rPr>
        <w:t>”), Wilmington Trust, National Association, as administrative agent (in such capacity, the “</w:t>
      </w:r>
      <w:r>
        <w:rPr>
          <w:rFonts w:ascii="Times New Roman" w:hAnsi="Times New Roman"/>
          <w:sz w:val="20"/>
          <w:u w:val="single"/>
        </w:rPr>
        <w:t>Administrative Agent</w:t>
      </w:r>
      <w:r>
        <w:rPr>
          <w:rFonts w:ascii="Times New Roman" w:hAnsi="Times New Roman"/>
          <w:sz w:val="20"/>
        </w:rPr>
        <w:t>”), and each lender from time to time party thereto (as amended, restated, modified, supplemented, extended or renewed from time to time, the “</w:t>
      </w:r>
      <w:r>
        <w:rPr>
          <w:rFonts w:ascii="Times New Roman" w:hAnsi="Times New Roman"/>
          <w:sz w:val="20"/>
          <w:u w:val="single"/>
        </w:rPr>
        <w:t>Credit Agreement</w:t>
      </w:r>
      <w:r>
        <w:rPr>
          <w:rFonts w:ascii="Times New Roman" w:hAnsi="Times New Roman"/>
          <w:sz w:val="20"/>
        </w:rPr>
        <w:t xml:space="preserve">”) and is subject to the terms of the Credit Agreement, and shall be pledged by the applicable Payee pursuant to the Security Agreement (as defined in the Credit Agreement). The applicable Payor hereby acknowledges and agrees that the Secured Parties (as defined in the Security Agreement) may, pursuant to the Security Agreement as in effect from time to time, exercise all rights provided therein with respect to this Note.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Payee is hereby authorized (but shall not be required) to record all loans and advances made by it to the applicable Payor (all of which shall be evidenced by this Note), and all repayments or prepayments thereof, in its books and records, such books and records constituting </w:t>
      </w:r>
      <w:r>
        <w:rPr>
          <w:rFonts w:ascii="Times New Roman" w:hAnsi="Times New Roman"/>
          <w:i/>
          <w:sz w:val="20"/>
        </w:rPr>
        <w:t xml:space="preserve">prima facie </w:t>
      </w:r>
      <w:r>
        <w:rPr>
          <w:rFonts w:ascii="Times New Roman" w:hAnsi="Times New Roman"/>
          <w:sz w:val="20"/>
        </w:rPr>
        <w:t xml:space="preserve">evidence of the accuracy of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All payments under this Note shall be made without offset, counterclaim or deduction of any kind.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Payor hereby waives presentment, demand, protest or notice of any kind in connection with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Subsidiary (as defined in the Credit Agreement) of the Borrower that wishes to become, or is required pursuant to the terms of the Credit Agreement to become, a party to this Note after the date hereof shall become a Payor or Payee, as applicable, hereunder by executing a counterpart hereof or a joinder agreement (which joinder agreement is in form and substance satisfactory to the Administrative Agent (acting at the direction of the Required Lenders) (as such terms are defined in the Credit Agreement)) and delivering same to the Administrative Agent. Each party to this Note on the date hereof agrees that any such Subsidiary shall, at the time it becomes a Payor or Payee pursuant to the foregoing provisions, be treated as if it were an original party hereto.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NOTE SHALL BE CONSTRUED IN ACCORDANCE WITH AND GOVERNED BY THE LAW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9"/>
        <w:gridCol w:w="137"/>
        <w:gridCol w:w="3206"/>
      </w:tblGrid>
      <w:tr>
        <w:trPr/>
        <w:tc>
          <w:tcPr>
            <w:tcW w:w="73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[______________], as Payor</w:t>
            </w:r>
          </w:p>
        </w:tc>
      </w:tr>
      <w:tr>
        <w:trPr>
          <w:trHeight w:val="240" w:hRule="atLeast"/>
        </w:trPr>
        <w:tc>
          <w:tcPr>
            <w:tcW w:w="739" w:type="dxa"/>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r>
      <w:tr>
        <w:trPr/>
        <w:tc>
          <w:tcPr>
            <w:tcW w:w="739" w:type="dxa"/>
            <w:tcBorders/>
          </w:tcPr>
          <w:p>
            <w:pPr>
              <w:pStyle w:val="TableContents"/>
              <w:bidi w:val="0"/>
              <w:spacing w:before="0" w:after="283"/>
              <w:jc w:val="left"/>
              <w:rPr/>
            </w:pPr>
            <w:r>
              <w:rPr/>
              <w:t>By:</w:t>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6" w:type="dxa"/>
            <w:tcBorders>
              <w:bottom w:val="single" w:sz="2" w:space="0" w:color="000000"/>
            </w:tcBorders>
            <w:tcMar>
              <w:bottom w:w="28" w:type="dxa"/>
            </w:tcMar>
          </w:tcPr>
          <w:p>
            <w:pPr>
              <w:pStyle w:val="TableContents"/>
              <w:bidi w:val="0"/>
              <w:spacing w:before="0" w:after="283"/>
              <w:jc w:val="left"/>
              <w:rPr/>
            </w:pPr>
            <w:r>
              <w:rPr/>
              <w:t> </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Name:</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39"/>
        <w:gridCol w:w="137"/>
        <w:gridCol w:w="3206"/>
      </w:tblGrid>
      <w:tr>
        <w:trPr/>
        <w:tc>
          <w:tcPr>
            <w:tcW w:w="73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Pay to the order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[______________], as Payee</w:t>
            </w:r>
          </w:p>
        </w:tc>
      </w:tr>
      <w:tr>
        <w:trPr>
          <w:trHeight w:val="240" w:hRule="atLeast"/>
        </w:trPr>
        <w:tc>
          <w:tcPr>
            <w:tcW w:w="739" w:type="dxa"/>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r>
      <w:tr>
        <w:trPr/>
        <w:tc>
          <w:tcPr>
            <w:tcW w:w="739" w:type="dxa"/>
            <w:tcBorders/>
          </w:tcPr>
          <w:p>
            <w:pPr>
              <w:pStyle w:val="TableContents"/>
              <w:bidi w:val="0"/>
              <w:spacing w:before="0" w:after="283"/>
              <w:jc w:val="left"/>
              <w:rPr/>
            </w:pPr>
            <w:r>
              <w:rPr/>
              <w:t>By:</w:t>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6" w:type="dxa"/>
            <w:tcBorders>
              <w:bottom w:val="single" w:sz="2" w:space="0" w:color="000000"/>
            </w:tcBorders>
            <w:tcMar>
              <w:bottom w:w="28" w:type="dxa"/>
            </w:tcMar>
          </w:tcPr>
          <w:p>
            <w:pPr>
              <w:pStyle w:val="TableContents"/>
              <w:bidi w:val="0"/>
              <w:spacing w:before="0" w:after="283"/>
              <w:jc w:val="left"/>
              <w:rPr/>
            </w:pPr>
            <w:r>
              <w:rPr/>
              <w:t> </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Name:</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53"/>
        <w:gridCol w:w="120"/>
        <w:gridCol w:w="4832"/>
      </w:tblGrid>
      <w:tr>
        <w:trPr/>
        <w:tc>
          <w:tcPr>
            <w:tcW w:w="52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2" w:type="dxa"/>
            <w:tcBorders/>
            <w:vAlign w:val="center"/>
          </w:tcPr>
          <w:p>
            <w:pPr>
              <w:pStyle w:val="TableContents"/>
              <w:bidi w:val="0"/>
              <w:spacing w:before="0" w:after="283"/>
              <w:jc w:val="left"/>
              <w:rPr>
                <w:sz w:val="4"/>
                <w:szCs w:val="4"/>
              </w:rPr>
            </w:pPr>
            <w:r>
              <w:rPr>
                <w:sz w:val="4"/>
                <w:szCs w:val="4"/>
              </w:rPr>
            </w:r>
          </w:p>
        </w:tc>
      </w:tr>
      <w:tr>
        <w:trPr/>
        <w:tc>
          <w:tcPr>
            <w:tcW w:w="525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 OF PAYOR/PAYEE</w:t>
            </w:r>
          </w:p>
        </w:tc>
        <w:tc>
          <w:tcPr>
            <w:tcW w:w="120" w:type="dxa"/>
            <w:tcBorders/>
            <w:vAlign w:val="bottom"/>
          </w:tcPr>
          <w:p>
            <w:pPr>
              <w:pStyle w:val="TableContents"/>
              <w:bidi w:val="0"/>
              <w:spacing w:before="0" w:after="283"/>
              <w:jc w:val="left"/>
              <w:rPr/>
            </w:pPr>
            <w:r>
              <w:rPr/>
              <w:t>  </w:t>
            </w:r>
          </w:p>
        </w:tc>
        <w:tc>
          <w:tcPr>
            <w:tcW w:w="4832" w:type="dxa"/>
            <w:tcBorders/>
            <w:vAlign w:val="bottom"/>
          </w:tcPr>
          <w:p>
            <w:pPr>
              <w:pStyle w:val="TableContents"/>
              <w:bidi w:val="0"/>
              <w:spacing w:before="0" w:after="20"/>
              <w:jc w:val="center"/>
              <w:rPr>
                <w:rFonts w:ascii="Times New Roman" w:hAnsi="Times New Roman"/>
                <w:sz w:val="16"/>
              </w:rPr>
            </w:pPr>
            <w:r>
              <w:rPr>
                <w:rFonts w:ascii="Times New Roman" w:hAnsi="Times New Roman"/>
                <w:sz w:val="16"/>
              </w:rPr>
              <w:t>JURISDICTION OF ORGANIZATION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G-2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INTERCOMPANY NOTE </w:t>
      </w:r>
    </w:p>
    <w:p>
      <w:pPr>
        <w:pStyle w:val="TextBody"/>
        <w:bidi w:val="0"/>
        <w:spacing w:before="0" w:after="0"/>
        <w:jc w:val="center"/>
        <w:rPr>
          <w:rFonts w:ascii="Times New Roman" w:hAnsi="Times New Roman"/>
          <w:b/>
          <w:sz w:val="20"/>
        </w:rPr>
      </w:pPr>
      <w:r>
        <w:rPr>
          <w:rFonts w:ascii="Times New Roman" w:hAnsi="Times New Roman"/>
          <w:b/>
          <w:sz w:val="20"/>
        </w:rPr>
        <w:t xml:space="preserve">NON-LOAN PARTY PAYORS </w:t>
      </w:r>
    </w:p>
    <w:p>
      <w:pPr>
        <w:pStyle w:val="TextBody"/>
        <w:bidi w:val="0"/>
        <w:spacing w:before="0" w:after="0"/>
        <w:jc w:val="center"/>
        <w:rPr>
          <w:rFonts w:ascii="Times New Roman" w:hAnsi="Times New Roman"/>
          <w:b/>
          <w:sz w:val="20"/>
        </w:rPr>
      </w:pPr>
      <w:r>
        <w:rPr>
          <w:rFonts w:ascii="Times New Roman" w:hAnsi="Times New Roman"/>
          <w:b/>
          <w:sz w:val="20"/>
        </w:rPr>
        <w:t xml:space="preserve">LOAN PARTY PAYEES </w:t>
      </w:r>
    </w:p>
    <w:p>
      <w:pPr>
        <w:pStyle w:val="TextBody"/>
        <w:bidi w:val="0"/>
        <w:spacing w:before="240" w:after="0"/>
        <w:jc w:val="right"/>
        <w:rPr>
          <w:rFonts w:ascii="Times New Roman" w:hAnsi="Times New Roman"/>
          <w:sz w:val="20"/>
        </w:rPr>
      </w:pPr>
      <w:r>
        <w:rPr>
          <w:rFonts w:ascii="Times New Roman" w:hAnsi="Times New Roman"/>
          <w:sz w:val="20"/>
        </w:rPr>
        <w:t xml:space="preserve">New York, New York </w:t>
      </w:r>
    </w:p>
    <w:p>
      <w:pPr>
        <w:pStyle w:val="TextBody"/>
        <w:bidi w:val="0"/>
        <w:spacing w:before="0" w:after="0"/>
        <w:jc w:val="right"/>
        <w:rPr>
          <w:rFonts w:ascii="Times New Roman" w:hAnsi="Times New Roman"/>
          <w:sz w:val="20"/>
        </w:rPr>
      </w:pPr>
      <w:r>
        <w:rPr>
          <w:rFonts w:ascii="Times New Roman" w:hAnsi="Times New Roman"/>
          <w:sz w:val="20"/>
        </w:rPr>
        <w:t xml:space="preserve">December [], 2026 </w:t>
      </w:r>
    </w:p>
    <w:p>
      <w:pPr>
        <w:pStyle w:val="TextBody"/>
        <w:bidi w:val="0"/>
        <w:spacing w:before="240" w:after="0"/>
        <w:jc w:val="left"/>
        <w:rPr>
          <w:rFonts w:ascii="Times New Roman" w:hAnsi="Times New Roman"/>
          <w:sz w:val="20"/>
        </w:rPr>
      </w:pPr>
      <w:r>
        <w:rPr>
          <w:rFonts w:ascii="Times New Roman" w:hAnsi="Times New Roman"/>
          <w:sz w:val="20"/>
        </w:rPr>
        <w:t>FOR VALUE RECEIVED, each Person set forth on Schedule A hereto from time to time, in its capacity as Payor (individually or collectively, as the context may require, a “</w:t>
      </w:r>
      <w:r>
        <w:rPr>
          <w:rFonts w:ascii="Times New Roman" w:hAnsi="Times New Roman"/>
          <w:sz w:val="20"/>
          <w:u w:val="single"/>
        </w:rPr>
        <w:t>Payor</w:t>
      </w:r>
      <w:r>
        <w:rPr>
          <w:rFonts w:ascii="Times New Roman" w:hAnsi="Times New Roman"/>
          <w:sz w:val="20"/>
        </w:rPr>
        <w:t>”), hereby promises to pay on demand to the order of each other Person set forth on Schedule A hereto or its assigns (individually or collectively, as the context may require, a “</w:t>
      </w:r>
      <w:r>
        <w:rPr>
          <w:rFonts w:ascii="Times New Roman" w:hAnsi="Times New Roman"/>
          <w:sz w:val="20"/>
          <w:u w:val="single"/>
        </w:rPr>
        <w:t>Payee</w:t>
      </w:r>
      <w:r>
        <w:rPr>
          <w:rFonts w:ascii="Times New Roman" w:hAnsi="Times New Roman"/>
          <w:sz w:val="20"/>
        </w:rPr>
        <w:t xml:space="preserve">”), in lawful money of the United States of America in immediately available funds, at such location in the United States of America as the applicable Payee shall from time to time designate, the unpaid principal amount of all loans and advances made by the applicable Payee to the applicable Payor.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Payor also promises to pay interest on the unpaid principal amount hereof in like money at said location from the date hereof until paid at such rate per annum as shall be agreed upon from time to time by the applicable Payor and the applicable Payee. </w:t>
      </w:r>
    </w:p>
    <w:p>
      <w:pPr>
        <w:pStyle w:val="TextBody"/>
        <w:bidi w:val="0"/>
        <w:spacing w:before="240" w:after="0"/>
        <w:jc w:val="left"/>
        <w:rPr>
          <w:rFonts w:ascii="Times New Roman" w:hAnsi="Times New Roman"/>
          <w:sz w:val="20"/>
        </w:rPr>
      </w:pPr>
      <w:r>
        <w:rPr>
          <w:rFonts w:ascii="Times New Roman" w:hAnsi="Times New Roman"/>
          <w:sz w:val="20"/>
        </w:rPr>
        <w:t>Upon the earlier to occur of (x) the commencement of any bankruptcy, reorganization, arrangement, adjustment of debt, relief of debtors, dissolution, insolvency or liquidation or similar proceeding of any jurisdiction relating to the applicable Payor or (y) any exercise of remedies (including the termination of the commitments) pursuant to Section 6.02 of the Credit Agreement referred to below, the unpaid principal amount of all loans and advances evidenced by this Note shall become immediately due and payable without presentment, demand, protest or notice of any kind in connection with this Note. This Note is one of the Intercompany Notes referred to in the First Lien Pari Passu Credit Agreement, dated as of September 28, 2026, among Sabre GLBL Inc. (the “</w:t>
      </w:r>
      <w:r>
        <w:rPr>
          <w:rFonts w:ascii="Times New Roman" w:hAnsi="Times New Roman"/>
          <w:sz w:val="20"/>
          <w:u w:val="single"/>
        </w:rPr>
        <w:t>Borrower</w:t>
      </w:r>
      <w:r>
        <w:rPr>
          <w:rFonts w:ascii="Times New Roman" w:hAnsi="Times New Roman"/>
          <w:sz w:val="20"/>
        </w:rPr>
        <w:t>”), Sabre Holdings Corporation, (“</w:t>
      </w:r>
      <w:r>
        <w:rPr>
          <w:rFonts w:ascii="Times New Roman" w:hAnsi="Times New Roman"/>
          <w:sz w:val="20"/>
          <w:u w:val="single"/>
        </w:rPr>
        <w:t>Holdings</w:t>
      </w:r>
      <w:r>
        <w:rPr>
          <w:rFonts w:ascii="Times New Roman" w:hAnsi="Times New Roman"/>
          <w:sz w:val="20"/>
        </w:rPr>
        <w:t>”), Wilmington Trust, National Association, as administrative agent (in such capacity, the “</w:t>
      </w:r>
      <w:r>
        <w:rPr>
          <w:rFonts w:ascii="Times New Roman" w:hAnsi="Times New Roman"/>
          <w:sz w:val="20"/>
          <w:u w:val="single"/>
        </w:rPr>
        <w:t>Administrative Agent</w:t>
      </w:r>
      <w:r>
        <w:rPr>
          <w:rFonts w:ascii="Times New Roman" w:hAnsi="Times New Roman"/>
          <w:sz w:val="20"/>
        </w:rPr>
        <w:t>”), and each lender from time to time party thereto (as amended, restated, modified, supplemented, extended or renewed from time to time, the “</w:t>
      </w:r>
      <w:r>
        <w:rPr>
          <w:rFonts w:ascii="Times New Roman" w:hAnsi="Times New Roman"/>
          <w:sz w:val="20"/>
          <w:u w:val="single"/>
        </w:rPr>
        <w:t>Credit Agreement</w:t>
      </w:r>
      <w:r>
        <w:rPr>
          <w:rFonts w:ascii="Times New Roman" w:hAnsi="Times New Roman"/>
          <w:sz w:val="20"/>
        </w:rPr>
        <w:t xml:space="preserve">”) and is subject to the terms of the Credit Agreement, and shall be pledged by the applicable Payee pursuant to the Security Agreement (as defined in the Credit Agreement). The applicable Payor hereby acknowledges and agrees that the Secured Parties (as defined in the Security Agreement) may, pursuant to the Security Agreement as in effect from time to time, exercise all rights provided therein with respect to this Note.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Payee is hereby authorized (but shall not be required) to record all loans and advances made by it to the applicable Payor (all of which shall be evidenced by this Note), and all repayments or prepayments thereof, in its books and records, such books and records constituting </w:t>
      </w:r>
      <w:r>
        <w:rPr>
          <w:rFonts w:ascii="Times New Roman" w:hAnsi="Times New Roman"/>
          <w:i/>
          <w:sz w:val="20"/>
        </w:rPr>
        <w:t xml:space="preserve">prima facie </w:t>
      </w:r>
      <w:r>
        <w:rPr>
          <w:rFonts w:ascii="Times New Roman" w:hAnsi="Times New Roman"/>
          <w:sz w:val="20"/>
        </w:rPr>
        <w:t xml:space="preserve">evidence of the accuracy of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All payments under this Note shall be made without offset, counterclaim or deduction of any kind.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Payor hereby waives presentment, demand, protest or notice of any kind in connection with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Subsidiary (as defined in the Credit Agreement) of the Borrower that wishes to become, or is required pursuant to the terms of the Credit Agreement to become, a party to this Note after the date hereof shall become a Payor or Payee, as applicable, hereunder by executing a counterpart hereof or a joinder agreement (which joinder agreement is in form and substance satisfactory to the Administrative Agent (acting at the direction of the Required Lenders) (as such terms are defined in the Credit Agreement)) and delivering same to the Administrative Agent. Each party to this Note on the date hereof agrees that any such Subsidiary shall, at the time it becomes a Payor or Payee pursuant to the foregoing provisions, be treated as if it were an original party hereto. </w:t>
      </w:r>
    </w:p>
    <w:p>
      <w:pPr>
        <w:pStyle w:val="TextBody"/>
        <w:bidi w:val="0"/>
        <w:spacing w:before="240" w:after="0"/>
        <w:jc w:val="left"/>
        <w:rPr>
          <w:rFonts w:ascii="Times New Roman" w:hAnsi="Times New Roman"/>
          <w:b/>
          <w:sz w:val="20"/>
        </w:rPr>
      </w:pPr>
      <w:r>
        <w:rPr>
          <w:rFonts w:ascii="Times New Roman" w:hAnsi="Times New Roman"/>
          <w:b/>
          <w:sz w:val="20"/>
        </w:rPr>
        <w:t xml:space="preserve">FOR THE AVOIDANCE OF DOUBT, OBGLIGATIONS TO REPAY LOANS AND ADVANCES ARE LIMITED TO THOSE ACTUALLY ENTERED INTO BY EACH APPLICABLE PAYOR AND PAYEE AND IN NO CIRCUMSTANCE SHALL ANY PAYOR OR PAYEE BE LIABLE FOR THE DEBTS OF ANY OTHER PAYOR OR PAYEE UNDER THIS NOTE.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NOTE SHALL BE CONSTRUED IN ACCORDANCE WITH AND GOVERNED BY THE LAW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9"/>
        <w:gridCol w:w="137"/>
        <w:gridCol w:w="3206"/>
      </w:tblGrid>
      <w:tr>
        <w:trPr/>
        <w:tc>
          <w:tcPr>
            <w:tcW w:w="73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[______________], as Payor</w:t>
            </w:r>
          </w:p>
        </w:tc>
      </w:tr>
      <w:tr>
        <w:trPr>
          <w:trHeight w:val="240" w:hRule="atLeast"/>
        </w:trPr>
        <w:tc>
          <w:tcPr>
            <w:tcW w:w="739" w:type="dxa"/>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r>
      <w:tr>
        <w:trPr/>
        <w:tc>
          <w:tcPr>
            <w:tcW w:w="739" w:type="dxa"/>
            <w:tcBorders/>
          </w:tcPr>
          <w:p>
            <w:pPr>
              <w:pStyle w:val="TableContents"/>
              <w:bidi w:val="0"/>
              <w:spacing w:before="0" w:after="283"/>
              <w:jc w:val="left"/>
              <w:rPr/>
            </w:pPr>
            <w:r>
              <w:rPr/>
              <w:t>By:</w:t>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6" w:type="dxa"/>
            <w:tcBorders>
              <w:bottom w:val="single" w:sz="2" w:space="0" w:color="000000"/>
            </w:tcBorders>
            <w:tcMar>
              <w:bottom w:w="28" w:type="dxa"/>
            </w:tcMar>
          </w:tcPr>
          <w:p>
            <w:pPr>
              <w:pStyle w:val="TableContents"/>
              <w:bidi w:val="0"/>
              <w:spacing w:before="0" w:after="283"/>
              <w:jc w:val="left"/>
              <w:rPr/>
            </w:pPr>
            <w:r>
              <w:rPr/>
              <w:t> </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Name:</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39"/>
        <w:gridCol w:w="137"/>
        <w:gridCol w:w="3206"/>
      </w:tblGrid>
      <w:tr>
        <w:trPr/>
        <w:tc>
          <w:tcPr>
            <w:tcW w:w="73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Pay to the order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[______________], as Payee</w:t>
            </w:r>
          </w:p>
        </w:tc>
      </w:tr>
      <w:tr>
        <w:trPr>
          <w:trHeight w:val="240" w:hRule="atLeast"/>
        </w:trPr>
        <w:tc>
          <w:tcPr>
            <w:tcW w:w="739" w:type="dxa"/>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r>
      <w:tr>
        <w:trPr/>
        <w:tc>
          <w:tcPr>
            <w:tcW w:w="739" w:type="dxa"/>
            <w:tcBorders/>
          </w:tcPr>
          <w:p>
            <w:pPr>
              <w:pStyle w:val="TableContents"/>
              <w:bidi w:val="0"/>
              <w:spacing w:before="0" w:after="283"/>
              <w:jc w:val="left"/>
              <w:rPr/>
            </w:pPr>
            <w:r>
              <w:rPr/>
              <w:t>By:</w:t>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6" w:type="dxa"/>
            <w:tcBorders>
              <w:bottom w:val="single" w:sz="2" w:space="0" w:color="000000"/>
            </w:tcBorders>
            <w:tcMar>
              <w:bottom w:w="28" w:type="dxa"/>
            </w:tcMar>
          </w:tcPr>
          <w:p>
            <w:pPr>
              <w:pStyle w:val="TableContents"/>
              <w:bidi w:val="0"/>
              <w:spacing w:before="0" w:after="283"/>
              <w:jc w:val="left"/>
              <w:rPr/>
            </w:pPr>
            <w:r>
              <w:rPr/>
              <w:t> </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Name:</w:t>
            </w:r>
          </w:p>
        </w:tc>
      </w:tr>
      <w:tr>
        <w:trPr/>
        <w:tc>
          <w:tcPr>
            <w:tcW w:w="73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53"/>
        <w:gridCol w:w="120"/>
        <w:gridCol w:w="4832"/>
      </w:tblGrid>
      <w:tr>
        <w:trPr/>
        <w:tc>
          <w:tcPr>
            <w:tcW w:w="52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2" w:type="dxa"/>
            <w:tcBorders/>
            <w:vAlign w:val="center"/>
          </w:tcPr>
          <w:p>
            <w:pPr>
              <w:pStyle w:val="TableContents"/>
              <w:bidi w:val="0"/>
              <w:spacing w:before="0" w:after="283"/>
              <w:jc w:val="left"/>
              <w:rPr>
                <w:sz w:val="4"/>
                <w:szCs w:val="4"/>
              </w:rPr>
            </w:pPr>
            <w:r>
              <w:rPr>
                <w:sz w:val="4"/>
                <w:szCs w:val="4"/>
              </w:rPr>
            </w:r>
          </w:p>
        </w:tc>
      </w:tr>
      <w:tr>
        <w:trPr/>
        <w:tc>
          <w:tcPr>
            <w:tcW w:w="525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 OF PAYOR/PAYEE</w:t>
            </w:r>
          </w:p>
        </w:tc>
        <w:tc>
          <w:tcPr>
            <w:tcW w:w="120" w:type="dxa"/>
            <w:tcBorders/>
            <w:vAlign w:val="bottom"/>
          </w:tcPr>
          <w:p>
            <w:pPr>
              <w:pStyle w:val="TableContents"/>
              <w:bidi w:val="0"/>
              <w:spacing w:before="0" w:after="283"/>
              <w:jc w:val="left"/>
              <w:rPr/>
            </w:pPr>
            <w:r>
              <w:rPr/>
              <w:t>  </w:t>
            </w:r>
          </w:p>
        </w:tc>
        <w:tc>
          <w:tcPr>
            <w:tcW w:w="4832" w:type="dxa"/>
            <w:tcBorders/>
            <w:vAlign w:val="bottom"/>
          </w:tcPr>
          <w:p>
            <w:pPr>
              <w:pStyle w:val="TableContents"/>
              <w:bidi w:val="0"/>
              <w:spacing w:before="0" w:after="20"/>
              <w:jc w:val="center"/>
              <w:rPr>
                <w:rFonts w:ascii="Times New Roman" w:hAnsi="Times New Roman"/>
                <w:sz w:val="16"/>
              </w:rPr>
            </w:pPr>
            <w:r>
              <w:rPr>
                <w:rFonts w:ascii="Times New Roman" w:hAnsi="Times New Roman"/>
                <w:sz w:val="16"/>
              </w:rPr>
              <w:t>JURISDICTION OF ORGANIZATION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G-3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INTERCOMPANY NOTE </w:t>
      </w:r>
    </w:p>
    <w:p>
      <w:pPr>
        <w:pStyle w:val="TextBody"/>
        <w:bidi w:val="0"/>
        <w:spacing w:before="0" w:after="0"/>
        <w:jc w:val="center"/>
        <w:rPr>
          <w:rFonts w:ascii="Times New Roman" w:hAnsi="Times New Roman"/>
          <w:b/>
          <w:sz w:val="20"/>
        </w:rPr>
      </w:pPr>
      <w:r>
        <w:rPr>
          <w:rFonts w:ascii="Times New Roman" w:hAnsi="Times New Roman"/>
          <w:b/>
          <w:sz w:val="20"/>
        </w:rPr>
        <w:t xml:space="preserve">LOAN PARTY PAYORS </w:t>
      </w:r>
    </w:p>
    <w:p>
      <w:pPr>
        <w:pStyle w:val="TextBody"/>
        <w:bidi w:val="0"/>
        <w:spacing w:before="0" w:after="0"/>
        <w:jc w:val="center"/>
        <w:rPr>
          <w:rFonts w:ascii="Times New Roman" w:hAnsi="Times New Roman"/>
          <w:b/>
          <w:sz w:val="20"/>
        </w:rPr>
      </w:pPr>
      <w:r>
        <w:rPr>
          <w:rFonts w:ascii="Times New Roman" w:hAnsi="Times New Roman"/>
          <w:b/>
          <w:sz w:val="20"/>
        </w:rPr>
        <w:t xml:space="preserve">NON-LOAN PARTY PAYEES </w:t>
      </w:r>
    </w:p>
    <w:p>
      <w:pPr>
        <w:pStyle w:val="TextBody"/>
        <w:bidi w:val="0"/>
        <w:spacing w:before="240" w:after="0"/>
        <w:jc w:val="left"/>
        <w:rPr>
          <w:rFonts w:ascii="Times New Roman" w:hAnsi="Times New Roman"/>
          <w:b/>
          <w:sz w:val="20"/>
        </w:rPr>
      </w:pPr>
      <w:r>
        <w:rPr>
          <w:rFonts w:ascii="Times New Roman" w:hAnsi="Times New Roman"/>
          <w:b/>
          <w:sz w:val="20"/>
        </w:rPr>
        <w:t>This Note, and the obligations of each Person set forth on Schedule A hereto, in its capacity as Payor (collectively, the “</w:t>
      </w:r>
      <w:r>
        <w:rPr>
          <w:rFonts w:ascii="Times New Roman" w:hAnsi="Times New Roman"/>
          <w:b/>
          <w:sz w:val="20"/>
          <w:u w:val="single"/>
        </w:rPr>
        <w:t>Payor</w:t>
      </w:r>
      <w:r>
        <w:rPr>
          <w:rFonts w:ascii="Times New Roman" w:hAnsi="Times New Roman"/>
          <w:b/>
          <w:sz w:val="20"/>
        </w:rPr>
        <w:t xml:space="preserve">”) hereunder, shall be subordinate and junior in right of payment to all Senior Indebtedness (as defined in Section 1.07 of Annex A hereto) on the terms and conditions set forth in Annex A hereto, which Annex A is herein incorporated by reference and made a part hereof as if set forth herein in its entirety. Annex A shall not be amended, modified or supplemented without the written consent of the Required Lenders (as defined in the Credit Agreement referred to below) (or, after the Credit Agreement has been terminated and all Senior Indebtedness (as defined in Annex A hereto) under the Credit Agreement shall have been paid in full, the other holders holding a majority of the outstanding other Senior Indebtedness).1 </w:t>
      </w:r>
    </w:p>
    <w:p>
      <w:pPr>
        <w:pStyle w:val="TextBody"/>
        <w:bidi w:val="0"/>
        <w:spacing w:before="240" w:after="0"/>
        <w:jc w:val="right"/>
        <w:rPr>
          <w:rFonts w:ascii="Times New Roman" w:hAnsi="Times New Roman"/>
          <w:sz w:val="20"/>
        </w:rPr>
      </w:pPr>
      <w:r>
        <w:rPr>
          <w:rFonts w:ascii="Times New Roman" w:hAnsi="Times New Roman"/>
          <w:sz w:val="20"/>
        </w:rPr>
        <w:t xml:space="preserve">New York, New York </w:t>
      </w:r>
    </w:p>
    <w:p>
      <w:pPr>
        <w:pStyle w:val="TextBody"/>
        <w:bidi w:val="0"/>
        <w:spacing w:before="0" w:after="0"/>
        <w:jc w:val="right"/>
        <w:rPr>
          <w:rFonts w:ascii="Times New Roman" w:hAnsi="Times New Roman"/>
          <w:sz w:val="20"/>
        </w:rPr>
      </w:pPr>
      <w:r>
        <w:rPr>
          <w:rFonts w:ascii="Times New Roman" w:hAnsi="Times New Roman"/>
          <w:sz w:val="20"/>
        </w:rPr>
        <w:t xml:space="preserve">December [], 2026 </w:t>
      </w:r>
    </w:p>
    <w:p>
      <w:pPr>
        <w:pStyle w:val="TextBody"/>
        <w:bidi w:val="0"/>
        <w:spacing w:before="240" w:after="0"/>
        <w:jc w:val="left"/>
        <w:rPr>
          <w:rFonts w:ascii="Times New Roman" w:hAnsi="Times New Roman"/>
          <w:sz w:val="20"/>
        </w:rPr>
      </w:pPr>
      <w:r>
        <w:rPr>
          <w:rFonts w:ascii="Times New Roman" w:hAnsi="Times New Roman"/>
          <w:sz w:val="20"/>
        </w:rPr>
        <w:t>FOR VALUE RECEIVED, each Person set forth on Schedule A hereto from time to time, in its capacity as Payor (individually or collectively, as the context may require, a “</w:t>
      </w:r>
      <w:r>
        <w:rPr>
          <w:rFonts w:ascii="Times New Roman" w:hAnsi="Times New Roman"/>
          <w:sz w:val="20"/>
          <w:u w:val="single"/>
        </w:rPr>
        <w:t>Payor</w:t>
      </w:r>
      <w:r>
        <w:rPr>
          <w:rFonts w:ascii="Times New Roman" w:hAnsi="Times New Roman"/>
          <w:sz w:val="20"/>
        </w:rPr>
        <w:t>”), hereby promises to pay on demand to the order of each other Person set forth on Schedule A hereto or its assigns (individually or collectively, as the context may require, a “</w:t>
      </w:r>
      <w:r>
        <w:rPr>
          <w:rFonts w:ascii="Times New Roman" w:hAnsi="Times New Roman"/>
          <w:sz w:val="20"/>
          <w:u w:val="single"/>
        </w:rPr>
        <w:t>Payee</w:t>
      </w:r>
      <w:r>
        <w:rPr>
          <w:rFonts w:ascii="Times New Roman" w:hAnsi="Times New Roman"/>
          <w:sz w:val="20"/>
        </w:rPr>
        <w:t xml:space="preserve">”), in lawful money of the United States of America in immediately available funds, at such location in the United States of America as the applicable Payee shall from time to time designate, the unpaid principal amount of all loans and advances made by the applicable Payee to the applicable Payor.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Payor also promises to pay interest on the unpaid principal amount hereof in like money at said location from the date hereof until paid at such rate per annum as shall be agreed upon from time to time by the applicable Payor and the applicable Payee. </w:t>
      </w:r>
    </w:p>
    <w:p>
      <w:pPr>
        <w:pStyle w:val="TextBody"/>
        <w:bidi w:val="0"/>
        <w:spacing w:before="240" w:after="0"/>
        <w:jc w:val="left"/>
        <w:rPr>
          <w:rFonts w:ascii="Times New Roman" w:hAnsi="Times New Roman"/>
          <w:sz w:val="20"/>
        </w:rPr>
      </w:pPr>
      <w:r>
        <w:rPr>
          <w:rFonts w:ascii="Times New Roman" w:hAnsi="Times New Roman"/>
          <w:sz w:val="20"/>
        </w:rPr>
        <w:t>Upon the earlier to occur of (x) the commencement of any bankruptcy, reorganization, arrangement, adjustment of debt, relief of debtors, dissolution, insolvency or liquidation or similar proceeding of any jurisdiction relating to the applicable Payor or (y) any exercise of remedies (including the termination of the Commitments) pursuant to Section 6.02 of the Credit Agreement referred to below, the unpaid principal amount of all loans and advances evidenced by this Note shall become immediately due and payable without presentment, demand, protest or notice of any kind in connection with this Note. This Note is one of the Intercompany Notes referred to in the First Lien Pari Passu Credit Agreement, dated as of September 28, 2026) among Sabre GLBL Inc. (the “</w:t>
      </w:r>
      <w:r>
        <w:rPr>
          <w:rFonts w:ascii="Times New Roman" w:hAnsi="Times New Roman"/>
          <w:sz w:val="20"/>
          <w:u w:val="single"/>
        </w:rPr>
        <w:t>Borrower</w:t>
      </w:r>
      <w:r>
        <w:rPr>
          <w:rFonts w:ascii="Times New Roman" w:hAnsi="Times New Roman"/>
          <w:sz w:val="20"/>
        </w:rPr>
        <w:t>”), Sabre Holdings Corporation, (“</w:t>
      </w:r>
      <w:r>
        <w:rPr>
          <w:rFonts w:ascii="Times New Roman" w:hAnsi="Times New Roman"/>
          <w:sz w:val="20"/>
          <w:u w:val="single"/>
        </w:rPr>
        <w:t>Holdings</w:t>
      </w:r>
      <w:r>
        <w:rPr>
          <w:rFonts w:ascii="Times New Roman" w:hAnsi="Times New Roman"/>
          <w:sz w:val="20"/>
        </w:rPr>
        <w:t>”), Wilmington Trust, National Association, as administrative agent (in such capacity, the “</w:t>
      </w:r>
      <w:r>
        <w:rPr>
          <w:rFonts w:ascii="Times New Roman" w:hAnsi="Times New Roman"/>
          <w:sz w:val="20"/>
          <w:u w:val="single"/>
        </w:rPr>
        <w:t>Administrative Agent</w:t>
      </w:r>
      <w:r>
        <w:rPr>
          <w:rFonts w:ascii="Times New Roman" w:hAnsi="Times New Roman"/>
          <w:sz w:val="20"/>
        </w:rPr>
        <w:t>”), and each lender from time to time party thereto (as amended, restated, modified, supplemented, extended or renewed from time to time, the “</w:t>
      </w:r>
      <w:r>
        <w:rPr>
          <w:rFonts w:ascii="Times New Roman" w:hAnsi="Times New Roman"/>
          <w:sz w:val="20"/>
          <w:u w:val="single"/>
        </w:rPr>
        <w:t>Credit Agreement</w:t>
      </w:r>
      <w:r>
        <w:rPr>
          <w:rFonts w:ascii="Times New Roman" w:hAnsi="Times New Roman"/>
          <w:sz w:val="20"/>
        </w:rPr>
        <w:t xml:space="preserve">”) and is subject to the terms of the Credit Agreement, and shall be pledged by the applicable Payee pursuant to the Security Agreement (as defined in the Credit Agreement). The applicable Payor hereby acknowledges and agrees that the Secured Parties (as defined in the Security Agreement) may, pursuant to the Security Agreement as in effect from time to time, exercise all rights provided therein with respect to this Note.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NOTE, TO THE EXTENT EVIDENCING AN INTERCOMPANY LOAN INCURRED BY ANY LOAN PARTY (AS DEFINED IN THE CREDIT AGREEMENT) OWING TO ANY SUBSIDIARY OF THE BORROWER THAT IS NOT A CREDIT PARTY, SHALL HAVE INCLUDED ON ITS FACE THIS BRACKETED LEGEND AND SHALL HAVE “ANNEX A TO NOTE” ATTACHED THERETO AND MADE A PART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Payee is hereby authorized (but shall not be required) to record all loans and advances made by it to the applicable Payor (all of which shall be evidenced by this Note), and all repayments or prepayments thereof, in its books and records, such books and records constituting </w:t>
      </w:r>
      <w:r>
        <w:rPr>
          <w:rFonts w:ascii="Times New Roman" w:hAnsi="Times New Roman"/>
          <w:i/>
          <w:sz w:val="20"/>
        </w:rPr>
        <w:t xml:space="preserve">prima facie </w:t>
      </w:r>
      <w:r>
        <w:rPr>
          <w:rFonts w:ascii="Times New Roman" w:hAnsi="Times New Roman"/>
          <w:sz w:val="20"/>
        </w:rPr>
        <w:t xml:space="preserve">evidence of the accuracy of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All payments under this Note shall be made without offset, counterclaim or deduction of any kind.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Payor hereby waives presentment, demand, protest or notice of any kind in connection with this Note. </w:t>
      </w:r>
    </w:p>
    <w:p>
      <w:pPr>
        <w:pStyle w:val="TextBody"/>
        <w:bidi w:val="0"/>
        <w:spacing w:before="240" w:after="0"/>
        <w:jc w:val="left"/>
        <w:rPr>
          <w:rFonts w:ascii="Times New Roman" w:hAnsi="Times New Roman"/>
          <w:sz w:val="20"/>
        </w:rPr>
      </w:pPr>
      <w:r>
        <w:rPr>
          <w:rFonts w:ascii="Times New Roman" w:hAnsi="Times New Roman"/>
          <w:sz w:val="20"/>
        </w:rPr>
        <w:t xml:space="preserve">Any Subsidiary (as defined in the Credit Agreement) of the Borrower that wishes to become, or is required pursuant to the terms of the Credit Agreement to become, a party to this Note after the date hereof shall become a Payor or Payee, as applicable, hereunder by executing a counterpart hereof or a joinder agreement (which joinder agreement is in form and substance satisfactory to the Administrative Agent (acting at the direction of the Required Lenders) (as such terms are defined in the Credit Agreement)) and delivering same to the Administrative Agent. Each party to this Note on the date hereof agrees that any such Subsidiary shall, at the time it becomes a Payor or Payee pursuant to the foregoing provisions, be treated as if it were an original party hereto. </w:t>
      </w:r>
    </w:p>
    <w:p>
      <w:pPr>
        <w:pStyle w:val="TextBody"/>
        <w:bidi w:val="0"/>
        <w:spacing w:before="240" w:after="0"/>
        <w:jc w:val="left"/>
        <w:rPr>
          <w:rFonts w:ascii="Times New Roman" w:hAnsi="Times New Roman"/>
          <w:b/>
          <w:sz w:val="20"/>
        </w:rPr>
      </w:pPr>
      <w:r>
        <w:rPr>
          <w:rFonts w:ascii="Times New Roman" w:hAnsi="Times New Roman"/>
          <w:b/>
          <w:sz w:val="20"/>
        </w:rPr>
        <w:t xml:space="preserve">FOR THE AVOIDANCE OF DOUBT, OBGLIGATIONS TO REPAY LOANS AND ADVANCES ARE LIMITED TO THOSE ACTUALLY ENTERED INTO BY EACH APPLICABLE PAYOR AND PAYEE AND IN NO CIRCUMSTANCE SHALL ANY PAYOR OR PAYEE BE LIABLE FOR THE DEBTS OF ANY OTHER PAYOR OR PAYEE UNDER THIS NOTE.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NOTE SHALL BE CONSTRUED IN ACCORDANCE WITH AND GOVERNED BY THE LAW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139"/>
        <w:gridCol w:w="3271"/>
      </w:tblGrid>
      <w:tr>
        <w:trPr/>
        <w:tc>
          <w:tcPr>
            <w:tcW w:w="672"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[______________], as Payor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27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2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7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2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985"/>
        <w:gridCol w:w="146"/>
        <w:gridCol w:w="1951"/>
      </w:tblGrid>
      <w:tr>
        <w:trPr/>
        <w:tc>
          <w:tcPr>
            <w:tcW w:w="198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Pay to the order of</w:t>
            </w:r>
          </w:p>
        </w:tc>
      </w:tr>
    </w:tbl>
    <w:tbl>
      <w:tblPr>
        <w:tblW w:w="2000" w:type="pct"/>
        <w:jc w:val="left"/>
        <w:tblInd w:w="0" w:type="dxa"/>
        <w:tblLayout w:type="fixed"/>
        <w:tblCellMar>
          <w:top w:w="0" w:type="dxa"/>
          <w:left w:w="0" w:type="dxa"/>
          <w:bottom w:w="0" w:type="dxa"/>
          <w:right w:w="0" w:type="dxa"/>
        </w:tblCellMar>
      </w:tblPr>
      <w:tblGrid>
        <w:gridCol w:w="672"/>
        <w:gridCol w:w="139"/>
        <w:gridCol w:w="3271"/>
      </w:tblGrid>
      <w:tr>
        <w:trPr/>
        <w:tc>
          <w:tcPr>
            <w:tcW w:w="672"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[______________], as Payee</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27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2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7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2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53"/>
        <w:gridCol w:w="120"/>
        <w:gridCol w:w="4832"/>
      </w:tblGrid>
      <w:tr>
        <w:trPr/>
        <w:tc>
          <w:tcPr>
            <w:tcW w:w="52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2" w:type="dxa"/>
            <w:tcBorders/>
            <w:vAlign w:val="center"/>
          </w:tcPr>
          <w:p>
            <w:pPr>
              <w:pStyle w:val="TableContents"/>
              <w:bidi w:val="0"/>
              <w:spacing w:before="0" w:after="283"/>
              <w:jc w:val="left"/>
              <w:rPr>
                <w:sz w:val="4"/>
                <w:szCs w:val="4"/>
              </w:rPr>
            </w:pPr>
            <w:r>
              <w:rPr>
                <w:sz w:val="4"/>
                <w:szCs w:val="4"/>
              </w:rPr>
            </w:r>
          </w:p>
        </w:tc>
      </w:tr>
      <w:tr>
        <w:trPr/>
        <w:tc>
          <w:tcPr>
            <w:tcW w:w="525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 OF PAYOR/PAYEE</w:t>
            </w:r>
          </w:p>
        </w:tc>
        <w:tc>
          <w:tcPr>
            <w:tcW w:w="120" w:type="dxa"/>
            <w:tcBorders/>
            <w:vAlign w:val="bottom"/>
          </w:tcPr>
          <w:p>
            <w:pPr>
              <w:pStyle w:val="TableContents"/>
              <w:bidi w:val="0"/>
              <w:spacing w:before="0" w:after="283"/>
              <w:jc w:val="left"/>
              <w:rPr/>
            </w:pPr>
            <w:r>
              <w:rPr/>
              <w:t>  </w:t>
            </w:r>
          </w:p>
        </w:tc>
        <w:tc>
          <w:tcPr>
            <w:tcW w:w="483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JURISDICTION OF ORGANIZATION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INTERCOMPANY NOTE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Subordination of Liabilities</w:t>
      </w:r>
      <w:r>
        <w:rPr>
          <w:rFonts w:ascii="Times New Roman" w:hAnsi="Times New Roman"/>
          <w:sz w:val="20"/>
        </w:rPr>
        <w:t>. Each Person set forth on Schedule A to the promissory note (the “</w:t>
      </w:r>
      <w:r>
        <w:rPr>
          <w:rFonts w:ascii="Times New Roman" w:hAnsi="Times New Roman"/>
          <w:sz w:val="20"/>
          <w:u w:val="single"/>
        </w:rPr>
        <w:t>Note</w:t>
      </w:r>
      <w:r>
        <w:rPr>
          <w:rFonts w:ascii="Times New Roman" w:hAnsi="Times New Roman"/>
          <w:sz w:val="20"/>
        </w:rPr>
        <w:t>”) to which this Annex A is attached in its capacity as a payor (each such party a “</w:t>
      </w:r>
      <w:r>
        <w:rPr>
          <w:rFonts w:ascii="Times New Roman" w:hAnsi="Times New Roman"/>
          <w:sz w:val="20"/>
          <w:u w:val="single"/>
        </w:rPr>
        <w:t>Payor</w:t>
      </w:r>
      <w:r>
        <w:rPr>
          <w:rFonts w:ascii="Times New Roman" w:hAnsi="Times New Roman"/>
          <w:sz w:val="20"/>
        </w:rPr>
        <w:t xml:space="preserve">”), for itself, its successors and assigns, covenants and agrees, and each holder of the Note by its acceptance thereof likewise covenants and agrees, that the payment of the principal of, and interest on, and all other amounts owing in respect of, the Note is hereby expressly subordinated, to the extent and in the manner hereinafter set forth, to the prior payment in full in cash of all Senior Indebtedness (as defined in Section 1.07 of this Annex A). The provisions of this Annex A shall constitute a continuing offer to all Persons or other entities who, in reliance upon such provisions, become holders of, or continue to hold, Senior Indebtedness, and such provisions are made for the benefit of the holders of Senior Indebtedness, and such holders are hereby made obligees hereunder the same as if their names were written herein as such, and they and/or each of them may proceed to enforce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Payors Not to Make Payments with Respect to Note in Certain Circumstances</w:t>
      </w:r>
      <w:r>
        <w:rPr>
          <w:rFonts w:ascii="Times New Roman" w:hAnsi="Times New Roman"/>
          <w:sz w:val="20"/>
        </w:rPr>
        <w:t>. (a) Upon the maturity of any Senior Indebtedness (including interest thereon or fees or any other amounts owing in respect thereof), whether at stated maturity, by acceleration or otherwise, all Obligations (as defined in Section 1.07 of this Annex A) due and owing in respect thereof shall first be paid in full in cash before any payment of any kind or character (whether in cash, property, securities or otherwise) is made on account of the principal of (including installments thereof), or interest on, or any other amount otherwise owing in respect of, the Note. No Payor may, directly or indirectly (and no Person or other entity on behalf of any Payor may), make any payment of any principal of, and interest on, or any other amount owing in respect of, the Note and may not acquire all or any part of the Note for cash, property or securities until all Senior Indebtedness has been paid in full in cash if any Default or Event of Default (each as defined below) is then in existence or would result therefrom. Each holder of the Note hereby agrees that, so long as any Default or Event of Default in respect of any Senior Indebtedness exists, it will not ask, demand, sue for, or otherwise take, accept or receive, any amounts owing in respect of the Note. As used herein, the terms “</w:t>
      </w:r>
      <w:r>
        <w:rPr>
          <w:rFonts w:ascii="Times New Roman" w:hAnsi="Times New Roman"/>
          <w:sz w:val="20"/>
          <w:u w:val="single"/>
        </w:rPr>
        <w:t>Default</w:t>
      </w:r>
      <w:r>
        <w:rPr>
          <w:rFonts w:ascii="Times New Roman" w:hAnsi="Times New Roman"/>
          <w:sz w:val="20"/>
        </w:rPr>
        <w:t>” and “</w:t>
      </w:r>
      <w:r>
        <w:rPr>
          <w:rFonts w:ascii="Times New Roman" w:hAnsi="Times New Roman"/>
          <w:sz w:val="20"/>
          <w:u w:val="single"/>
        </w:rPr>
        <w:t>Event of Default</w:t>
      </w:r>
      <w:r>
        <w:rPr>
          <w:rFonts w:ascii="Times New Roman" w:hAnsi="Times New Roman"/>
          <w:sz w:val="20"/>
        </w:rPr>
        <w:t xml:space="preserve">” shall mean any Default or Event of Default (or similar term), respectively, under and as defined in, the relevant documentation governing any Senior Indebtedness and in any event shall include any payment default with respect to any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notwithstanding the provisions of the preceding subsection (a) of this Section 1.02, any payment shall be made (or any holder of the Note shall receive any payment) on account of the principal of, or interest on, or other amounts otherwise owing in respect of, the Note, at a time when payment is not permitted by the terms of the Note or by said subsection (a), such payment shall be held by such holder of the Note, in trust for the benefit of, and shall be paid forthwith over and delivered to, the holders of Senior Indebtedness or their representative or representatives under the agreements pursuant to which the Senior Indebtedness may have been issued, as their respective interests may appear, for application pro rata to the payment of all Senior Indebtedness remaining unpaid, to the extent necessary to pay all Senior Indebtedness in full in cash in accordance with the terms of such Senior Indebtedness, after giving effect to any concurrent payment or distribution to or for the holders of Senior Indebtedness. Without in any way modifying the provisions of this Annex A or affecting the subordination effected hereby if such notice is not given, each Payor shall give each holder of the Note prompt written notice of any maturity of Senior Indebtedness after which such Senior Indebtedness remains unsatisfied.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Note Subordinated to Prior Payment of All Senior Indebtedness on Dissolution, Liquidation or Reorganization of any Payor</w:t>
      </w:r>
      <w:r>
        <w:rPr>
          <w:rFonts w:ascii="Times New Roman" w:hAnsi="Times New Roman"/>
          <w:sz w:val="20"/>
        </w:rPr>
        <w:t xml:space="preserve">. Upon any distribution of assets of any Payor upon any dissolution, winding up, liquidation or reorganization of such Payor (whether in bankruptcy, insolvency or receivership proceedings or upon an assignment for the benefit of creditors or otherwise), except as otherwise permitted or provided under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(a) the holders of all Senior Indebtedness shall first be entitled to receive payment in full in cash of all Senior Indebtedness (including, without limitation, post-petition interest at the rate provided in the documentation with respect to the respective Senior Indebtedness, whether or not such post-petition interest is an allowed claim against the debtor in any bankruptcy or similar proceeding) before any holder of the Note is entitled to receive any payment of any kind or character on account of the principal of or interest on or any other amount owing in respect of the Note; </w:t>
      </w:r>
    </w:p>
    <w:p>
      <w:pPr>
        <w:pStyle w:val="TextBody"/>
        <w:bidi w:val="0"/>
        <w:spacing w:before="240" w:after="0"/>
        <w:jc w:val="left"/>
        <w:rPr>
          <w:rFonts w:ascii="Times New Roman" w:hAnsi="Times New Roman"/>
          <w:sz w:val="20"/>
        </w:rPr>
      </w:pPr>
      <w:r>
        <w:rPr>
          <w:rFonts w:ascii="Times New Roman" w:hAnsi="Times New Roman"/>
          <w:sz w:val="20"/>
        </w:rPr>
        <w:t xml:space="preserve">(b) any payment or distribution of assets of any Payor of any kind or character, whether in cash, property or securities, to which any holder of the Note would be entitled except for the provisions of this Annex A, shall be paid by the liquidating trustee or agent or other Person making such payment or distribution, whether a trustee in bankruptcy, a receiver or liquidating trustee or other trustee or agent, directly to the holders of Senior Indebtedness or their representative or representatives under the agreements pursuant to which the Senior Indebtedness may have been issued, to the extent necessary to make payment in full in cash of all Senior Indebtedness remaining unpaid after giving effect to any concurrent payment or distribution to the holders of such Senior Indebtedness; and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notwithstanding the foregoing provisions of this Section 1.03, any payment or distribution of assets of any Payor of any kind or character, whether in cash, property or securities, shall be received by any holder of the Note on account of principal of, or interest or other amounts due on, the Note before all Senior Indebtedness is paid in full in cash, such payment or distribution shall be received and held in trust for and shall forthwith be paid over to the holders of the Senior Indebtedness remaining unpaid or their representative or representatives under the agreements pursuant to which the Senior Indebtedness may have been issued, for application to the payment of such Senior Indebtedness until all such Senior Indebtedness shall have been paid in full in cash, after giving effect to any concurrent payment or distribution to the holders of such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any holder of the Note does not file a proper claim or proof of debt in the form required in any proceeding or other action referred to in the introduction paragraph of this Section 1.03 prior to 30 days before the expiration of the time to file such claim or claims, then any of the holders of the Senior Indebtedness or their representative is hereby authorized to file an appropriate claim for and on behalf of any holder of the Note. </w:t>
      </w:r>
    </w:p>
    <w:p>
      <w:pPr>
        <w:pStyle w:val="TextBody"/>
        <w:bidi w:val="0"/>
        <w:spacing w:before="240" w:after="0"/>
        <w:jc w:val="left"/>
        <w:rPr>
          <w:rFonts w:ascii="Times New Roman" w:hAnsi="Times New Roman"/>
          <w:sz w:val="20"/>
        </w:rPr>
      </w:pPr>
      <w:r>
        <w:rPr>
          <w:rFonts w:ascii="Times New Roman" w:hAnsi="Times New Roman"/>
          <w:sz w:val="20"/>
        </w:rPr>
        <w:t xml:space="preserve">Without in any way modifying the provisions of this Annex A or affecting the subordination effected hereby if such notice is not given, each Payor shall give prompt written notice to each holder of the Note of any dissolution, winding up, liquidation or reorganization of such Payor (whether in bankruptcy, insolvency or receivership proceedings or upon assignment for the benefit of creditors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Subrogation</w:t>
      </w:r>
      <w:r>
        <w:rPr>
          <w:rFonts w:ascii="Times New Roman" w:hAnsi="Times New Roman"/>
          <w:sz w:val="20"/>
        </w:rPr>
        <w:t xml:space="preserve">. Subject to the prior payment in full in cash of all Senior Indebtedness, each holder of the Note shall be subrogated to the rights of the holders of Senior Indebtedness to receive payments or distributions of assets of each Payor applicable to the Senior Indebtedness until all amounts owing on the Note shall be paid in full, and for the purpose of such subrogation no payments or distributions to the holders of the Senior Indebtedness by or on behalf of any Payor or by or on behalf of any holder of the Note by virtue of this Annex A which otherwise would have been made to any holder of the Note shall, as between each Payor, its creditors other than the holders of Senior Indebtedness, and each holder of the Note, be deemed to be payment by such Payor to or on account of the Senior Indebtedness, it being understood that the provisions of this Annex A are and are intended solely for the purpose of defining the relative rights of each holder of the Note, on the one hand, and the holders of the Senior Indebtedness,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Obligation of the Payor Unconditional</w:t>
      </w:r>
      <w:r>
        <w:rPr>
          <w:rFonts w:ascii="Times New Roman" w:hAnsi="Times New Roman"/>
          <w:sz w:val="20"/>
        </w:rPr>
        <w:t xml:space="preserve">. Nothing contained in this Annex A or in the Note is intended to or shall impair, as between each Payor and each holder of the Note, the obligation of such Payor, which is absolute and unconditional, to pay to such holder of the Note the principal of and interest on the Note as and when the same shall become due and payable in accordance with their terms, or is intended to or shall affect the relative rights of any holder of the Note and creditors of each Payor, other than the holders of the Senior Indebtedness, nor shall anything herein or therein, except as expressly provided herein, prevent any holder of the Note from exercising all remedies otherwise permitted by applicable law, subject to the rights, if any, under this Annex A of the holders of Senior Indebtedness in respect of cash, property, or securities of any Payor received upon the exercise of any such remedy. Upon any distribution of assets of any Payor referred to in this Annex A, each holder of the Note shall be entitled to rely upon any order or decree made by any court of competent jurisdiction in which such dissolution, winding up, liquidation or reorganization proceedings are pending, or a certificate of the liquidating trustee or agent or other Person making any distribution to any holder of the Note, for the purpose of ascertaining the Persons entitled to participate in such distribution, the holders of the Senior Indebtedness and other indebtedness of each Payor, the amount thereof or payable thereon, the amount or amounts paid or distributed thereon and all other facts pertinent thereto or to this Annex A.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Subordination Rights Not Impaired by Acts or Omissions of any Payor or Holders of Senior Indebtedness</w:t>
      </w:r>
      <w:r>
        <w:rPr>
          <w:rFonts w:ascii="Times New Roman" w:hAnsi="Times New Roman"/>
          <w:sz w:val="20"/>
        </w:rPr>
        <w:t xml:space="preserve">. No right of any present or future holders of any Senior Indebtedness to enforce subordination as herein provided shall at any time in any way be prejudiced or impaired by any act or failure to act on the part of any Payor or by any act or failure to act by any such holder, or by any noncompliance by any Payor with the terms and provisions of the Note, regardless of any knowledge thereof which any such holder may have or be otherwise charged with. The holders of the Senior Indebtedness may, without in any way affecting the obligations of any holder of the Note with respect hereto, at any time or from time to time and in their absolute discretion, change the manner, place or terms of payment of, change or extend the time of payment of, or renew or alter, any Senior Indebtedness, or amend, modify or supplement any agreement or instrument governing or evidencing such Senior Indebtedness or any other document referred to therein, or exercise or refrain from exercising any other of their rights under the Senior Indebtedness including, without limitation, the waiver of default thereunder and the release of any collateral securing such Senior Indebtedness, all without notice to or assent from any holder of the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Definitions</w:t>
      </w:r>
      <w:r>
        <w:rPr>
          <w:rFonts w:ascii="Times New Roman" w:hAnsi="Times New Roman"/>
          <w:sz w:val="20"/>
        </w:rPr>
        <w:t xml:space="preserve">. As used in this Annex, the terms set forth below shall have the respective meanings provided below: </w:t>
      </w:r>
    </w:p>
    <w:p>
      <w:pPr>
        <w:pStyle w:val="TextBody"/>
        <w:bidi w:val="0"/>
        <w:spacing w:before="120" w:after="0"/>
        <w:jc w:val="left"/>
        <w:rPr/>
      </w:pPr>
      <w:r>
        <w:rPr/>
        <w:t>“</w:t>
      </w:r>
      <w:r>
        <w:rPr>
          <w:rFonts w:ascii="Times New Roman" w:hAnsi="Times New Roman"/>
          <w:sz w:val="20"/>
          <w:u w:val="single"/>
        </w:rPr>
        <w:t>Obligation</w:t>
      </w:r>
      <w:r>
        <w:rPr>
          <w:rFonts w:ascii="Times New Roman" w:hAnsi="Times New Roman"/>
          <w:sz w:val="20"/>
        </w:rPr>
        <w:t xml:space="preserve">” shall mean any principal, interest, premium, penalties, fees, indemnities and other liabilities and obligations (including any guaranty of the foregoing) payable under the documentation governing any indebtedness (including, without limitation, all interest on or after the commencement of any bankruptcy, insolvency, receivership or similar proceeding at the rate provided in the governing documentation, whether or not such interest is an allowed claim in such proceeding). </w:t>
      </w:r>
    </w:p>
    <w:p>
      <w:pPr>
        <w:pStyle w:val="TextBody"/>
        <w:bidi w:val="0"/>
        <w:spacing w:before="240" w:after="0"/>
        <w:jc w:val="left"/>
        <w:rPr/>
      </w:pPr>
      <w:r>
        <w:rPr/>
        <w:t>“</w:t>
      </w:r>
      <w:r>
        <w:rPr>
          <w:rFonts w:ascii="Times New Roman" w:hAnsi="Times New Roman"/>
          <w:sz w:val="20"/>
          <w:u w:val="single"/>
        </w:rPr>
        <w:t>Senior Indebtedness</w:t>
      </w:r>
      <w:r>
        <w:rPr>
          <w:rFonts w:ascii="Times New Roman" w:hAnsi="Times New Roman"/>
          <w:sz w:val="20"/>
        </w:rPr>
        <w:t xml:space="preserve">” shall mean all Obligations of a Payor under, or in respect of, (i) the Credit Agreement and each other Loan Document (as defined in the Credit Agreement) to which such Payor is a party, and any renewal, extension, restatement, refinancing or refunding of any thereof and (ii) each Secured Hedge Agreement (as defined in the Credit Agreement), in each case including any guaranty thereof under the Guaranty (as defined in the Credit Agreement) of any Payor that is a Guarantor (as defined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Miscellaneous</w:t>
      </w:r>
      <w:r>
        <w:rPr>
          <w:rFonts w:ascii="Times New Roman" w:hAnsi="Times New Roman"/>
          <w:sz w:val="20"/>
        </w:rPr>
        <w:t xml:space="preserve">. If, at any time, all or part of any payment with respect to Senior Indebtedness theretofore made by any Payor or any other Person or entity is rescinded or must otherwise be returned by the holders of Senior Indebtedness for any reason whatsoever (including, without limitation, the insolvency, bankruptcy or reorganization of any Payor or such other Person or entity), the subordination provisions set forth herein shall continue to be effective or be reinstated, as the case may be, all as though such payment had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H-1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12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Sabre GLBL Inc., a Delaware corporation (the “</w:t>
      </w:r>
      <w:r>
        <w:rPr>
          <w:rFonts w:ascii="Times New Roman" w:hAnsi="Times New Roman"/>
          <w:sz w:val="20"/>
          <w:u w:val="single"/>
        </w:rPr>
        <w:t>Borrower</w:t>
      </w:r>
      <w:r>
        <w:rPr>
          <w:rFonts w:ascii="Times New Roman" w:hAnsi="Times New Roman"/>
          <w:sz w:val="20"/>
        </w:rPr>
        <w:t xml:space="preserve">”), Sabre Holdings Corporation, a Delaware corporation, the Lenders from time to time party thereto, and Wilmington Trust, National Association,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13.23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a certificate of its non-U.S. Person status on IRS Form W-8BEN or IRS Form W-8BEN-E, as applicable. By executing this certificate, the undersigned agrees that it shall (1) promptly submit to the Borrower and the Administrative Agent additional duly completed and signed copies of such forms or certificates (a) on or before the date that any such form or certificate expires or becomes obsolete, (b) after the occurrence of a change in the circumstances of the undersigned requiring a change in the most recent form or certificate previously delivered by it to the Borrower and the Administrative Agent, and (c) from time to time thereafter if reasonably requested by the Borrower or the Administrative Agent, and (2) promptly notify the Borrower and the Administrative Agent of any change in the undersigned’s circumstances which would modify or render invalid or inaccurate any information provided on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LENDER]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Date: _____________ , 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H-2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Sabre GLBL Inc., a Delaware corporation (the “</w:t>
      </w:r>
      <w:r>
        <w:rPr>
          <w:rFonts w:ascii="Times New Roman" w:hAnsi="Times New Roman"/>
          <w:sz w:val="20"/>
          <w:u w:val="single"/>
        </w:rPr>
        <w:t>Borrower</w:t>
      </w:r>
      <w:r>
        <w:rPr>
          <w:rFonts w:ascii="Times New Roman" w:hAnsi="Times New Roman"/>
          <w:sz w:val="20"/>
        </w:rPr>
        <w:t xml:space="preserve">”), Sabre Holdings Corporation, a Delaware corporation, the Lenders from time to time party thereto, and Wilmington Trust, National Association,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13.23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 certificate of its non-U.S. Person status on IRS Form W-8BEN or IRS Form W-8BEN-E, as applicable. By executing this certificate, the undersigned agrees that it shall (1) promptly submit to such Lender additional duly completed and signed copies of such forms or certificates (a) on or before the date that any such form or certificate expires or becomes obsolete, (b) after the occurrence of a change in the circumstances of the undersigned requiring a change in the most recent form or certificate previously delivered by it to such Lender, and (c) from time to time thereafter if reasonably requested by such Lender, and (2) promptly notify such Lender of any change in the undersigned’s circumstances which would modify or render invalid or inaccurate any information provided on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LENDER]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Date: _____________ , 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H-3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12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Sabre GLBL Inc., a Delaware corporation (the “</w:t>
      </w:r>
      <w:r>
        <w:rPr>
          <w:rFonts w:ascii="Times New Roman" w:hAnsi="Times New Roman"/>
          <w:sz w:val="20"/>
          <w:u w:val="single"/>
        </w:rPr>
        <w:t>Borrower</w:t>
      </w:r>
      <w:r>
        <w:rPr>
          <w:rFonts w:ascii="Times New Roman" w:hAnsi="Times New Roman"/>
          <w:sz w:val="20"/>
        </w:rPr>
        <w:t xml:space="preserve">”), Sabre Holdings Corporation, a Delaware corporation, the Lenders from time to time party thereto, and Wilmington Trust, National Association,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13.23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it shall (1) promptly submit to such Lender additional duly completed and signed copies of such forms or certificates (a) on or before the date that any such form or certificate expires or becomes obsolete, (b) after the occurrence of a change in the circumstances of the undersigned requiring a change in the most recent form or certificate previously delivered by it to such Lender, and (c) from time to time thereafter if reasonably requested by such Lender, and (2) promptly notify such Lender of any change in the undersigned’s circumstances which would modify or render invalid or inaccurate any information provided on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LENDER]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Date: _____________ , 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u w:val="single"/>
        </w:rPr>
        <w:t>EXHIBIT H-4</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12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First Lien Pari Passu Credit Agreement, dated as of September 28,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Sabre GLBL Inc., a Delaware corporation (the “</w:t>
      </w:r>
      <w:r>
        <w:rPr>
          <w:rFonts w:ascii="Times New Roman" w:hAnsi="Times New Roman"/>
          <w:sz w:val="20"/>
          <w:u w:val="single"/>
        </w:rPr>
        <w:t>Borrower</w:t>
      </w:r>
      <w:r>
        <w:rPr>
          <w:rFonts w:ascii="Times New Roman" w:hAnsi="Times New Roman"/>
          <w:sz w:val="20"/>
        </w:rPr>
        <w:t xml:space="preserve">”), Sabre Holdings Corporation, a Delaware corporation, the Lenders from time to time party thereto, and Wilmington Trust, National Association,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13.23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 E, as applicable from each of such partner’s/member’s beneficial owners that is claiming the portfolio interest exemption. By executing this certificate, the undersigned agrees that it shall (1) promptly submit to the Borrower and the Administrative Agent additional duly completed and signed copies of such forms or certificates (a) on or before the date that any such form or certificate expires or becomes obsolete, (b) after the occurrence of a change in the circumstances of the undersigned requiring a change in the most recent form or certificate previously delivered by it to the Borrower and the Administrative Agent, and (c) from time to time thereafter if reasonably requested by the Borrower or the Administrative Agent, and (2) promptly notify the Borrower and the Administrative Agent of any change in the undersigned’s circumstances which would modify or render invalid or inaccurate any information provided on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w:t>
            </w:r>
            <w:r>
              <w:rPr>
                <w:i/>
              </w:rPr>
              <w:t>,</w:t>
            </w:r>
            <w:r>
              <w:rPr/>
              <w:t xml:space="preserve"> 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I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JUNIOR LIEN INTERCREDITOR AGREEMENT1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SABRE GLBL INC., </w:t>
      </w:r>
    </w:p>
    <w:p>
      <w:pPr>
        <w:pStyle w:val="TextBody"/>
        <w:bidi w:val="0"/>
        <w:spacing w:before="240" w:after="0"/>
        <w:jc w:val="center"/>
        <w:rPr>
          <w:rFonts w:ascii="Times New Roman" w:hAnsi="Times New Roman"/>
          <w:sz w:val="20"/>
        </w:rPr>
      </w:pPr>
      <w:r>
        <w:rPr>
          <w:rFonts w:ascii="Times New Roman" w:hAnsi="Times New Roman"/>
          <w:sz w:val="20"/>
        </w:rPr>
        <w:t xml:space="preserve">SABRE HOLDINGS CORPORATION, </w:t>
      </w:r>
    </w:p>
    <w:p>
      <w:pPr>
        <w:pStyle w:val="TextBody"/>
        <w:bidi w:val="0"/>
        <w:spacing w:before="240" w:after="0"/>
        <w:jc w:val="center"/>
        <w:rPr>
          <w:rFonts w:ascii="Times New Roman" w:hAnsi="Times New Roman"/>
          <w:sz w:val="20"/>
        </w:rPr>
      </w:pPr>
      <w:r>
        <w:rPr>
          <w:rFonts w:ascii="Times New Roman" w:hAnsi="Times New Roman"/>
          <w:sz w:val="20"/>
        </w:rPr>
        <w:t xml:space="preserve">THE GRANTORS,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Credit Agreement Administrative Agent for the Credit Agreement Secured Parties and as </w:t>
      </w:r>
    </w:p>
    <w:p>
      <w:pPr>
        <w:pStyle w:val="TextBody"/>
        <w:bidi w:val="0"/>
        <w:spacing w:before="0" w:after="0"/>
        <w:jc w:val="center"/>
        <w:rPr>
          <w:rFonts w:ascii="Times New Roman" w:hAnsi="Times New Roman"/>
          <w:sz w:val="20"/>
        </w:rPr>
      </w:pPr>
      <w:r>
        <w:rPr>
          <w:rFonts w:ascii="Times New Roman" w:hAnsi="Times New Roman"/>
          <w:sz w:val="20"/>
        </w:rPr>
        <w:t xml:space="preserve">Authorized Representative for the Credit Agreement Secured Parties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Initial Additional First-Lien Collateral Agent for the Initial Additional First-Lien Secured </w:t>
      </w:r>
    </w:p>
    <w:p>
      <w:pPr>
        <w:pStyle w:val="TextBody"/>
        <w:bidi w:val="0"/>
        <w:spacing w:before="0" w:after="0"/>
        <w:jc w:val="center"/>
        <w:rPr>
          <w:rFonts w:ascii="Times New Roman" w:hAnsi="Times New Roman"/>
          <w:sz w:val="20"/>
        </w:rPr>
      </w:pPr>
      <w:r>
        <w:rPr>
          <w:rFonts w:ascii="Times New Roman" w:hAnsi="Times New Roman"/>
          <w:sz w:val="20"/>
        </w:rPr>
        <w:t xml:space="preserve">Parties and as Initial Additional First-Lien Authorized Representative for the Initial Additional </w:t>
      </w:r>
    </w:p>
    <w:p>
      <w:pPr>
        <w:pStyle w:val="TextBody"/>
        <w:bidi w:val="0"/>
        <w:spacing w:before="0" w:after="0"/>
        <w:jc w:val="center"/>
        <w:rPr>
          <w:rFonts w:ascii="Times New Roman" w:hAnsi="Times New Roman"/>
          <w:sz w:val="20"/>
        </w:rPr>
      </w:pPr>
      <w:r>
        <w:rPr>
          <w:rFonts w:ascii="Times New Roman" w:hAnsi="Times New Roman"/>
          <w:sz w:val="20"/>
        </w:rPr>
        <w:t xml:space="preserve">First-Lien Secured Parties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Initial Junior-Lien Collateral Agent for the Initial Junior-Lien Secured Parties and as Initial </w:t>
      </w:r>
    </w:p>
    <w:p>
      <w:pPr>
        <w:pStyle w:val="TextBody"/>
        <w:bidi w:val="0"/>
        <w:spacing w:before="0" w:after="0"/>
        <w:jc w:val="center"/>
        <w:rPr>
          <w:rFonts w:ascii="Times New Roman" w:hAnsi="Times New Roman"/>
          <w:sz w:val="20"/>
        </w:rPr>
      </w:pPr>
      <w:r>
        <w:rPr>
          <w:rFonts w:ascii="Times New Roman" w:hAnsi="Times New Roman"/>
          <w:sz w:val="20"/>
        </w:rPr>
        <w:t xml:space="preserve">Junior-Lien Authorized Representative for the Initial Junior-Lien Secured Parties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each additional Authorized Representative and Collateral Agent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 20[ ]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form shall be modified, as necessary, to properly reflect the Authorized Representatives and the Collateral Agents of the then-outstanding First-Lien Obligations, at the time this Agreement is entered into.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u w:val="single"/>
        </w:rPr>
        <w:t>Table of Contents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0"/>
        <w:gridCol w:w="271"/>
        <w:gridCol w:w="90"/>
        <w:gridCol w:w="411"/>
        <w:gridCol w:w="63"/>
      </w:tblGrid>
      <w:tr>
        <w:trPr/>
        <w:tc>
          <w:tcPr>
            <w:tcW w:w="937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pPr>
            <w:r>
              <w:rPr/>
              <w:t>Article I Definitions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 Certain Defined Terms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 Terms Generally</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pPr>
            <w:r>
              <w:rPr/>
              <w:t>Article II Priorities and Agreements with Respect to Shared Collateral</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 Subordination of Liens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 Nature of First-Lien Lender Claims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 Prohibition on Contesting Liens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 No New Liens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2.5 Perfection of Liens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2.6 Waiver of Marshalling</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pPr>
            <w:r>
              <w:rPr/>
              <w:t>Article III Enforcement</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 Exclusive Enforcement</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 Standstill and Waivers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 Judgment Creditors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 Cooperation</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 No Additional Rights for the Grantors Hereunder</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 Actions upon Breach</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3.7 Option to Purchase</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pPr>
            <w:r>
              <w:rPr/>
              <w:t>Article IV Payments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 Application of Proceeds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 Payments Over</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pPr>
            <w:r>
              <w:rPr/>
              <w:t>Article V Other Agreements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 Releases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 Inspection; Insurance and Condemnation Awards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5.3 Junior-Lien Collateral Documents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 Amendments to First-Lien Debt Documents; First-Lien Obligations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 Amendments to Junior-Lien Debt Documents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 Copies of Amendment Documentation</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5.7 Rights as Unsecured Creditors</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5.8 Gratuitous Bailee for Perfection</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5.9 When Discharge of First-Lien Obligations Deemed to Not Have Occurred</w:t>
            </w:r>
          </w:p>
        </w:tc>
        <w:tc>
          <w:tcPr>
            <w:tcW w:w="2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2"/>
        <w:gridCol w:w="171"/>
        <w:gridCol w:w="60"/>
        <w:gridCol w:w="269"/>
        <w:gridCol w:w="63"/>
      </w:tblGrid>
      <w:tr>
        <w:trPr/>
        <w:tc>
          <w:tcPr>
            <w:tcW w:w="9642"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42" w:type="dxa"/>
            <w:tcBorders/>
            <w:vAlign w:val="center"/>
          </w:tcPr>
          <w:p>
            <w:pPr>
              <w:pStyle w:val="TableContents"/>
              <w:bidi w:val="0"/>
              <w:spacing w:before="0" w:after="283"/>
              <w:jc w:val="left"/>
              <w:rPr>
                <w:sz w:val="4"/>
                <w:szCs w:val="4"/>
              </w:rPr>
            </w:pPr>
            <w:r>
              <w:rPr>
                <w:sz w:val="4"/>
                <w:szCs w:val="4"/>
              </w:rPr>
            </w:r>
          </w:p>
        </w:tc>
        <w:tc>
          <w:tcPr>
            <w:tcW w:w="563" w:type="dxa"/>
            <w:gridSpan w:val="4"/>
            <w:tcBorders/>
            <w:vAlign w:val="center"/>
          </w:tcPr>
          <w:p>
            <w:pPr>
              <w:pStyle w:val="TableContents"/>
              <w:bidi w:val="0"/>
              <w:spacing w:before="0" w:after="283"/>
              <w:jc w:val="left"/>
              <w:rPr>
                <w:sz w:val="4"/>
                <w:szCs w:val="4"/>
              </w:rPr>
            </w:pPr>
            <w:r>
              <w:rPr>
                <w:sz w:val="4"/>
                <w:szCs w:val="4"/>
              </w:rPr>
            </w:r>
          </w:p>
        </w:tc>
      </w:tr>
      <w:tr>
        <w:trPr/>
        <w:tc>
          <w:tcPr>
            <w:tcW w:w="9642" w:type="dxa"/>
            <w:tcBorders/>
            <w:vAlign w:val="bottom"/>
          </w:tcPr>
          <w:p>
            <w:pPr>
              <w:pStyle w:val="TableContents"/>
              <w:bidi w:val="0"/>
              <w:spacing w:before="0" w:after="283"/>
              <w:jc w:val="left"/>
              <w:rPr/>
            </w:pPr>
            <w:r>
              <w:rPr/>
              <w:t>Article VI Insolvency or Liquidation Proceedings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42" w:type="dxa"/>
            <w:tcBorders/>
            <w:vAlign w:val="center"/>
          </w:tcPr>
          <w:p>
            <w:pPr>
              <w:pStyle w:val="TableContents"/>
              <w:bidi w:val="0"/>
              <w:spacing w:before="0" w:after="283"/>
              <w:jc w:val="left"/>
              <w:rPr>
                <w:sz w:val="4"/>
                <w:szCs w:val="4"/>
              </w:rPr>
            </w:pPr>
            <w:r>
              <w:rPr>
                <w:sz w:val="4"/>
                <w:szCs w:val="4"/>
              </w:rPr>
            </w:r>
          </w:p>
        </w:tc>
        <w:tc>
          <w:tcPr>
            <w:tcW w:w="563" w:type="dxa"/>
            <w:gridSpan w:val="4"/>
            <w:tcBorders/>
            <w:vAlign w:val="center"/>
          </w:tcPr>
          <w:p>
            <w:pPr>
              <w:pStyle w:val="TableContents"/>
              <w:bidi w:val="0"/>
              <w:spacing w:before="0" w:after="283"/>
              <w:jc w:val="left"/>
              <w:rPr>
                <w:sz w:val="4"/>
                <w:szCs w:val="4"/>
              </w:rPr>
            </w:pPr>
            <w:r>
              <w:rPr>
                <w:sz w:val="4"/>
                <w:szCs w:val="4"/>
              </w:rPr>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 Filing of Motions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6.2 Financing Issues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6.3 Relief from the Automatic Stay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6.4 Adequate Protection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6.5 Avoidance Issues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6.6 Application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6.7 Waivers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 Asset Dispositions in an Insolvency Proceeding</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 Separate Grants of Security and Separate Classifications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6.10 No Waivers of Rights of First-Lien Secured Parties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6.11 Plans of Reorganization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6.12 Other Matters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6.13 Reorganization Securities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6.14 Effectiveness in Insolvency Proceeding</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42" w:type="dxa"/>
            <w:tcBorders/>
            <w:vAlign w:val="center"/>
          </w:tcPr>
          <w:p>
            <w:pPr>
              <w:pStyle w:val="TableContents"/>
              <w:bidi w:val="0"/>
              <w:spacing w:before="0" w:after="283"/>
              <w:jc w:val="left"/>
              <w:rPr>
                <w:sz w:val="4"/>
                <w:szCs w:val="4"/>
              </w:rPr>
            </w:pPr>
            <w:r>
              <w:rPr>
                <w:sz w:val="4"/>
                <w:szCs w:val="4"/>
              </w:rPr>
            </w:r>
          </w:p>
        </w:tc>
        <w:tc>
          <w:tcPr>
            <w:tcW w:w="563" w:type="dxa"/>
            <w:gridSpan w:val="4"/>
            <w:tcBorders/>
            <w:vAlign w:val="center"/>
          </w:tcPr>
          <w:p>
            <w:pPr>
              <w:pStyle w:val="TableContents"/>
              <w:bidi w:val="0"/>
              <w:spacing w:before="0" w:after="283"/>
              <w:jc w:val="left"/>
              <w:rPr>
                <w:sz w:val="4"/>
                <w:szCs w:val="4"/>
              </w:rPr>
            </w:pPr>
            <w:r>
              <w:rPr>
                <w:sz w:val="4"/>
                <w:szCs w:val="4"/>
              </w:rPr>
            </w:r>
          </w:p>
        </w:tc>
      </w:tr>
      <w:tr>
        <w:trPr/>
        <w:tc>
          <w:tcPr>
            <w:tcW w:w="9642" w:type="dxa"/>
            <w:tcBorders/>
            <w:vAlign w:val="bottom"/>
          </w:tcPr>
          <w:p>
            <w:pPr>
              <w:pStyle w:val="TableContents"/>
              <w:bidi w:val="0"/>
              <w:spacing w:before="0" w:after="283"/>
              <w:jc w:val="left"/>
              <w:rPr/>
            </w:pPr>
            <w:r>
              <w:rPr/>
              <w:t>Article VII Reliance; etc.</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642" w:type="dxa"/>
            <w:tcBorders/>
            <w:vAlign w:val="center"/>
          </w:tcPr>
          <w:p>
            <w:pPr>
              <w:pStyle w:val="TableContents"/>
              <w:bidi w:val="0"/>
              <w:spacing w:before="0" w:after="283"/>
              <w:jc w:val="left"/>
              <w:rPr>
                <w:sz w:val="4"/>
                <w:szCs w:val="4"/>
              </w:rPr>
            </w:pPr>
            <w:r>
              <w:rPr>
                <w:sz w:val="4"/>
                <w:szCs w:val="4"/>
              </w:rPr>
            </w:r>
          </w:p>
        </w:tc>
        <w:tc>
          <w:tcPr>
            <w:tcW w:w="563" w:type="dxa"/>
            <w:gridSpan w:val="4"/>
            <w:tcBorders/>
            <w:vAlign w:val="center"/>
          </w:tcPr>
          <w:p>
            <w:pPr>
              <w:pStyle w:val="TableContents"/>
              <w:bidi w:val="0"/>
              <w:spacing w:before="0" w:after="283"/>
              <w:jc w:val="left"/>
              <w:rPr>
                <w:sz w:val="4"/>
                <w:szCs w:val="4"/>
              </w:rPr>
            </w:pPr>
            <w:r>
              <w:rPr>
                <w:sz w:val="4"/>
                <w:szCs w:val="4"/>
              </w:rPr>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 Reliance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 No Warranties or Liability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 Obligations Unconditional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42" w:type="dxa"/>
            <w:tcBorders/>
            <w:vAlign w:val="center"/>
          </w:tcPr>
          <w:p>
            <w:pPr>
              <w:pStyle w:val="TableContents"/>
              <w:bidi w:val="0"/>
              <w:spacing w:before="0" w:after="283"/>
              <w:jc w:val="left"/>
              <w:rPr>
                <w:sz w:val="4"/>
                <w:szCs w:val="4"/>
              </w:rPr>
            </w:pPr>
            <w:r>
              <w:rPr>
                <w:sz w:val="4"/>
                <w:szCs w:val="4"/>
              </w:rPr>
            </w:r>
          </w:p>
        </w:tc>
        <w:tc>
          <w:tcPr>
            <w:tcW w:w="563" w:type="dxa"/>
            <w:gridSpan w:val="4"/>
            <w:tcBorders/>
            <w:vAlign w:val="center"/>
          </w:tcPr>
          <w:p>
            <w:pPr>
              <w:pStyle w:val="TableContents"/>
              <w:bidi w:val="0"/>
              <w:spacing w:before="0" w:after="283"/>
              <w:jc w:val="left"/>
              <w:rPr>
                <w:sz w:val="4"/>
                <w:szCs w:val="4"/>
              </w:rPr>
            </w:pPr>
            <w:r>
              <w:rPr>
                <w:sz w:val="4"/>
                <w:szCs w:val="4"/>
              </w:rPr>
            </w:r>
          </w:p>
        </w:tc>
      </w:tr>
      <w:tr>
        <w:trPr/>
        <w:tc>
          <w:tcPr>
            <w:tcW w:w="9642" w:type="dxa"/>
            <w:tcBorders/>
            <w:vAlign w:val="bottom"/>
          </w:tcPr>
          <w:p>
            <w:pPr>
              <w:pStyle w:val="TableContents"/>
              <w:bidi w:val="0"/>
              <w:spacing w:before="0" w:after="283"/>
              <w:jc w:val="left"/>
              <w:rPr/>
            </w:pPr>
            <w:r>
              <w:rPr/>
              <w:t>Article VIII Miscellaneous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42" w:type="dxa"/>
            <w:tcBorders/>
            <w:vAlign w:val="center"/>
          </w:tcPr>
          <w:p>
            <w:pPr>
              <w:pStyle w:val="TableContents"/>
              <w:bidi w:val="0"/>
              <w:spacing w:before="0" w:after="283"/>
              <w:jc w:val="left"/>
              <w:rPr>
                <w:sz w:val="4"/>
                <w:szCs w:val="4"/>
              </w:rPr>
            </w:pPr>
            <w:r>
              <w:rPr>
                <w:sz w:val="4"/>
                <w:szCs w:val="4"/>
              </w:rPr>
            </w:r>
          </w:p>
        </w:tc>
        <w:tc>
          <w:tcPr>
            <w:tcW w:w="563" w:type="dxa"/>
            <w:gridSpan w:val="4"/>
            <w:tcBorders/>
            <w:vAlign w:val="center"/>
          </w:tcPr>
          <w:p>
            <w:pPr>
              <w:pStyle w:val="TableContents"/>
              <w:bidi w:val="0"/>
              <w:spacing w:before="0" w:after="283"/>
              <w:jc w:val="left"/>
              <w:rPr>
                <w:sz w:val="4"/>
                <w:szCs w:val="4"/>
              </w:rPr>
            </w:pPr>
            <w:r>
              <w:rPr>
                <w:sz w:val="4"/>
                <w:szCs w:val="4"/>
              </w:rPr>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 Conflicts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 Continuing Nature of this Agreement; Severability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8.3 Amendments; Waivers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8.4 Information Concerning Financial Condition of the Company and the Subsidiaries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8.5 Subrogation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8.6 Application of Payments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8.7 Additional Grantors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8.8 Additional Debt Facilities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8.9 Consent to Jurisdiction; Waivers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8.10 Notices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8.11 Further Assurances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8.12 Governing Law; Waiver of Jury Trial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8.13 Binding on Successors and Assigns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8.14 Specific Performance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8.15 Section Titles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8.16 Counterparts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8.17 Authorization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8.18 No Third Party Beneficiaries; Successors and Assigns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8.19 Effectiveness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8.20 First-Lien Collateral Agent and Trustee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8.21 Relative Rights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8.22 Intercreditor Agreements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8.23 Acknowledgement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6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8.24 Survival of Agreement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JUNIOR-LIEN INTERCREDITOR AGREEMENT dated as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(as amended, restated, amended and restated, extended, supplemented or otherwise modified from time to time, this “</w:t>
      </w:r>
      <w:r>
        <w:rPr>
          <w:rFonts w:ascii="Times New Roman" w:hAnsi="Times New Roman"/>
          <w:sz w:val="20"/>
          <w:u w:val="single"/>
        </w:rPr>
        <w:t>Agreement</w:t>
      </w:r>
      <w:r>
        <w:rPr>
          <w:rFonts w:ascii="Times New Roman" w:hAnsi="Times New Roman"/>
          <w:sz w:val="20"/>
        </w:rPr>
        <w:t>”), among SABRE GLBL INC., a Delaware corporation (the “</w:t>
      </w:r>
      <w:r>
        <w:rPr>
          <w:rFonts w:ascii="Times New Roman" w:hAnsi="Times New Roman"/>
          <w:sz w:val="20"/>
          <w:u w:val="single"/>
        </w:rPr>
        <w:t>Company</w:t>
      </w:r>
      <w:r>
        <w:rPr>
          <w:rFonts w:ascii="Times New Roman" w:hAnsi="Times New Roman"/>
          <w:sz w:val="20"/>
        </w:rPr>
        <w:t>”), SABRE HOLDINGS CORPORATION, a Delaware corporation (“</w:t>
      </w:r>
      <w:r>
        <w:rPr>
          <w:rFonts w:ascii="Times New Roman" w:hAnsi="Times New Roman"/>
          <w:sz w:val="20"/>
          <w:u w:val="single"/>
        </w:rPr>
        <w:t>Holdings</w:t>
      </w:r>
      <w:r>
        <w:rPr>
          <w:rFonts w:ascii="Times New Roman" w:hAnsi="Times New Roman"/>
          <w:sz w:val="20"/>
        </w:rPr>
        <w:t>”), the Grantors (as defined below), [  ], as administrative agent and collateral agent for itself and on behalf of the Credit Agreement Secured Parties (as defined below) (in such capacity, together with its successors and assigns in such capacity the “</w:t>
      </w:r>
      <w:r>
        <w:rPr>
          <w:rFonts w:ascii="Times New Roman" w:hAnsi="Times New Roman"/>
          <w:sz w:val="20"/>
          <w:u w:val="single"/>
        </w:rPr>
        <w:t>Credit Agreement Administrative Agent</w:t>
      </w:r>
      <w:r>
        <w:rPr>
          <w:rFonts w:ascii="Times New Roman" w:hAnsi="Times New Roman"/>
          <w:sz w:val="20"/>
        </w:rPr>
        <w:t>”), [  ], as Authorized Representative for itself and on behalf of the Credit Agreement Secured Parties (as each such term is defined below), [  ], as collateral agent for the Initial Additional First-Lien Secured Parties (as defined below) (in such capacity, together with its successors and assigns in such capacity, the “</w:t>
      </w:r>
      <w:r>
        <w:rPr>
          <w:rFonts w:ascii="Times New Roman" w:hAnsi="Times New Roman"/>
          <w:sz w:val="20"/>
          <w:u w:val="single"/>
        </w:rPr>
        <w:t>Initial Additional First-Lien Collateral Agent</w:t>
      </w:r>
      <w:r>
        <w:rPr>
          <w:rFonts w:ascii="Times New Roman" w:hAnsi="Times New Roman"/>
          <w:sz w:val="20"/>
        </w:rPr>
        <w:t>”), [  ], as Authorized Representative for itself and on behalf of the Initial Additional First-Lien Secured Parties (in such capacity and together with its successors and assigns in such capacity, the “</w:t>
      </w:r>
      <w:r>
        <w:rPr>
          <w:rFonts w:ascii="Times New Roman" w:hAnsi="Times New Roman"/>
          <w:sz w:val="20"/>
          <w:u w:val="single"/>
        </w:rPr>
        <w:t>Initial Additional First-Lien Authorized Representative</w:t>
      </w:r>
      <w:r>
        <w:rPr>
          <w:rFonts w:ascii="Times New Roman" w:hAnsi="Times New Roman"/>
          <w:sz w:val="20"/>
        </w:rPr>
        <w:t>”), [  ], as collateral agent for the Initial Junior-Lien Secured Parties (as defined below) (in such capacity, together with its successors and assigns in such capacity, the “</w:t>
      </w:r>
      <w:r>
        <w:rPr>
          <w:rFonts w:ascii="Times New Roman" w:hAnsi="Times New Roman"/>
          <w:sz w:val="20"/>
          <w:u w:val="single"/>
        </w:rPr>
        <w:t>Initial Junior-Lien Collateral Agent</w:t>
      </w:r>
      <w:r>
        <w:rPr>
          <w:rFonts w:ascii="Times New Roman" w:hAnsi="Times New Roman"/>
          <w:sz w:val="20"/>
        </w:rPr>
        <w:t>”), [ ], as Authorized Representative for the Initial Junior-Lien Secured Parties (in such capacity and together with its successors in such capacity, the “</w:t>
      </w:r>
      <w:r>
        <w:rPr>
          <w:rFonts w:ascii="Times New Roman" w:hAnsi="Times New Roman"/>
          <w:sz w:val="20"/>
          <w:u w:val="single"/>
        </w:rPr>
        <w:t>Initial Junior-Lien Authorized</w:t>
      </w:r>
      <w:r>
        <w:rPr>
          <w:rFonts w:ascii="Times New Roman" w:hAnsi="Times New Roman"/>
          <w:sz w:val="20"/>
        </w:rPr>
        <w:t xml:space="preserve"> </w:t>
      </w:r>
      <w:r>
        <w:rPr>
          <w:rFonts w:ascii="Times New Roman" w:hAnsi="Times New Roman"/>
          <w:sz w:val="20"/>
          <w:u w:val="single"/>
        </w:rPr>
        <w:t>Representative</w:t>
      </w:r>
      <w:r>
        <w:rPr>
          <w:rFonts w:ascii="Times New Roman" w:hAnsi="Times New Roman"/>
          <w:sz w:val="20"/>
        </w:rPr>
        <w:t xml:space="preserve">”), and each additional Authorized Representative and Collateral Agent that from time to time becomes a party hereto pursuant to </w:t>
      </w:r>
      <w:r>
        <w:rPr>
          <w:rFonts w:ascii="Times New Roman" w:hAnsi="Times New Roman"/>
          <w:sz w:val="20"/>
          <w:u w:val="single"/>
        </w:rPr>
        <w:t>Section 8.8</w:t>
      </w:r>
      <w:r>
        <w:rPr>
          <w:rFonts w:ascii="Times New Roman" w:hAnsi="Times New Roman"/>
          <w:sz w:val="20"/>
        </w:rPr>
        <w:t xml:space="preserve">. 8 </w:t>
      </w:r>
    </w:p>
    <w:p>
      <w:pPr>
        <w:pStyle w:val="TextBody"/>
        <w:bidi w:val="0"/>
        <w:spacing w:before="240" w:after="0"/>
        <w:jc w:val="left"/>
        <w:rPr>
          <w:rFonts w:ascii="Times New Roman" w:hAnsi="Times New Roman"/>
          <w:sz w:val="20"/>
        </w:rPr>
      </w:pPr>
      <w:r>
        <w:rPr>
          <w:rFonts w:ascii="Times New Roman" w:hAnsi="Times New Roman"/>
          <w:sz w:val="20"/>
        </w:rPr>
        <w:t>[WHEREAS, Holdings and the Company (i) are party to the [</w:t>
      </w:r>
      <w:r>
        <w:rPr>
          <w:rFonts w:ascii="Times New Roman" w:hAnsi="Times New Roman"/>
          <w:i/>
          <w:sz w:val="20"/>
        </w:rPr>
        <w:t>insert description of Credit Agreement</w:t>
      </w:r>
      <w:r>
        <w:rPr>
          <w:rFonts w:ascii="Times New Roman" w:hAnsi="Times New Roman"/>
          <w:sz w:val="20"/>
        </w:rPr>
        <w:t>], as the same has been, or may from time to time in the future be, further amended, amended and restated, supplemented or otherwise modified, refinanced or replaced from time to time, among Holdings, the Company, the other parties thereto, the lenders from time to time parties thereto and the Credit Agreement Administrative Agent (which agreement, on the date hereof, is the Credit Agreement as hereinafter defined), (ii) are party to that certain [</w:t>
      </w:r>
      <w:r>
        <w:rPr>
          <w:rFonts w:ascii="Times New Roman" w:hAnsi="Times New Roman"/>
          <w:i/>
          <w:sz w:val="20"/>
        </w:rPr>
        <w:t>insert description of Initial Additional First</w:t>
      </w:r>
      <w:r>
        <w:rPr>
          <w:rFonts w:ascii="Times New Roman" w:hAnsi="Times New Roman"/>
          <w:sz w:val="20"/>
        </w:rPr>
        <w:t>-</w:t>
      </w:r>
      <w:r>
        <w:rPr>
          <w:rFonts w:ascii="Times New Roman" w:hAnsi="Times New Roman"/>
          <w:i/>
          <w:sz w:val="20"/>
        </w:rPr>
        <w:t>Lien Agreement</w:t>
      </w:r>
      <w:r>
        <w:rPr>
          <w:rFonts w:ascii="Times New Roman" w:hAnsi="Times New Roman"/>
          <w:sz w:val="20"/>
        </w:rPr>
        <w:t>], as the same has been or may from time to time in the future be, amended, amended and restated, extended, supplemented or otherwise modified from time to time (the “</w:t>
      </w:r>
      <w:r>
        <w:rPr>
          <w:rFonts w:ascii="Times New Roman" w:hAnsi="Times New Roman"/>
          <w:sz w:val="20"/>
          <w:u w:val="single"/>
        </w:rPr>
        <w:t>Initial Additional First-Lien Agreement</w:t>
      </w:r>
      <w:r>
        <w:rPr>
          <w:rFonts w:ascii="Times New Roman" w:hAnsi="Times New Roman"/>
          <w:sz w:val="20"/>
        </w:rPr>
        <w:t xml:space="preserve">”), and (iii) may from time to time become (or may have already become) a party to Additional First-Lien Documents;]9 </w:t>
      </w:r>
    </w:p>
    <w:p>
      <w:pPr>
        <w:pStyle w:val="TextBody"/>
        <w:bidi w:val="0"/>
        <w:spacing w:before="240" w:after="0"/>
        <w:jc w:val="left"/>
        <w:rPr>
          <w:rFonts w:ascii="Times New Roman" w:hAnsi="Times New Roman"/>
          <w:sz w:val="20"/>
        </w:rPr>
      </w:pPr>
      <w:r>
        <w:rPr>
          <w:rFonts w:ascii="Times New Roman" w:hAnsi="Times New Roman"/>
          <w:sz w:val="20"/>
        </w:rPr>
        <w:t>WHEREAS, Holdings and the Company (i) are party to the [</w:t>
      </w:r>
      <w:r>
        <w:rPr>
          <w:rFonts w:ascii="Times New Roman" w:hAnsi="Times New Roman"/>
          <w:i/>
          <w:sz w:val="20"/>
        </w:rPr>
        <w:t>insert description of Initial Junior</w:t>
      </w:r>
      <w:r>
        <w:rPr>
          <w:rFonts w:ascii="Times New Roman" w:hAnsi="Times New Roman"/>
          <w:sz w:val="20"/>
        </w:rPr>
        <w:t>-</w:t>
      </w:r>
      <w:r>
        <w:rPr>
          <w:rFonts w:ascii="Times New Roman" w:hAnsi="Times New Roman"/>
          <w:i/>
          <w:sz w:val="20"/>
        </w:rPr>
        <w:t>Lien Debt Document</w:t>
      </w:r>
      <w:r>
        <w:rPr>
          <w:rFonts w:ascii="Times New Roman" w:hAnsi="Times New Roman"/>
          <w:sz w:val="20"/>
        </w:rPr>
        <w:t xml:space="preserve">], and (ii) may become a party to other Junior-Lien Debt Documents governing future Junior-Lien Debt.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modified, as necessary, to properly reflect the Debt Facilities in existence at the time this Agreement is entered into.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modified, as necessary, to properly reflect the Debt Facilities in existence at the time this Agreement is entered into.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Accordingly, in consideration of the foregoing, the mutual covenants and obligations herein set forth and for other good and valuable consideration, the sufficiency and receipt of which are hereby acknowledged, the parties hereto, intending to be legally bound, hereby agree as follows: </w:t>
      </w:r>
    </w:p>
    <w:p>
      <w:pPr>
        <w:pStyle w:val="TextBody"/>
        <w:bidi w:val="0"/>
        <w:spacing w:before="480" w:after="0"/>
        <w:jc w:val="center"/>
        <w:rPr>
          <w:rFonts w:ascii="Times New Roman" w:hAnsi="Times New Roman"/>
          <w:sz w:val="20"/>
        </w:rPr>
      </w:pPr>
      <w:r>
        <w:rPr>
          <w:rFonts w:ascii="Times New Roman" w:hAnsi="Times New Roman"/>
          <w:sz w:val="20"/>
        </w:rPr>
        <w:t>ARTICLE I</w:t>
      </w:r>
      <w:r>
        <w:rPr>
          <w:rFonts w:ascii="Times New Roman" w:hAnsi="Times New Roman"/>
          <w:sz w:val="20"/>
          <w:u w:val="single"/>
        </w:rPr>
        <w:t xml:space="preserve"> </w:t>
      </w:r>
    </w:p>
    <w:p>
      <w:pPr>
        <w:pStyle w:val="TextBody"/>
        <w:bidi w:val="0"/>
        <w:spacing w:before="0" w:after="0"/>
        <w:jc w:val="center"/>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Certain Defined Terms</w:t>
      </w:r>
      <w:r>
        <w:rPr>
          <w:rFonts w:ascii="Times New Roman" w:hAnsi="Times New Roman"/>
          <w:sz w:val="20"/>
        </w:rPr>
        <w:t xml:space="preserve">. Capitalized terms used but not otherwise defined herein have the meanings set forth in the Credit Agreement or the First-Lien Intercreditor Agreement, as specified herein, or, if defined in the UCC, the meanings specified therein. As used in this Agreement, the following terms have the meanings specified below: </w:t>
      </w:r>
    </w:p>
    <w:p>
      <w:pPr>
        <w:pStyle w:val="TextBody"/>
        <w:bidi w:val="0"/>
        <w:spacing w:before="120" w:after="0"/>
        <w:jc w:val="left"/>
        <w:rPr/>
      </w:pPr>
      <w:r>
        <w:rPr/>
        <w:t>“</w:t>
      </w:r>
      <w:r>
        <w:rPr>
          <w:rFonts w:ascii="Times New Roman" w:hAnsi="Times New Roman"/>
          <w:sz w:val="20"/>
          <w:u w:val="single"/>
        </w:rPr>
        <w:t>Additional First-Lien Debt</w:t>
      </w:r>
      <w:r>
        <w:rPr>
          <w:rFonts w:ascii="Times New Roman" w:hAnsi="Times New Roman"/>
          <w:sz w:val="20"/>
        </w:rPr>
        <w:t xml:space="preserve">” means any Indebtedness of the Company (including Indebtedness constituting Initial Additional First-Lien Obligations but excluding Indebtedness constituting Credit Agreement Obligations) incurred by Holdings, the Company or any other Grantor and secured by the First-Lien Collateral (or a portion thereof)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(but without regard to control of remedies) with the Credit Agreement Obligations and any other outstanding First-Lien Obligations; </w:t>
      </w:r>
      <w:r>
        <w:rPr>
          <w:rFonts w:ascii="Times New Roman" w:hAnsi="Times New Roman"/>
          <w:sz w:val="20"/>
          <w:u w:val="single"/>
        </w:rPr>
        <w:t>provided</w:t>
      </w:r>
      <w:r>
        <w:rPr>
          <w:rFonts w:ascii="Times New Roman" w:hAnsi="Times New Roman"/>
          <w:sz w:val="20"/>
        </w:rPr>
        <w:t xml:space="preserve"> that (i) such Indebtedness is permitted (at the time of incurrence thereof) to be incurred and secured on such basis by each First-Lien Debt Document and Junior-Lien Debt Document and (ii) the Authorized Representative for the holders of such Indebtedness shall have become party to the First-Lien Intercreditor Agreement in accordance with the terms thereof. Additional First-Lien Debt shall include any Registered Equivalent Notes and Guarantees thereof by the Grantors issued in exchange therefor. </w:t>
      </w:r>
    </w:p>
    <w:p>
      <w:pPr>
        <w:pStyle w:val="TextBody"/>
        <w:bidi w:val="0"/>
        <w:spacing w:before="240" w:after="0"/>
        <w:jc w:val="left"/>
        <w:rPr/>
      </w:pPr>
      <w:r>
        <w:rPr/>
        <w:t>“</w:t>
      </w:r>
      <w:r>
        <w:rPr>
          <w:rFonts w:ascii="Times New Roman" w:hAnsi="Times New Roman"/>
          <w:sz w:val="20"/>
          <w:u w:val="single"/>
        </w:rPr>
        <w:t>Additional First-Lien Debt Facility</w:t>
      </w:r>
      <w:r>
        <w:rPr>
          <w:rFonts w:ascii="Times New Roman" w:hAnsi="Times New Roman"/>
          <w:sz w:val="20"/>
        </w:rPr>
        <w:t xml:space="preserve">” means each indenture or other governing agreement with respect to any Additional First-Lien Debt, including, without limitation, the Initial Additional First-Lien Agreement. </w:t>
      </w:r>
    </w:p>
    <w:p>
      <w:pPr>
        <w:pStyle w:val="TextBody"/>
        <w:bidi w:val="0"/>
        <w:spacing w:before="240" w:after="0"/>
        <w:jc w:val="left"/>
        <w:rPr/>
      </w:pPr>
      <w:r>
        <w:rPr/>
        <w:t>“</w:t>
      </w:r>
      <w:r>
        <w:rPr>
          <w:rFonts w:ascii="Times New Roman" w:hAnsi="Times New Roman"/>
          <w:sz w:val="20"/>
          <w:u w:val="single"/>
        </w:rPr>
        <w:t>Additional First-Lien Debt Obligations</w:t>
      </w:r>
      <w:r>
        <w:rPr>
          <w:rFonts w:ascii="Times New Roman" w:hAnsi="Times New Roman"/>
          <w:sz w:val="20"/>
        </w:rPr>
        <w:t xml:space="preserve">” means all amounts owing to any Additional First-Lien Secured Party (as defined in the First-Lien Intercreditor Agreement) (including the Initial Additional First-Lien Secured Parties) pursuant to the terms of any Additional First-Lien Document (including the Initial Additional First-Lien Documents (as defined in the First-Lien Intercreditor Agreement)), including, without limitation, all amounts in respect of any principal, premium, interest (including any interest accruing subsequent to the commencement of a Bankruptcy Case at the rate provided for in the respective Additional First-Lien Document), penalties, fees, expenses, indemnifications, reimbursements, damages and other liabilities, and guarantees of the foregoing amounts and any amounts reinstated pursuant to Section 2.06 of the First-Lien Intercreditor Agreement. </w:t>
      </w:r>
    </w:p>
    <w:p>
      <w:pPr>
        <w:pStyle w:val="TextBody"/>
        <w:bidi w:val="0"/>
        <w:spacing w:before="240" w:after="0"/>
        <w:jc w:val="left"/>
        <w:rPr/>
      </w:pPr>
      <w:r>
        <w:rPr/>
        <w:t>“</w:t>
      </w:r>
      <w:r>
        <w:rPr>
          <w:rFonts w:ascii="Times New Roman" w:hAnsi="Times New Roman"/>
          <w:sz w:val="20"/>
          <w:u w:val="single"/>
        </w:rPr>
        <w:t>Additional First-Lien Debt Representative</w:t>
      </w:r>
      <w:r>
        <w:rPr>
          <w:rFonts w:ascii="Times New Roman" w:hAnsi="Times New Roman"/>
          <w:sz w:val="20"/>
        </w:rPr>
        <w:t xml:space="preserve">” has the meaning assigned to such term in </w:t>
      </w:r>
      <w:r>
        <w:rPr>
          <w:rFonts w:ascii="Times New Roman" w:hAnsi="Times New Roman"/>
          <w:sz w:val="20"/>
          <w:u w:val="single"/>
        </w:rPr>
        <w:t>Section 8.8(b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First-Lien Documents</w:t>
      </w:r>
      <w:r>
        <w:rPr>
          <w:rFonts w:ascii="Times New Roman" w:hAnsi="Times New Roman"/>
          <w:sz w:val="20"/>
        </w:rPr>
        <w:t xml:space="preserve">” has the meaning assigned to such term in the First-Lien Intercreditor Agreement. </w:t>
      </w:r>
    </w:p>
    <w:p>
      <w:pPr>
        <w:pStyle w:val="TextBody"/>
        <w:bidi w:val="0"/>
        <w:spacing w:before="240" w:after="0"/>
        <w:jc w:val="left"/>
        <w:rPr/>
      </w:pPr>
      <w:r>
        <w:rPr/>
        <w:t>“</w:t>
      </w:r>
      <w:r>
        <w:rPr>
          <w:rFonts w:ascii="Times New Roman" w:hAnsi="Times New Roman"/>
          <w:sz w:val="20"/>
          <w:u w:val="single"/>
        </w:rPr>
        <w:t>Additional First-Lien Secured Parties</w:t>
      </w:r>
      <w:r>
        <w:rPr>
          <w:rFonts w:ascii="Times New Roman" w:hAnsi="Times New Roman"/>
          <w:sz w:val="20"/>
        </w:rPr>
        <w:t xml:space="preserve">” means the holders of any Additional First-Lien Debt Obligations and any Authorized Representative with respect thereto, and shall include the Initial Additional First-Lien Secured Parties. </w:t>
      </w:r>
    </w:p>
    <w:p>
      <w:pPr>
        <w:pStyle w:val="TextBody"/>
        <w:bidi w:val="0"/>
        <w:spacing w:before="240" w:after="0"/>
        <w:jc w:val="left"/>
        <w:rPr/>
      </w:pPr>
      <w:r>
        <w:rPr/>
        <w:t>“</w:t>
      </w:r>
      <w:r>
        <w:rPr>
          <w:rFonts w:ascii="Times New Roman" w:hAnsi="Times New Roman"/>
          <w:sz w:val="20"/>
          <w:u w:val="single"/>
        </w:rPr>
        <w:t>Additional First-Lien Security Documents</w:t>
      </w:r>
      <w:r>
        <w:rPr>
          <w:rFonts w:ascii="Times New Roman" w:hAnsi="Times New Roman"/>
          <w:sz w:val="20"/>
        </w:rPr>
        <w:t xml:space="preserve">” has the meaning assigned to such term in the First-Lien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Additional Junior-Lien Collateral Agent</w:t>
      </w:r>
      <w:r>
        <w:rPr>
          <w:rFonts w:ascii="Times New Roman" w:hAnsi="Times New Roman"/>
          <w:sz w:val="20"/>
        </w:rPr>
        <w:t xml:space="preserve">” means, at any time, (i) in the case of the Initial Junior-Lien Obligations or the Initial Junior-Lien Secured Parties, the Initial Junior-Lien Collateral Agent and (ii) in the case of any other additional class or series of Additional Junior-Lien Debt or Additional Junior-Lien Secured Parties that become subject to this Agreement after the date hereof, the collateral agent named for such class or series in the applicable Joinder Agreement. </w:t>
      </w:r>
    </w:p>
    <w:p>
      <w:pPr>
        <w:pStyle w:val="TextBody"/>
        <w:bidi w:val="0"/>
        <w:spacing w:before="240" w:after="0"/>
        <w:jc w:val="left"/>
        <w:rPr/>
      </w:pPr>
      <w:r>
        <w:rPr/>
        <w:t>“</w:t>
      </w:r>
      <w:r>
        <w:rPr>
          <w:rFonts w:ascii="Times New Roman" w:hAnsi="Times New Roman"/>
          <w:sz w:val="20"/>
          <w:u w:val="single"/>
        </w:rPr>
        <w:t>Additional Junior-Lien Debt</w:t>
      </w:r>
      <w:r>
        <w:rPr>
          <w:rFonts w:ascii="Times New Roman" w:hAnsi="Times New Roman"/>
          <w:sz w:val="20"/>
        </w:rPr>
        <w:t xml:space="preserve">” has the meaning assigned to such term in </w:t>
      </w:r>
      <w:r>
        <w:rPr>
          <w:rFonts w:ascii="Times New Roman" w:hAnsi="Times New Roman"/>
          <w:sz w:val="20"/>
          <w:u w:val="single"/>
        </w:rPr>
        <w:t>Section 8.8(a)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Junior-Lien Debt Representative</w:t>
      </w:r>
      <w:r>
        <w:rPr>
          <w:rFonts w:ascii="Times New Roman" w:hAnsi="Times New Roman"/>
          <w:sz w:val="20"/>
        </w:rPr>
        <w:t xml:space="preserve">” has the meaning assigned to such term in </w:t>
      </w:r>
      <w:r>
        <w:rPr>
          <w:rFonts w:ascii="Times New Roman" w:hAnsi="Times New Roman"/>
          <w:sz w:val="20"/>
          <w:u w:val="single"/>
        </w:rPr>
        <w:t>Section 8.8(a)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Junior-Lien Secured Parties</w:t>
      </w:r>
      <w:r>
        <w:rPr>
          <w:rFonts w:ascii="Times New Roman" w:hAnsi="Times New Roman"/>
          <w:sz w:val="20"/>
        </w:rPr>
        <w:t xml:space="preserve">” has the meaning assigned to such term in </w:t>
      </w:r>
      <w:r>
        <w:rPr>
          <w:rFonts w:ascii="Times New Roman" w:hAnsi="Times New Roman"/>
          <w:sz w:val="20"/>
          <w:u w:val="single"/>
        </w:rPr>
        <w:t>Section 8.8(a)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when used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assigned to such term in the introductory paragraph hereof. </w:t>
      </w:r>
    </w:p>
    <w:p>
      <w:pPr>
        <w:pStyle w:val="TextBody"/>
        <w:bidi w:val="0"/>
        <w:spacing w:before="240" w:after="0"/>
        <w:jc w:val="left"/>
        <w:rPr/>
      </w:pPr>
      <w:r>
        <w:rPr/>
        <w:t>“</w:t>
      </w:r>
      <w:r>
        <w:rPr>
          <w:rFonts w:ascii="Times New Roman" w:hAnsi="Times New Roman"/>
          <w:sz w:val="20"/>
          <w:u w:val="single"/>
        </w:rPr>
        <w:t>Applicable First-Lien Authorized Representative</w:t>
      </w:r>
      <w:r>
        <w:rPr>
          <w:rFonts w:ascii="Times New Roman" w:hAnsi="Times New Roman"/>
          <w:sz w:val="20"/>
        </w:rPr>
        <w:t>” means “</w:t>
      </w:r>
      <w:r>
        <w:rPr>
          <w:rFonts w:ascii="Times New Roman" w:hAnsi="Times New Roman"/>
          <w:sz w:val="20"/>
          <w:u w:val="single"/>
        </w:rPr>
        <w:t>Applicable Authorized Representative</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Applicable First-Lien Collateral Agent</w:t>
      </w:r>
      <w:r>
        <w:rPr>
          <w:rFonts w:ascii="Times New Roman" w:hAnsi="Times New Roman"/>
          <w:sz w:val="20"/>
        </w:rPr>
        <w:t>” means “</w:t>
      </w:r>
      <w:r>
        <w:rPr>
          <w:rFonts w:ascii="Times New Roman" w:hAnsi="Times New Roman"/>
          <w:sz w:val="20"/>
          <w:u w:val="single"/>
        </w:rPr>
        <w:t>Applicable Collateral Agent</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Authorized Representatives</w:t>
      </w:r>
      <w:r>
        <w:rPr>
          <w:rFonts w:ascii="Times New Roman" w:hAnsi="Times New Roman"/>
          <w:sz w:val="20"/>
        </w:rPr>
        <w:t xml:space="preserve">” means the First-Lien Authorized Representatives and the Junior-Lien Authorized Representatives. </w:t>
      </w:r>
    </w:p>
    <w:p>
      <w:pPr>
        <w:pStyle w:val="TextBody"/>
        <w:bidi w:val="0"/>
        <w:spacing w:before="240" w:after="0"/>
        <w:jc w:val="left"/>
        <w:rPr/>
      </w:pPr>
      <w:r>
        <w:rPr/>
        <w:t>“</w:t>
      </w:r>
      <w:r>
        <w:rPr>
          <w:rFonts w:ascii="Times New Roman" w:hAnsi="Times New Roman"/>
          <w:sz w:val="20"/>
          <w:u w:val="single"/>
        </w:rPr>
        <w:t>Bankruptcy Case</w:t>
      </w:r>
      <w:r>
        <w:rPr>
          <w:rFonts w:ascii="Times New Roman" w:hAnsi="Times New Roman"/>
          <w:sz w:val="20"/>
        </w:rPr>
        <w:t xml:space="preserve">” means a case under the Bankruptcy Code or any other Bankruptcy Law.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as amended, or any successor statute. </w:t>
      </w:r>
    </w:p>
    <w:p>
      <w:pPr>
        <w:pStyle w:val="TextBody"/>
        <w:bidi w:val="0"/>
        <w:spacing w:before="240" w:after="0"/>
        <w:jc w:val="left"/>
        <w:rPr/>
      </w:pPr>
      <w:r>
        <w:rPr/>
        <w:t>“</w:t>
      </w:r>
      <w:r>
        <w:rPr>
          <w:rFonts w:ascii="Times New Roman" w:hAnsi="Times New Roman"/>
          <w:sz w:val="20"/>
          <w:u w:val="single"/>
        </w:rPr>
        <w:t>Bankruptcy Law</w:t>
      </w:r>
      <w:r>
        <w:rPr>
          <w:rFonts w:ascii="Times New Roman" w:hAnsi="Times New Roman"/>
          <w:sz w:val="20"/>
        </w:rPr>
        <w:t xml:space="preserve">” means the Bankruptcy Code and any similar Federal, state or foreign law for the relief of debtors.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Sunday or other day on which commercial banks in New York City are authorized required by law to close.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the First-Lien Collateral and the Junior-Lien Collateral.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means (i) in the case of any First-Lien Obligations, each (or the respective) First-Lien Collateral Agent and (ii) in the case of Junior-Lien Obligations, each (or the respective) Junior-Lien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Collateral Documents</w:t>
      </w:r>
      <w:r>
        <w:rPr>
          <w:rFonts w:ascii="Times New Roman" w:hAnsi="Times New Roman"/>
          <w:sz w:val="20"/>
        </w:rPr>
        <w:t xml:space="preserve">” means the First-Lien Collateral Documents and the Junior-Lien Collateral Documents.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assigned to such term in the introductory paragraph hereof.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pPr>
      <w:r>
        <w:rPr/>
        <w:t>“</w:t>
      </w:r>
      <w:r>
        <w:rPr>
          <w:rFonts w:ascii="Times New Roman" w:hAnsi="Times New Roman"/>
          <w:sz w:val="20"/>
          <w:u w:val="single"/>
        </w:rPr>
        <w:t>Controlling First-Lien Parties</w:t>
      </w:r>
      <w:r>
        <w:rPr>
          <w:rFonts w:ascii="Times New Roman" w:hAnsi="Times New Roman"/>
          <w:sz w:val="20"/>
        </w:rPr>
        <w:t>” means “</w:t>
      </w:r>
      <w:r>
        <w:rPr>
          <w:rFonts w:ascii="Times New Roman" w:hAnsi="Times New Roman"/>
          <w:sz w:val="20"/>
          <w:u w:val="single"/>
        </w:rPr>
        <w:t>Controlling Secured Parties</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means “</w:t>
      </w:r>
      <w:r>
        <w:rPr>
          <w:rFonts w:ascii="Times New Roman" w:hAnsi="Times New Roman"/>
          <w:sz w:val="20"/>
          <w:u w:val="single"/>
        </w:rPr>
        <w:t>Credit Agreement</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Credit Agreement Administrative Agent</w:t>
      </w:r>
      <w:r>
        <w:rPr>
          <w:rFonts w:ascii="Times New Roman" w:hAnsi="Times New Roman"/>
          <w:sz w:val="20"/>
        </w:rPr>
        <w:t xml:space="preserve">” has the meaning assigned to such term in the introductory paragraph hereof. </w:t>
      </w:r>
    </w:p>
    <w:p>
      <w:pPr>
        <w:pStyle w:val="TextBody"/>
        <w:bidi w:val="0"/>
        <w:spacing w:before="240" w:after="0"/>
        <w:jc w:val="left"/>
        <w:rPr/>
      </w:pPr>
      <w:r>
        <w:rPr/>
        <w:t>“</w:t>
      </w:r>
      <w:r>
        <w:rPr>
          <w:rFonts w:ascii="Times New Roman" w:hAnsi="Times New Roman"/>
          <w:sz w:val="20"/>
          <w:u w:val="single"/>
        </w:rPr>
        <w:t>Credit Agreement Documents</w:t>
      </w:r>
      <w:r>
        <w:rPr>
          <w:rFonts w:ascii="Times New Roman" w:hAnsi="Times New Roman"/>
          <w:sz w:val="20"/>
        </w:rPr>
        <w:t xml:space="preserve">” has the meaning assigned to such term in the First-Lien Intercreditor Agreement. </w:t>
      </w:r>
    </w:p>
    <w:p>
      <w:pPr>
        <w:pStyle w:val="TextBody"/>
        <w:bidi w:val="0"/>
        <w:spacing w:before="240" w:after="0"/>
        <w:jc w:val="left"/>
        <w:rPr/>
      </w:pPr>
      <w:r>
        <w:rPr/>
        <w:t>“</w:t>
      </w:r>
      <w:r>
        <w:rPr>
          <w:rFonts w:ascii="Times New Roman" w:hAnsi="Times New Roman"/>
          <w:sz w:val="20"/>
          <w:u w:val="single"/>
        </w:rPr>
        <w:t>Credit Agreement Obligations</w:t>
      </w:r>
      <w:r>
        <w:rPr>
          <w:rFonts w:ascii="Times New Roman" w:hAnsi="Times New Roman"/>
          <w:sz w:val="20"/>
        </w:rPr>
        <w:t>” means all “</w:t>
      </w:r>
      <w:r>
        <w:rPr>
          <w:rFonts w:ascii="Times New Roman" w:hAnsi="Times New Roman"/>
          <w:sz w:val="20"/>
          <w:u w:val="single"/>
        </w:rPr>
        <w:t>Obligations</w:t>
      </w:r>
      <w:r>
        <w:rPr>
          <w:rFonts w:ascii="Times New Roman" w:hAnsi="Times New Roman"/>
          <w:sz w:val="20"/>
        </w:rPr>
        <w:t xml:space="preserve">” as such term is defined in the Credit Agreement (including, for the avoidance of doubt, any interest accruing on or subsequent to the filing of a petition in bankruptcy, reorganization or similar proceeding at the rate provided for in the documentation with respect thereto, and any amounts reinstated pursuant to Section 2.06 of the First-Lien Intercreditor Agreement). </w:t>
      </w:r>
    </w:p>
    <w:p>
      <w:pPr>
        <w:pStyle w:val="TextBody"/>
        <w:bidi w:val="0"/>
        <w:spacing w:before="240" w:after="0"/>
        <w:jc w:val="left"/>
        <w:rPr/>
      </w:pPr>
      <w:r>
        <w:rPr/>
        <w:t>“</w:t>
      </w:r>
      <w:r>
        <w:rPr>
          <w:rFonts w:ascii="Times New Roman" w:hAnsi="Times New Roman"/>
          <w:sz w:val="20"/>
          <w:u w:val="single"/>
        </w:rPr>
        <w:t>Credit Agreement Secured Parties</w:t>
      </w:r>
      <w:r>
        <w:rPr>
          <w:rFonts w:ascii="Times New Roman" w:hAnsi="Times New Roman"/>
          <w:sz w:val="20"/>
        </w:rPr>
        <w:t xml:space="preserve">” has the meaning assigned to such term in the First-Lien Intercreditor Agreement. </w:t>
      </w:r>
    </w:p>
    <w:p>
      <w:pPr>
        <w:pStyle w:val="TextBody"/>
        <w:bidi w:val="0"/>
        <w:spacing w:before="240" w:after="0"/>
        <w:jc w:val="left"/>
        <w:rPr/>
      </w:pPr>
      <w:r>
        <w:rPr/>
        <w:t>“</w:t>
      </w:r>
      <w:r>
        <w:rPr>
          <w:rFonts w:ascii="Times New Roman" w:hAnsi="Times New Roman"/>
          <w:sz w:val="20"/>
          <w:u w:val="single"/>
        </w:rPr>
        <w:t>Debt Facility</w:t>
      </w:r>
      <w:r>
        <w:rPr>
          <w:rFonts w:ascii="Times New Roman" w:hAnsi="Times New Roman"/>
          <w:sz w:val="20"/>
        </w:rPr>
        <w:t xml:space="preserve">” means any First-Lien Facility and any Junior-Lien Debt Facility. </w:t>
      </w:r>
    </w:p>
    <w:p>
      <w:pPr>
        <w:pStyle w:val="TextBody"/>
        <w:bidi w:val="0"/>
        <w:spacing w:before="240" w:after="0"/>
        <w:jc w:val="left"/>
        <w:rPr/>
      </w:pPr>
      <w:r>
        <w:rPr/>
        <w:t>“</w:t>
      </w:r>
      <w:r>
        <w:rPr>
          <w:rFonts w:ascii="Times New Roman" w:hAnsi="Times New Roman"/>
          <w:sz w:val="20"/>
          <w:u w:val="single"/>
        </w:rPr>
        <w:t>Deposit Account Collateral</w:t>
      </w:r>
      <w:r>
        <w:rPr>
          <w:rFonts w:ascii="Times New Roman" w:hAnsi="Times New Roman"/>
          <w:sz w:val="20"/>
        </w:rPr>
        <w:t xml:space="preserve">” means that part of the Shared Collateral comprised of or contained in Deposit Accounts or Securities Accounts. </w:t>
      </w:r>
    </w:p>
    <w:p>
      <w:pPr>
        <w:pStyle w:val="TextBody"/>
        <w:bidi w:val="0"/>
        <w:spacing w:before="240" w:after="0"/>
        <w:jc w:val="left"/>
        <w:rPr/>
      </w:pPr>
      <w:r>
        <w:rPr/>
        <w:t>“</w:t>
      </w:r>
      <w:r>
        <w:rPr>
          <w:rFonts w:ascii="Times New Roman" w:hAnsi="Times New Roman"/>
          <w:sz w:val="20"/>
          <w:u w:val="single"/>
        </w:rPr>
        <w:t>Designated Junior-Lien Authorized Representative</w:t>
      </w:r>
      <w:r>
        <w:rPr>
          <w:rFonts w:ascii="Times New Roman" w:hAnsi="Times New Roman"/>
          <w:sz w:val="20"/>
        </w:rPr>
        <w:t xml:space="preserve">” means (i) the Initial Junior-Lien Authorized Representative, until such time as the Junior-Lien Debt Facility under the Initial Junior-Lien Debt Documents ceases to be the only Junior-Lien Debt Facility under this Agreement and (ii) thereafter, the Junior-Lien Authorized Representative designated from time to time by the Junior-Lien Instructing Group, in a notice to the First-Lien Collateral Agents and the Company hereunder, as the “Designated Junior-Lien Authorized Representative” for purposes hereof. </w:t>
      </w:r>
    </w:p>
    <w:p>
      <w:pPr>
        <w:pStyle w:val="TextBody"/>
        <w:bidi w:val="0"/>
        <w:spacing w:before="240" w:after="0"/>
        <w:jc w:val="left"/>
        <w:rPr/>
      </w:pPr>
      <w:r>
        <w:rPr/>
        <w:t>“</w:t>
      </w:r>
      <w:r>
        <w:rPr>
          <w:rFonts w:ascii="Times New Roman" w:hAnsi="Times New Roman"/>
          <w:sz w:val="20"/>
          <w:u w:val="single"/>
        </w:rPr>
        <w:t>Designated Junior-Lien Collateral Agent</w:t>
      </w:r>
      <w:r>
        <w:rPr>
          <w:rFonts w:ascii="Times New Roman" w:hAnsi="Times New Roman"/>
          <w:sz w:val="20"/>
        </w:rPr>
        <w:t xml:space="preserve">” means (i) the Initial Junior-Lien Collateral Agent, until such time as the Junior-Lien Debt Facility under the Initial Junior-Lien Debt Documents ceases to be the only Junior-Lien Debt Facility under this Agreement and (ii) thereafter, the Junior-Lien Collateral Agent designated from time to time by the Junior-Lien Instructing Group, in a notice to the First-Lien Authorized Representatives, the First-Lien Collateral Agents and the Company hereunder, as the “Designated Junior-Lien Collateral Agent” for purposes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DIP Financing</w:t>
      </w:r>
      <w:r>
        <w:rPr>
          <w:rFonts w:ascii="Times New Roman" w:hAnsi="Times New Roman"/>
          <w:sz w:val="20"/>
        </w:rPr>
        <w:t xml:space="preserve">” has the meaning assigned to such term in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Discharge of First-Lien Obligations</w:t>
      </w:r>
      <w:r>
        <w:rPr>
          <w:rFonts w:ascii="Times New Roman" w:hAnsi="Times New Roman"/>
          <w:sz w:val="20"/>
        </w:rPr>
        <w:t xml:space="preserve">” means the payment in full in cash of all First-Lien Obligations and the termination or cash collateralization (to the satisfaction of the respective issuers or counterparties, as the case may be) of all letters of credit and Secured Hedge Agreements issued or entered into, as the case may be, by a First-Lien Secured Party and the termination of all other commitments of the First-Lien Secured Parties under the First-Lien Debt Documents.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xml:space="preserve">” shall mean any sale, lease, exchange, transfer or other disposition. “Dispose” shall have a correlative meaning. </w:t>
      </w:r>
    </w:p>
    <w:p>
      <w:pPr>
        <w:pStyle w:val="TextBody"/>
        <w:bidi w:val="0"/>
        <w:spacing w:before="240" w:after="0"/>
        <w:jc w:val="left"/>
        <w:rPr/>
      </w:pPr>
      <w:r>
        <w:rPr/>
        <w:t>“</w:t>
      </w:r>
      <w:r>
        <w:rPr>
          <w:rFonts w:ascii="Times New Roman" w:hAnsi="Times New Roman"/>
          <w:sz w:val="20"/>
          <w:u w:val="single"/>
        </w:rPr>
        <w:t>Enforcement Action</w:t>
      </w:r>
      <w:r>
        <w:rPr>
          <w:rFonts w:ascii="Times New Roman" w:hAnsi="Times New Roman"/>
          <w:sz w:val="20"/>
        </w:rPr>
        <w:t xml:space="preserve">” means, with respect to the First-Lien Obligations or the Junior-Lien Obligations, the exercise of any rights and remedies with respect to any Shared Collateral or the commencement or prosecution of enforcement of any of the rights and remedies with respect to any Shared Collateral under, as applicable, the First-Lien Debt Documents or the Junior-Lien Debt Documents, or applicable law, including without limitation the exercise of any rights of set-off or recoupment, and the exercise of any rights or remedies of a secured creditor under the Uniform Commercial Code of any applicable jurisdiction or under any Bankruptcy Law. </w:t>
      </w:r>
    </w:p>
    <w:p>
      <w:pPr>
        <w:pStyle w:val="TextBody"/>
        <w:bidi w:val="0"/>
        <w:spacing w:before="240" w:after="0"/>
        <w:jc w:val="left"/>
        <w:rPr/>
      </w:pPr>
      <w:r>
        <w:rPr/>
        <w:t>“</w:t>
      </w:r>
      <w:r>
        <w:rPr>
          <w:rFonts w:ascii="Times New Roman" w:hAnsi="Times New Roman"/>
          <w:sz w:val="20"/>
          <w:u w:val="single"/>
        </w:rPr>
        <w:t>Enforcement Notice</w:t>
      </w:r>
      <w:r>
        <w:rPr>
          <w:rFonts w:ascii="Times New Roman" w:hAnsi="Times New Roman"/>
          <w:sz w:val="20"/>
        </w:rPr>
        <w:t xml:space="preserve">” has the meaning assigned to such term in </w:t>
      </w:r>
      <w:r>
        <w:rPr>
          <w:rFonts w:ascii="Times New Roman" w:hAnsi="Times New Roman"/>
          <w:sz w:val="20"/>
          <w:u w:val="single"/>
        </w:rPr>
        <w:t>Section 3.7(a)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means an “</w:t>
      </w:r>
      <w:r>
        <w:rPr>
          <w:rFonts w:ascii="Times New Roman" w:hAnsi="Times New Roman"/>
          <w:sz w:val="20"/>
          <w:u w:val="single"/>
        </w:rPr>
        <w:t>Event of Default</w:t>
      </w:r>
      <w:r>
        <w:rPr>
          <w:rFonts w:ascii="Times New Roman" w:hAnsi="Times New Roman"/>
          <w:sz w:val="20"/>
        </w:rPr>
        <w:t xml:space="preserve">” as such term is defined in any First-Lien Debt Document. </w:t>
      </w:r>
    </w:p>
    <w:p>
      <w:pPr>
        <w:pStyle w:val="TextBody"/>
        <w:bidi w:val="0"/>
        <w:spacing w:before="240" w:after="0"/>
        <w:jc w:val="left"/>
        <w:rPr/>
      </w:pPr>
      <w:r>
        <w:rPr/>
        <w:t>“</w:t>
      </w:r>
      <w:r>
        <w:rPr>
          <w:rFonts w:ascii="Times New Roman" w:hAnsi="Times New Roman"/>
          <w:sz w:val="20"/>
          <w:u w:val="single"/>
        </w:rPr>
        <w:t>First-Lien</w:t>
      </w:r>
      <w:r>
        <w:rPr>
          <w:rFonts w:ascii="Times New Roman" w:hAnsi="Times New Roman"/>
          <w:sz w:val="20"/>
        </w:rPr>
        <w:t xml:space="preserve">” means the Liens on the First-Lien Collateral in favor of the First-Lien Secured Parties under the First-Lien Collateral Documents. </w:t>
      </w:r>
    </w:p>
    <w:p>
      <w:pPr>
        <w:pStyle w:val="TextBody"/>
        <w:bidi w:val="0"/>
        <w:spacing w:before="240" w:after="0"/>
        <w:jc w:val="left"/>
        <w:rPr/>
      </w:pPr>
      <w:r>
        <w:rPr/>
        <w:t>“</w:t>
      </w:r>
      <w:r>
        <w:rPr>
          <w:rFonts w:ascii="Times New Roman" w:hAnsi="Times New Roman"/>
          <w:sz w:val="20"/>
          <w:u w:val="single"/>
        </w:rPr>
        <w:t>First-Lien Authorized Representative</w:t>
      </w:r>
      <w:r>
        <w:rPr>
          <w:rFonts w:ascii="Times New Roman" w:hAnsi="Times New Roman"/>
          <w:sz w:val="20"/>
        </w:rPr>
        <w:t>” means “</w:t>
      </w:r>
      <w:r>
        <w:rPr>
          <w:rFonts w:ascii="Times New Roman" w:hAnsi="Times New Roman"/>
          <w:sz w:val="20"/>
          <w:u w:val="single"/>
        </w:rPr>
        <w:t>Authorized Representative</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First-Lien Collateral</w:t>
      </w:r>
      <w:r>
        <w:rPr>
          <w:rFonts w:ascii="Times New Roman" w:hAnsi="Times New Roman"/>
          <w:sz w:val="20"/>
        </w:rPr>
        <w:t>” means any “</w:t>
      </w:r>
      <w:r>
        <w:rPr>
          <w:rFonts w:ascii="Times New Roman" w:hAnsi="Times New Roman"/>
          <w:sz w:val="20"/>
          <w:u w:val="single"/>
        </w:rPr>
        <w:t>Collateral</w:t>
      </w:r>
      <w:r>
        <w:rPr>
          <w:rFonts w:ascii="Times New Roman" w:hAnsi="Times New Roman"/>
          <w:sz w:val="20"/>
        </w:rPr>
        <w:t xml:space="preserve">” as such term is defined in any Credit Agreement Document, any Initial Additional First-Lien Document (as defined in the First-Lien Intercreditor Agreement) or any other First-Lien Debt Document or any other assets of the Company or any other Grantor with respect to which a Lien is granted or purported to be granted pursuant to a First-Lien Collateral Document as security for any First-Lien Obligation. </w:t>
      </w:r>
    </w:p>
    <w:p>
      <w:pPr>
        <w:pStyle w:val="TextBody"/>
        <w:bidi w:val="0"/>
        <w:spacing w:before="240" w:after="0"/>
        <w:jc w:val="left"/>
        <w:rPr/>
      </w:pPr>
      <w:r>
        <w:rPr/>
        <w:t>“</w:t>
      </w:r>
      <w:r>
        <w:rPr>
          <w:rFonts w:ascii="Times New Roman" w:hAnsi="Times New Roman"/>
          <w:sz w:val="20"/>
          <w:u w:val="single"/>
        </w:rPr>
        <w:t>First-Lien Collateral Agent</w:t>
      </w:r>
      <w:r>
        <w:rPr>
          <w:rFonts w:ascii="Times New Roman" w:hAnsi="Times New Roman"/>
          <w:sz w:val="20"/>
        </w:rPr>
        <w:t>” means “</w:t>
      </w:r>
      <w:r>
        <w:rPr>
          <w:rFonts w:ascii="Times New Roman" w:hAnsi="Times New Roman"/>
          <w:sz w:val="20"/>
          <w:u w:val="single"/>
        </w:rPr>
        <w:t>Collateral Agent</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First-Lien Collateral Documents</w:t>
      </w:r>
      <w:r>
        <w:rPr>
          <w:rFonts w:ascii="Times New Roman" w:hAnsi="Times New Roman"/>
          <w:sz w:val="20"/>
        </w:rPr>
        <w:t>” means “</w:t>
      </w:r>
      <w:r>
        <w:rPr>
          <w:rFonts w:ascii="Times New Roman" w:hAnsi="Times New Roman"/>
          <w:sz w:val="20"/>
          <w:u w:val="single"/>
        </w:rPr>
        <w:t>First-Lien Security Documents</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First-Lien Debt Documents</w:t>
      </w:r>
      <w:r>
        <w:rPr>
          <w:rFonts w:ascii="Times New Roman" w:hAnsi="Times New Roman"/>
          <w:sz w:val="20"/>
        </w:rPr>
        <w:t xml:space="preserve">” means (a) the Credit Agreement Documents and (b) any Additional First-Lien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First-Lien Facilities</w:t>
      </w:r>
      <w:r>
        <w:rPr>
          <w:rFonts w:ascii="Times New Roman" w:hAnsi="Times New Roman"/>
          <w:sz w:val="20"/>
        </w:rPr>
        <w:t xml:space="preserve">” means the Credit Agreement Documents (and the facilities and Credit Agreement Obligations pursuant thereto) and the Additional First-Lien Debt Facilities. </w:t>
      </w:r>
    </w:p>
    <w:p>
      <w:pPr>
        <w:pStyle w:val="TextBody"/>
        <w:bidi w:val="0"/>
        <w:spacing w:before="240" w:after="0"/>
        <w:jc w:val="left"/>
        <w:rPr/>
      </w:pPr>
      <w:r>
        <w:rPr/>
        <w:t>“</w:t>
      </w:r>
      <w:r>
        <w:rPr>
          <w:rFonts w:ascii="Times New Roman" w:hAnsi="Times New Roman"/>
          <w:sz w:val="20"/>
          <w:u w:val="single"/>
        </w:rPr>
        <w:t>First-Lien Intercreditor Agreement</w:t>
      </w:r>
      <w:r>
        <w:rPr>
          <w:rFonts w:ascii="Times New Roman" w:hAnsi="Times New Roman"/>
          <w:sz w:val="20"/>
        </w:rPr>
        <w:t>” means that certain [intercreditor agreement dated as of May 9, 2012 among Holdings, the Company, [</w:t>
      </w:r>
      <w:r>
        <w:rPr>
          <w:rFonts w:ascii="Times New Roman" w:hAnsi="Times New Roman"/>
          <w:i/>
          <w:sz w:val="20"/>
        </w:rPr>
        <w:t>describe applicable parties</w:t>
      </w:r>
      <w:r>
        <w:rPr>
          <w:rFonts w:ascii="Times New Roman" w:hAnsi="Times New Roman"/>
          <w:sz w:val="20"/>
        </w:rPr>
        <w:t xml:space="preserve">], as amended, amended and restated, supplemented or otherwise modified from time to time]10. </w:t>
      </w:r>
    </w:p>
    <w:p>
      <w:pPr>
        <w:pStyle w:val="TextBody"/>
        <w:bidi w:val="0"/>
        <w:spacing w:before="240" w:after="0"/>
        <w:jc w:val="left"/>
        <w:rPr/>
      </w:pPr>
      <w:r>
        <w:rPr/>
        <w:t>“</w:t>
      </w:r>
      <w:r>
        <w:rPr>
          <w:rFonts w:ascii="Times New Roman" w:hAnsi="Times New Roman"/>
          <w:sz w:val="20"/>
          <w:u w:val="single"/>
        </w:rPr>
        <w:t>First-Lien Obligations</w:t>
      </w:r>
      <w:r>
        <w:rPr>
          <w:rFonts w:ascii="Times New Roman" w:hAnsi="Times New Roman"/>
          <w:sz w:val="20"/>
        </w:rPr>
        <w:t>” means “</w:t>
      </w:r>
      <w:r>
        <w:rPr>
          <w:rFonts w:ascii="Times New Roman" w:hAnsi="Times New Roman"/>
          <w:sz w:val="20"/>
          <w:u w:val="single"/>
        </w:rPr>
        <w:t>First-Lien Obligations</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First-Lien Secured Parties</w:t>
      </w:r>
      <w:r>
        <w:rPr>
          <w:rFonts w:ascii="Times New Roman" w:hAnsi="Times New Roman"/>
          <w:sz w:val="20"/>
        </w:rPr>
        <w:t>” means the “</w:t>
      </w:r>
      <w:r>
        <w:rPr>
          <w:rFonts w:ascii="Times New Roman" w:hAnsi="Times New Roman"/>
          <w:sz w:val="20"/>
          <w:u w:val="single"/>
        </w:rPr>
        <w:t>First-Lien Secured Parties</w:t>
      </w:r>
      <w:r>
        <w:rPr>
          <w:rFonts w:ascii="Times New Roman" w:hAnsi="Times New Roman"/>
          <w:sz w:val="20"/>
        </w:rPr>
        <w:t xml:space="preserve">”, as such term is defined in the First-Lien Intercreditor Agreement. </w:t>
      </w:r>
    </w:p>
    <w:p>
      <w:pPr>
        <w:pStyle w:val="TextBody"/>
        <w:bidi w:val="0"/>
        <w:spacing w:before="240" w:after="0"/>
        <w:jc w:val="left"/>
        <w:rPr/>
      </w:pPr>
      <w:r>
        <w:rPr/>
        <w:t>“</w:t>
      </w:r>
      <w:r>
        <w:rPr>
          <w:rFonts w:ascii="Times New Roman" w:hAnsi="Times New Roman"/>
          <w:sz w:val="20"/>
          <w:u w:val="single"/>
        </w:rPr>
        <w:t>Grantors</w:t>
      </w:r>
      <w:r>
        <w:rPr>
          <w:rFonts w:ascii="Times New Roman" w:hAnsi="Times New Roman"/>
          <w:sz w:val="20"/>
        </w:rPr>
        <w:t xml:space="preserve">” shall mean the Company, Holdings, each other Loan Party (as defined in the Credit Agreement) and each of the Company’s Subsidiaries and each other direct or indirect parent company or subsidiary of the Company which has granted a security interest pursuant to any Collateral Document to secure any Secured Obligations. The Grantors existing on the date hereof are set forth in </w:t>
      </w:r>
      <w:r>
        <w:rPr>
          <w:rFonts w:ascii="Times New Roman" w:hAnsi="Times New Roman"/>
          <w:sz w:val="20"/>
          <w:u w:val="single"/>
        </w:rPr>
        <w:t>Annex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has the meaning assigned to such term in the introductory paragraph hereof. </w:t>
      </w:r>
    </w:p>
    <w:p>
      <w:pPr>
        <w:pStyle w:val="TextBody"/>
        <w:bidi w:val="0"/>
        <w:spacing w:before="240" w:after="0"/>
        <w:jc w:val="left"/>
        <w:rPr/>
      </w:pPr>
      <w:r>
        <w:rPr/>
        <w:t>“</w:t>
      </w:r>
      <w:r>
        <w:rPr>
          <w:rFonts w:ascii="Times New Roman" w:hAnsi="Times New Roman"/>
          <w:sz w:val="20"/>
          <w:u w:val="single"/>
        </w:rPr>
        <w:t>Initial Additional First-Lien Agreement</w:t>
      </w:r>
      <w:r>
        <w:rPr>
          <w:rFonts w:ascii="Times New Roman" w:hAnsi="Times New Roman"/>
          <w:sz w:val="20"/>
        </w:rPr>
        <w:t xml:space="preserve">” has the meaning assigned to such term in the first recital hereof. </w:t>
      </w:r>
    </w:p>
    <w:p>
      <w:pPr>
        <w:pStyle w:val="TextBody"/>
        <w:bidi w:val="0"/>
        <w:spacing w:before="240" w:after="0"/>
        <w:jc w:val="left"/>
        <w:rPr/>
      </w:pPr>
      <w:r>
        <w:rPr/>
        <w:t>“</w:t>
      </w:r>
      <w:r>
        <w:rPr>
          <w:rFonts w:ascii="Times New Roman" w:hAnsi="Times New Roman"/>
          <w:sz w:val="20"/>
          <w:u w:val="single"/>
        </w:rPr>
        <w:t>Initial Additional First-Lien Authorized Representative</w:t>
      </w:r>
      <w:r>
        <w:rPr>
          <w:rFonts w:ascii="Times New Roman" w:hAnsi="Times New Roman"/>
          <w:sz w:val="20"/>
        </w:rPr>
        <w:t xml:space="preserve">” has the meaning assigned to such term in the introductory paragraph hereof. </w:t>
      </w:r>
    </w:p>
    <w:p>
      <w:pPr>
        <w:pStyle w:val="TextBody"/>
        <w:bidi w:val="0"/>
        <w:spacing w:before="240" w:after="0"/>
        <w:jc w:val="left"/>
        <w:rPr/>
      </w:pPr>
      <w:r>
        <w:rPr/>
        <w:t>“</w:t>
      </w:r>
      <w:r>
        <w:rPr>
          <w:rFonts w:ascii="Times New Roman" w:hAnsi="Times New Roman"/>
          <w:sz w:val="20"/>
          <w:u w:val="single"/>
        </w:rPr>
        <w:t>Initial Additional First-Lien Collateral Agent</w:t>
      </w:r>
      <w:r>
        <w:rPr>
          <w:rFonts w:ascii="Times New Roman" w:hAnsi="Times New Roman"/>
          <w:sz w:val="20"/>
        </w:rPr>
        <w:t xml:space="preserve">” has the meaning assigned to such term in the introductory paragraph hereof. </w:t>
      </w:r>
    </w:p>
    <w:p>
      <w:pPr>
        <w:pStyle w:val="TextBody"/>
        <w:bidi w:val="0"/>
        <w:spacing w:before="240" w:after="0"/>
        <w:jc w:val="left"/>
        <w:rPr/>
      </w:pPr>
      <w:r>
        <w:rPr/>
        <w:t>“</w:t>
      </w:r>
      <w:r>
        <w:rPr>
          <w:rFonts w:ascii="Times New Roman" w:hAnsi="Times New Roman"/>
          <w:sz w:val="20"/>
          <w:u w:val="single"/>
        </w:rPr>
        <w:t>Initial Additional First-Lien Obligations</w:t>
      </w:r>
      <w:r>
        <w:rPr>
          <w:rFonts w:ascii="Times New Roman" w:hAnsi="Times New Roman"/>
          <w:sz w:val="20"/>
        </w:rPr>
        <w:t xml:space="preserve">” has the meaning assigned to such term in the First-Lien Intercreditor Agreement. </w:t>
      </w:r>
    </w:p>
    <w:p>
      <w:pPr>
        <w:pStyle w:val="TextBody"/>
        <w:bidi w:val="0"/>
        <w:spacing w:before="240" w:after="0"/>
        <w:jc w:val="left"/>
        <w:rPr/>
      </w:pPr>
      <w:r>
        <w:rPr/>
        <w:t>“</w:t>
      </w:r>
      <w:r>
        <w:rPr>
          <w:rFonts w:ascii="Times New Roman" w:hAnsi="Times New Roman"/>
          <w:sz w:val="20"/>
          <w:u w:val="single"/>
        </w:rPr>
        <w:t>Initial Additional First-Lien Secured Parties</w:t>
      </w:r>
      <w:r>
        <w:rPr>
          <w:rFonts w:ascii="Times New Roman" w:hAnsi="Times New Roman"/>
          <w:sz w:val="20"/>
        </w:rPr>
        <w:t xml:space="preserve">” has the meaning assigned to such term in the First-Lien Intercreditor Agreement. </w:t>
      </w:r>
    </w:p>
    <w:p>
      <w:pPr>
        <w:pStyle w:val="TextBody"/>
        <w:bidi w:val="0"/>
        <w:spacing w:before="240" w:after="0"/>
        <w:jc w:val="left"/>
        <w:rPr/>
      </w:pPr>
      <w:r>
        <w:rPr/>
        <w:t>“</w:t>
      </w:r>
      <w:r>
        <w:rPr>
          <w:rFonts w:ascii="Times New Roman" w:hAnsi="Times New Roman"/>
          <w:sz w:val="20"/>
          <w:u w:val="single"/>
        </w:rPr>
        <w:t>Initial Junior-Lien Authorized Representative</w:t>
      </w:r>
      <w:r>
        <w:rPr>
          <w:rFonts w:ascii="Times New Roman" w:hAnsi="Times New Roman"/>
          <w:sz w:val="20"/>
        </w:rPr>
        <w:t xml:space="preserve">” has the meaning assigned to such term in the introductory paragraph to this Agreement. </w:t>
      </w:r>
    </w:p>
    <w:p>
      <w:pPr>
        <w:pStyle w:val="TextBody"/>
        <w:bidi w:val="0"/>
        <w:spacing w:before="240" w:after="0"/>
        <w:jc w:val="left"/>
        <w:rPr/>
      </w:pPr>
      <w:r>
        <w:rPr/>
        <w:t>“</w:t>
      </w:r>
      <w:r>
        <w:rPr>
          <w:rFonts w:ascii="Times New Roman" w:hAnsi="Times New Roman"/>
          <w:sz w:val="20"/>
          <w:u w:val="single"/>
        </w:rPr>
        <w:t>Initial Junior-Lien Collateral Agent</w:t>
      </w:r>
      <w:r>
        <w:rPr>
          <w:rFonts w:ascii="Times New Roman" w:hAnsi="Times New Roman"/>
          <w:sz w:val="20"/>
        </w:rPr>
        <w:t xml:space="preserve">” has the meaning assigned to such term in the introductory paragraph to this Agreement. </w:t>
      </w:r>
    </w:p>
    <w:p>
      <w:pPr>
        <w:pStyle w:val="TextBody"/>
        <w:bidi w:val="0"/>
        <w:spacing w:before="240" w:after="0"/>
        <w:jc w:val="left"/>
        <w:rPr/>
      </w:pPr>
      <w:r>
        <w:rPr/>
        <w:t>“</w:t>
      </w:r>
      <w:r>
        <w:rPr>
          <w:rFonts w:ascii="Times New Roman" w:hAnsi="Times New Roman"/>
          <w:sz w:val="20"/>
          <w:u w:val="single"/>
        </w:rPr>
        <w:t>Initial Junior-Lien Collateral Documents</w:t>
      </w:r>
      <w:r>
        <w:rPr>
          <w:rFonts w:ascii="Times New Roman" w:hAnsi="Times New Roman"/>
          <w:sz w:val="20"/>
        </w:rPr>
        <w:t xml:space="preserve">” means any collateral agreements, security agreements and any other documents now existing or entered into after the date hereof that create Liens on any assets or properties of any Grantor to secure the Initial Junior-Lien Obligations.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modified, as necessary, to properly reflect the parties to such agreement at the time this Agreement is entered into.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Initial Junior-Lien Debt</w:t>
      </w:r>
      <w:r>
        <w:rPr>
          <w:rFonts w:ascii="Times New Roman" w:hAnsi="Times New Roman"/>
          <w:sz w:val="20"/>
        </w:rPr>
        <w:t xml:space="preserve">” means the Junior-Lien Debt incurred pursuant to the Initial Junior-Lien Debt Documents. </w:t>
      </w:r>
    </w:p>
    <w:p>
      <w:pPr>
        <w:pStyle w:val="TextBody"/>
        <w:bidi w:val="0"/>
        <w:spacing w:before="240" w:after="0"/>
        <w:jc w:val="left"/>
        <w:rPr/>
      </w:pPr>
      <w:r>
        <w:rPr/>
        <w:t>“</w:t>
      </w:r>
      <w:r>
        <w:rPr>
          <w:rFonts w:ascii="Times New Roman" w:hAnsi="Times New Roman"/>
          <w:sz w:val="20"/>
          <w:u w:val="single"/>
        </w:rPr>
        <w:t>Initial Junior-Lien Debt Documents</w:t>
      </w:r>
      <w:r>
        <w:rPr>
          <w:rFonts w:ascii="Times New Roman" w:hAnsi="Times New Roman"/>
          <w:sz w:val="20"/>
        </w:rPr>
        <w:t>” means the [</w:t>
      </w:r>
      <w:r>
        <w:rPr>
          <w:rFonts w:ascii="Times New Roman" w:hAnsi="Times New Roman"/>
          <w:sz w:val="20"/>
          <w:u w:val="single"/>
        </w:rPr>
        <w:t>     </w:t>
      </w:r>
      <w:r>
        <w:rPr>
          <w:rFonts w:ascii="Times New Roman" w:hAnsi="Times New Roman"/>
          <w:sz w:val="20"/>
        </w:rPr>
        <w:t xml:space="preserve">] and any notes, guaranties, security documents and other operative agreements evidencing or governing such Indebtedness, including the Initial Junior-Lien Collateral Documents. </w:t>
      </w:r>
    </w:p>
    <w:p>
      <w:pPr>
        <w:pStyle w:val="TextBody"/>
        <w:bidi w:val="0"/>
        <w:spacing w:before="240" w:after="0"/>
        <w:jc w:val="left"/>
        <w:rPr/>
      </w:pPr>
      <w:r>
        <w:rPr/>
        <w:t>“</w:t>
      </w:r>
      <w:r>
        <w:rPr>
          <w:rFonts w:ascii="Times New Roman" w:hAnsi="Times New Roman"/>
          <w:sz w:val="20"/>
          <w:u w:val="single"/>
        </w:rPr>
        <w:t>Initial Junior-Lien Obligations</w:t>
      </w:r>
      <w:r>
        <w:rPr>
          <w:rFonts w:ascii="Times New Roman" w:hAnsi="Times New Roman"/>
          <w:sz w:val="20"/>
        </w:rPr>
        <w:t xml:space="preserve">” means the Junior-Lien Obligations arising pursuant to the Initial Junior-Lien Debt Documents. </w:t>
      </w:r>
    </w:p>
    <w:p>
      <w:pPr>
        <w:pStyle w:val="TextBody"/>
        <w:bidi w:val="0"/>
        <w:spacing w:before="240" w:after="0"/>
        <w:jc w:val="left"/>
        <w:rPr/>
      </w:pPr>
      <w:r>
        <w:rPr/>
        <w:t>“</w:t>
      </w:r>
      <w:r>
        <w:rPr>
          <w:rFonts w:ascii="Times New Roman" w:hAnsi="Times New Roman"/>
          <w:sz w:val="20"/>
          <w:u w:val="single"/>
        </w:rPr>
        <w:t>Initial Junior-Lien Secured Parties</w:t>
      </w:r>
      <w:r>
        <w:rPr>
          <w:rFonts w:ascii="Times New Roman" w:hAnsi="Times New Roman"/>
          <w:sz w:val="20"/>
        </w:rPr>
        <w:t xml:space="preserve">” means the holders of any Initial Junior-Lien Obligations, the Initial Junior-Lien Collateral Agent and the Initial Junior-Lien Authorized Representative, in each case, solely in such party’s capacity as a holder of, or agent, trustee or similar representative for the holders of, Initial Junior-Lien Debt. </w:t>
      </w:r>
    </w:p>
    <w:p>
      <w:pPr>
        <w:pStyle w:val="TextBody"/>
        <w:bidi w:val="0"/>
        <w:spacing w:before="240" w:after="0"/>
        <w:jc w:val="left"/>
        <w:rPr/>
      </w:pPr>
      <w:r>
        <w:rPr/>
        <w:t>“</w:t>
      </w:r>
      <w:r>
        <w:rPr>
          <w:rFonts w:ascii="Times New Roman" w:hAnsi="Times New Roman"/>
          <w:sz w:val="20"/>
          <w:u w:val="single"/>
        </w:rPr>
        <w:t>Insolvency or Liquidation Proceeding</w:t>
      </w:r>
      <w:r>
        <w:rPr>
          <w:rFonts w:ascii="Times New Roman" w:hAnsi="Times New Roman"/>
          <w:sz w:val="20"/>
        </w:rPr>
        <w:t xml:space="preserve">” means: (a) any case commenced by or against the Company or any other Grantor under any Bankruptcy Law, any other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 (b) any liquidation, dissolution, marshalling of assets or liabilities or other winding up of or relating to the Company or any other Grantor, in each case whether or not voluntary and whether or not involving bankruptcy or insolvency; or (c) any other proceeding of any type or nature in which substantially all claims of creditors of the Company or any other Grantor are determined and any payment or distribution is or may be made on account of such claims.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trademarks, service marks, trade names, domain names, copyrights, patents, patent rights, technology, software, know-how database rights, design rights, license rights with respect to the foregoing and other intellectual property rights. </w:t>
      </w:r>
    </w:p>
    <w:p>
      <w:pPr>
        <w:pStyle w:val="TextBody"/>
        <w:bidi w:val="0"/>
        <w:spacing w:before="240" w:after="0"/>
        <w:jc w:val="left"/>
        <w:rPr/>
      </w:pPr>
      <w:r>
        <w:rPr/>
        <w:t>“</w:t>
      </w:r>
      <w:r>
        <w:rPr>
          <w:rFonts w:ascii="Times New Roman" w:hAnsi="Times New Roman"/>
          <w:sz w:val="20"/>
          <w:u w:val="single"/>
        </w:rPr>
        <w:t>Joinder Agreement</w:t>
      </w:r>
      <w:r>
        <w:rPr>
          <w:rFonts w:ascii="Times New Roman" w:hAnsi="Times New Roman"/>
          <w:sz w:val="20"/>
        </w:rPr>
        <w:t xml:space="preserve">” means, as applicable, (a) a joinder to this Agreement in the form of </w:t>
      </w:r>
      <w:r>
        <w:rPr>
          <w:rFonts w:ascii="Times New Roman" w:hAnsi="Times New Roman"/>
          <w:sz w:val="20"/>
          <w:u w:val="single"/>
        </w:rPr>
        <w:t>Annex III</w:t>
      </w:r>
      <w:r>
        <w:rPr>
          <w:rFonts w:ascii="Times New Roman" w:hAnsi="Times New Roman"/>
          <w:sz w:val="20"/>
        </w:rPr>
        <w:t xml:space="preserve"> hereto required to be delivered pursuant to </w:t>
      </w:r>
      <w:r>
        <w:rPr>
          <w:rFonts w:ascii="Times New Roman" w:hAnsi="Times New Roman"/>
          <w:sz w:val="20"/>
          <w:u w:val="single"/>
        </w:rPr>
        <w:t>Section 8.8(a)</w:t>
      </w:r>
      <w:r>
        <w:rPr>
          <w:rFonts w:ascii="Times New Roman" w:hAnsi="Times New Roman"/>
          <w:sz w:val="20"/>
        </w:rPr>
        <w:t xml:space="preserve"> hereof in order to include an Junior-Lien Debt Facility hereunder and add Authorized Representatives hereunder for the Junior-Lien Secured Parties under such Junior-Lien Debt Facility and (b) a joinder to this Agreement in the form of </w:t>
      </w:r>
      <w:r>
        <w:rPr>
          <w:rFonts w:ascii="Times New Roman" w:hAnsi="Times New Roman"/>
          <w:sz w:val="20"/>
          <w:u w:val="single"/>
        </w:rPr>
        <w:t>Annex IV</w:t>
      </w:r>
      <w:r>
        <w:rPr>
          <w:rFonts w:ascii="Times New Roman" w:hAnsi="Times New Roman"/>
          <w:sz w:val="20"/>
        </w:rPr>
        <w:t xml:space="preserve"> hereto delivered pursuant to </w:t>
      </w:r>
      <w:r>
        <w:rPr>
          <w:rFonts w:ascii="Times New Roman" w:hAnsi="Times New Roman"/>
          <w:sz w:val="20"/>
          <w:u w:val="single"/>
        </w:rPr>
        <w:t>Section 8.8(b)</w:t>
      </w:r>
      <w:r>
        <w:rPr>
          <w:rFonts w:ascii="Times New Roman" w:hAnsi="Times New Roman"/>
          <w:sz w:val="20"/>
        </w:rPr>
        <w:t xml:space="preserve"> hereof to add Authorized Representatives hereunder for the First-Lien Secured Parties under any Additional First-Lien Debt. </w:t>
      </w:r>
    </w:p>
    <w:p>
      <w:pPr>
        <w:pStyle w:val="TextBody"/>
        <w:bidi w:val="0"/>
        <w:spacing w:before="240" w:after="0"/>
        <w:jc w:val="left"/>
        <w:rPr/>
      </w:pPr>
      <w:r>
        <w:rPr/>
        <w:t>“</w:t>
      </w:r>
      <w:r>
        <w:rPr>
          <w:rFonts w:ascii="Times New Roman" w:hAnsi="Times New Roman"/>
          <w:sz w:val="20"/>
          <w:u w:val="single"/>
        </w:rPr>
        <w:t>Junior-Lien</w:t>
      </w:r>
      <w:r>
        <w:rPr>
          <w:rFonts w:ascii="Times New Roman" w:hAnsi="Times New Roman"/>
          <w:sz w:val="20"/>
        </w:rPr>
        <w:t xml:space="preserve">” means the Liens on the Junior-Lien Collateral in favor of Junior-Lien Secured Parties under Junior-Lien Collateral Documents. </w:t>
      </w:r>
    </w:p>
    <w:p>
      <w:pPr>
        <w:pStyle w:val="TextBody"/>
        <w:bidi w:val="0"/>
        <w:spacing w:before="240" w:after="0"/>
        <w:jc w:val="left"/>
        <w:rPr/>
      </w:pPr>
      <w:r>
        <w:rPr/>
        <w:t>“</w:t>
      </w:r>
      <w:r>
        <w:rPr>
          <w:rFonts w:ascii="Times New Roman" w:hAnsi="Times New Roman"/>
          <w:sz w:val="20"/>
          <w:u w:val="single"/>
        </w:rPr>
        <w:t>Junior-Lien Authorized Representative</w:t>
      </w:r>
      <w:r>
        <w:rPr>
          <w:rFonts w:ascii="Times New Roman" w:hAnsi="Times New Roman"/>
          <w:sz w:val="20"/>
        </w:rPr>
        <w:t xml:space="preserve">” means (i) in the case of any Junior-Lien Obligations or the Initial Junior-Lien Secured Parties, the Initial Junior-Lien Authorized Representative and (ii) in the case of any other additional class or series of Junior-Lien Obligations or Junior-Lien Secured Parties that become subject to this Agreement after the date hereof, the Authorized Representative named for such additional class or series in the applicable Joinder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Junior-Lien Collateral</w:t>
      </w:r>
      <w:r>
        <w:rPr>
          <w:rFonts w:ascii="Times New Roman" w:hAnsi="Times New Roman"/>
          <w:sz w:val="20"/>
        </w:rPr>
        <w:t>” means any “</w:t>
      </w:r>
      <w:r>
        <w:rPr>
          <w:rFonts w:ascii="Times New Roman" w:hAnsi="Times New Roman"/>
          <w:sz w:val="20"/>
          <w:u w:val="single"/>
        </w:rPr>
        <w:t>Collateral</w:t>
      </w:r>
      <w:r>
        <w:rPr>
          <w:rFonts w:ascii="Times New Roman" w:hAnsi="Times New Roman"/>
          <w:sz w:val="20"/>
        </w:rPr>
        <w:t xml:space="preserve">” as such term is defined in any Junior-Lien Debt Document or any other assets of the Company or any other Grantor with respect to which a Lien is granted or purported to be granted pursuant to a Junior-Lien Collateral Document as security for any Junior-Lien Obligation. </w:t>
      </w:r>
    </w:p>
    <w:p>
      <w:pPr>
        <w:pStyle w:val="TextBody"/>
        <w:bidi w:val="0"/>
        <w:spacing w:before="240" w:after="0"/>
        <w:jc w:val="left"/>
        <w:rPr/>
      </w:pPr>
      <w:r>
        <w:rPr/>
        <w:t>“</w:t>
      </w:r>
      <w:r>
        <w:rPr>
          <w:rFonts w:ascii="Times New Roman" w:hAnsi="Times New Roman"/>
          <w:sz w:val="20"/>
          <w:u w:val="single"/>
        </w:rPr>
        <w:t>Junior-Lien Collateral Agent</w:t>
      </w:r>
      <w:r>
        <w:rPr>
          <w:rFonts w:ascii="Times New Roman" w:hAnsi="Times New Roman"/>
          <w:sz w:val="20"/>
        </w:rPr>
        <w:t xml:space="preserve">” means (i) in the case of the Initial Junior-Lien Obligations, the Initial Junior-Lien Collateral Agent and (ii) in the case of Additional Junior-Lien Debt, the Additional Junior-Lien Collateral Agent for such class or series. If at any time, the Authorized Representative for a given class or series of Junior-Lien Debt is also acting as the Collateral Agent for such class or series, then any reference to a Collateral Agent contained herein will be deemed to include such Authorized Representative acting as such. </w:t>
      </w:r>
    </w:p>
    <w:p>
      <w:pPr>
        <w:pStyle w:val="TextBody"/>
        <w:bidi w:val="0"/>
        <w:spacing w:before="240" w:after="0"/>
        <w:jc w:val="left"/>
        <w:rPr/>
      </w:pPr>
      <w:r>
        <w:rPr/>
        <w:t>“</w:t>
      </w:r>
      <w:r>
        <w:rPr>
          <w:rFonts w:ascii="Times New Roman" w:hAnsi="Times New Roman"/>
          <w:sz w:val="20"/>
          <w:u w:val="single"/>
        </w:rPr>
        <w:t>Junior-Lien Collateral Documents</w:t>
      </w:r>
      <w:r>
        <w:rPr>
          <w:rFonts w:ascii="Times New Roman" w:hAnsi="Times New Roman"/>
          <w:sz w:val="20"/>
        </w:rPr>
        <w:t xml:space="preserve">” means the Initial Junior-Lien Collateral Documents and each of the security agreements and other instruments and documents executed and delivered by the Company or any other Grantor for purposes of providing collateral security for any Junior-Lien Obligation. </w:t>
      </w:r>
    </w:p>
    <w:p>
      <w:pPr>
        <w:pStyle w:val="TextBody"/>
        <w:bidi w:val="0"/>
        <w:spacing w:before="240" w:after="0"/>
        <w:jc w:val="left"/>
        <w:rPr/>
      </w:pPr>
      <w:r>
        <w:rPr/>
        <w:t>“</w:t>
      </w:r>
      <w:r>
        <w:rPr>
          <w:rFonts w:ascii="Times New Roman" w:hAnsi="Times New Roman"/>
          <w:sz w:val="20"/>
          <w:u w:val="single"/>
        </w:rPr>
        <w:t>Junior-Lien Debt</w:t>
      </w:r>
      <w:r>
        <w:rPr>
          <w:rFonts w:ascii="Times New Roman" w:hAnsi="Times New Roman"/>
          <w:sz w:val="20"/>
        </w:rPr>
        <w:t xml:space="preserve">” means the Initial Junior-Lien Debt and any other Indebtedness of the Company, which is secured by the Junior-Lien Collateral on a pari passu basis (but without regard to control of remedies, other than as provided by the terms of the applicable Junior-Lien Debt Documents) with any other Junior-Lien Obligations (if any other Junior-Lien Debt Obligations are then outstanding) and the applicable Junior-Lien Debt Documents of which provide that such Indebtedness is to be secured by such Junior-Lien Collateral on a junior and subordinate basis to the Liens securing the First-Lien Obligations (and which is not secured by Liens on any assets of the Company or any Subsidiary or other Grantor which are not included in the First-Lien Collateral);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such Indebtedness is permitted to be incurred, and secured on such basis by each First-Lien Debt Document and Junior-Lien Debt Document and (ii) except in the case of the Initial Junior-Lien Debt hereunder, the Authorized Representative for the holders of such Indebtedness shall have become party to this Agreement pursuant to, and by satisfying the conditions set forth in, </w:t>
      </w:r>
      <w:r>
        <w:rPr>
          <w:rFonts w:ascii="Times New Roman" w:hAnsi="Times New Roman"/>
          <w:sz w:val="20"/>
          <w:u w:val="single"/>
        </w:rPr>
        <w:t>Section 8.8(a)</w:t>
      </w:r>
      <w:r>
        <w:rPr>
          <w:rFonts w:ascii="Times New Roman" w:hAnsi="Times New Roman"/>
          <w:sz w:val="20"/>
        </w:rPr>
        <w:t xml:space="preserve">. Junior-Lien Debt shall include any Registered Equivalent Notes and Guarantees thereof by the Grantors issued in exchange therefor. </w:t>
      </w:r>
    </w:p>
    <w:p>
      <w:pPr>
        <w:pStyle w:val="TextBody"/>
        <w:bidi w:val="0"/>
        <w:spacing w:before="240" w:after="0"/>
        <w:jc w:val="left"/>
        <w:rPr/>
      </w:pPr>
      <w:r>
        <w:rPr/>
        <w:t>“</w:t>
      </w:r>
      <w:r>
        <w:rPr>
          <w:rFonts w:ascii="Times New Roman" w:hAnsi="Times New Roman"/>
          <w:sz w:val="20"/>
          <w:u w:val="single"/>
        </w:rPr>
        <w:t>Junior-Lien Debt Documents</w:t>
      </w:r>
      <w:r>
        <w:rPr>
          <w:rFonts w:ascii="Times New Roman" w:hAnsi="Times New Roman"/>
          <w:sz w:val="20"/>
        </w:rPr>
        <w:t xml:space="preserve">” means the Initial Junior-Lien Debt Documents and, with respect to any series, issue or class of Junior-Lien Debt, the promissory notes, indentures, Collateral Documents or other operative agreements evidencing or governing such Indebtedness, including the Junior-Lien Collateral Documents. </w:t>
      </w:r>
    </w:p>
    <w:p>
      <w:pPr>
        <w:pStyle w:val="TextBody"/>
        <w:bidi w:val="0"/>
        <w:spacing w:before="240" w:after="0"/>
        <w:jc w:val="left"/>
        <w:rPr/>
      </w:pPr>
      <w:r>
        <w:rPr/>
        <w:t>“</w:t>
      </w:r>
      <w:r>
        <w:rPr>
          <w:rFonts w:ascii="Times New Roman" w:hAnsi="Times New Roman"/>
          <w:sz w:val="20"/>
          <w:u w:val="single"/>
        </w:rPr>
        <w:t>Junior-Lien Debt Facility</w:t>
      </w:r>
      <w:r>
        <w:rPr>
          <w:rFonts w:ascii="Times New Roman" w:hAnsi="Times New Roman"/>
          <w:sz w:val="20"/>
        </w:rPr>
        <w:t xml:space="preserve">” means each indenture, credit agreement or other governing agreement with respect to any Junior-Lien Debt. </w:t>
      </w:r>
    </w:p>
    <w:p>
      <w:pPr>
        <w:pStyle w:val="TextBody"/>
        <w:bidi w:val="0"/>
        <w:spacing w:before="240" w:after="0"/>
        <w:jc w:val="left"/>
        <w:rPr/>
      </w:pPr>
      <w:r>
        <w:rPr/>
        <w:t>“</w:t>
      </w:r>
      <w:r>
        <w:rPr>
          <w:rFonts w:ascii="Times New Roman" w:hAnsi="Times New Roman"/>
          <w:sz w:val="20"/>
          <w:u w:val="single"/>
        </w:rPr>
        <w:t>Junior-Lien Instructing Group</w:t>
      </w:r>
      <w:r>
        <w:rPr>
          <w:rFonts w:ascii="Times New Roman" w:hAnsi="Times New Roman"/>
          <w:sz w:val="20"/>
        </w:rPr>
        <w:t xml:space="preserve">” means holders of at least a majority of the aggregate principal amount of Junior-Lien Obligations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Junior-Lien Obligations</w:t>
      </w:r>
      <w:r>
        <w:rPr>
          <w:rFonts w:ascii="Times New Roman" w:hAnsi="Times New Roman"/>
          <w:sz w:val="20"/>
        </w:rPr>
        <w:t xml:space="preserve">” means all amounts owing to any Junior-Lien Secured Party (including the Initial Junior-Lien Secured Parties) pursuant to the terms of any Junior-Lien Debt Document (including the Initial Junior-Lien Debt Documents), including, without limitation, all amounts in respect of any principal, premium, interest (including any interest accruing subsequent to the commencement of a Bankruptcy Case at the rate provided for in the respective Junior-Lien Debt Document, whether or not allowed or allowable as a claim in any such proceeding) payable with respect to, such Junior-Lien Debt), penalties, fees, expenses, indemnifications, reimbursements, damages and other liabilities, and guarantees of the foregoing amounts. </w:t>
      </w:r>
    </w:p>
    <w:p>
      <w:pPr>
        <w:pStyle w:val="TextBody"/>
        <w:bidi w:val="0"/>
        <w:spacing w:before="240" w:after="0"/>
        <w:jc w:val="left"/>
        <w:rPr/>
      </w:pPr>
      <w:r>
        <w:rPr/>
        <w:t>“</w:t>
      </w:r>
      <w:r>
        <w:rPr>
          <w:rFonts w:ascii="Times New Roman" w:hAnsi="Times New Roman"/>
          <w:sz w:val="20"/>
          <w:u w:val="single"/>
        </w:rPr>
        <w:t>Junior-Lien Secured Parties</w:t>
      </w:r>
      <w:r>
        <w:rPr>
          <w:rFonts w:ascii="Times New Roman" w:hAnsi="Times New Roman"/>
          <w:sz w:val="20"/>
        </w:rPr>
        <w:t xml:space="preserve">” means the Initial Junior-Lien Secured Parties and, with respect to any series, issue or class of Junior-Lien Debt, the holders of such Indebtedness, the Authorized Representative and the Collateral Agent with respect thereto, any trustee or agent therefor under any related Junior-Lien Debt Documents and the beneficiaries of each indemnification obligation undertaken by the Company or any Grantor under any related Junior-Lien Debt Documents, in each case, solely in such party’s capacity as a holder of, or agent, trustee or similar representative for holders of, Junior-Lien Secured Debt. </w:t>
      </w:r>
    </w:p>
    <w:p>
      <w:pPr>
        <w:pStyle w:val="TextBody"/>
        <w:bidi w:val="0"/>
        <w:spacing w:before="240" w:after="0"/>
        <w:jc w:val="left"/>
        <w:rPr/>
      </w:pPr>
      <w:r>
        <w:rPr/>
        <w:t>“</w:t>
      </w:r>
      <w:r>
        <w:rPr>
          <w:rFonts w:ascii="Times New Roman" w:hAnsi="Times New Roman"/>
          <w:sz w:val="20"/>
          <w:u w:val="single"/>
        </w:rPr>
        <w:t>LC Cash Collateral</w:t>
      </w:r>
      <w:r>
        <w:rPr>
          <w:rFonts w:ascii="Times New Roman" w:hAnsi="Times New Roman"/>
          <w:sz w:val="20"/>
        </w:rPr>
        <w:t xml:space="preserve">” has the meaning assigned to such term in </w:t>
      </w:r>
      <w:r>
        <w:rPr>
          <w:rFonts w:ascii="Times New Roman" w:hAnsi="Times New Roman"/>
          <w:sz w:val="20"/>
          <w:u w:val="single"/>
        </w:rPr>
        <w:t>Section 3.7(c)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security interest, hypothecation, assignment, lien (statutory or other) or similar encumbrance (including any agreement to give any of the foregoing), any conditional sale or other title retention agreement or any lease in the nature thereof. </w:t>
      </w:r>
    </w:p>
    <w:p>
      <w:pPr>
        <w:pStyle w:val="TextBody"/>
        <w:bidi w:val="0"/>
        <w:spacing w:before="240" w:after="0"/>
        <w:jc w:val="left"/>
        <w:rPr/>
      </w:pPr>
      <w:r>
        <w:rPr/>
        <w:t>“</w:t>
      </w:r>
      <w:r>
        <w:rPr>
          <w:rFonts w:ascii="Times New Roman" w:hAnsi="Times New Roman"/>
          <w:sz w:val="20"/>
          <w:u w:val="single"/>
        </w:rPr>
        <w:t>Payment Discharge</w:t>
      </w:r>
      <w:r>
        <w:rPr>
          <w:rFonts w:ascii="Times New Roman" w:hAnsi="Times New Roman"/>
          <w:sz w:val="20"/>
        </w:rPr>
        <w:t xml:space="preserve">” has the meaning assigned to such term in </w:t>
      </w:r>
      <w:r>
        <w:rPr>
          <w:rFonts w:ascii="Times New Roman" w:hAnsi="Times New Roman"/>
          <w:sz w:val="20"/>
          <w:u w:val="single"/>
        </w:rPr>
        <w:t>Section 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Pledged or Controlled Collateral</w:t>
      </w:r>
      <w:r>
        <w:rPr>
          <w:rFonts w:ascii="Times New Roman" w:hAnsi="Times New Roman"/>
          <w:sz w:val="20"/>
        </w:rPr>
        <w:t xml:space="preserve">” has the meaning assigned to such term in </w:t>
      </w:r>
      <w:r>
        <w:rPr>
          <w:rFonts w:ascii="Times New Roman" w:hAnsi="Times New Roman"/>
          <w:sz w:val="20"/>
          <w:u w:val="single"/>
        </w:rPr>
        <w:t>Section 5.8(a)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Proceeds</w:t>
      </w:r>
      <w:r>
        <w:rPr>
          <w:rFonts w:ascii="Times New Roman" w:hAnsi="Times New Roman"/>
          <w:sz w:val="20"/>
        </w:rPr>
        <w:t xml:space="preserve">” means the proceeds of any sale, collection or other liquidation of Shared Collateral, any payment or distribution made in respect of Shared Collateral in a Bankruptcy Case and any amounts received by any First-Lien Collateral Agent or any First-Lien Secured Party from a Junior-Lien Secured Party in respect of Shared Collateral pursuant to this Agreement or any other intercreditor agreement. </w:t>
      </w:r>
    </w:p>
    <w:p>
      <w:pPr>
        <w:pStyle w:val="TextBody"/>
        <w:bidi w:val="0"/>
        <w:spacing w:before="240" w:after="0"/>
        <w:jc w:val="left"/>
        <w:rPr/>
      </w:pPr>
      <w:r>
        <w:rPr/>
        <w:t>“</w:t>
      </w:r>
      <w:r>
        <w:rPr>
          <w:rFonts w:ascii="Times New Roman" w:hAnsi="Times New Roman"/>
          <w:sz w:val="20"/>
          <w:u w:val="single"/>
        </w:rPr>
        <w:t>Purchase</w:t>
      </w:r>
      <w:r>
        <w:rPr>
          <w:rFonts w:ascii="Times New Roman" w:hAnsi="Times New Roman"/>
          <w:sz w:val="20"/>
        </w:rPr>
        <w:t xml:space="preserve">” has the meaning assigned to such term in </w:t>
      </w:r>
      <w:r>
        <w:rPr>
          <w:rFonts w:ascii="Times New Roman" w:hAnsi="Times New Roman"/>
          <w:sz w:val="20"/>
          <w:u w:val="single"/>
        </w:rPr>
        <w:t>Section 3.7(b)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 Notice</w:t>
      </w:r>
      <w:r>
        <w:rPr>
          <w:rFonts w:ascii="Times New Roman" w:hAnsi="Times New Roman"/>
          <w:sz w:val="20"/>
        </w:rPr>
        <w:t xml:space="preserve">” has the meaning assigned to such term in </w:t>
      </w:r>
      <w:r>
        <w:rPr>
          <w:rFonts w:ascii="Times New Roman" w:hAnsi="Times New Roman"/>
          <w:sz w:val="20"/>
          <w:u w:val="single"/>
        </w:rPr>
        <w:t>Section 3.7(a)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 Price</w:t>
      </w:r>
      <w:r>
        <w:rPr>
          <w:rFonts w:ascii="Times New Roman" w:hAnsi="Times New Roman"/>
          <w:sz w:val="20"/>
        </w:rPr>
        <w:t xml:space="preserve">” has the meaning assigned to such term in </w:t>
      </w:r>
      <w:r>
        <w:rPr>
          <w:rFonts w:ascii="Times New Roman" w:hAnsi="Times New Roman"/>
          <w:sz w:val="20"/>
          <w:u w:val="single"/>
        </w:rPr>
        <w:t>Section 3.7(c)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Purchasing Parties</w:t>
      </w:r>
      <w:r>
        <w:rPr>
          <w:rFonts w:ascii="Times New Roman" w:hAnsi="Times New Roman"/>
          <w:sz w:val="20"/>
        </w:rPr>
        <w:t xml:space="preserve">” has the meaning assigned to such term in </w:t>
      </w:r>
      <w:r>
        <w:rPr>
          <w:rFonts w:ascii="Times New Roman" w:hAnsi="Times New Roman"/>
          <w:sz w:val="20"/>
          <w:u w:val="single"/>
        </w:rPr>
        <w:t>Section 3.7(b)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Recovery</w:t>
      </w:r>
      <w:r>
        <w:rPr>
          <w:rFonts w:ascii="Times New Roman" w:hAnsi="Times New Roman"/>
          <w:sz w:val="20"/>
        </w:rPr>
        <w:t xml:space="preserve">” has the meaning assigned to such term in </w:t>
      </w:r>
      <w:r>
        <w:rPr>
          <w:rFonts w:ascii="Times New Roman" w:hAnsi="Times New Roman"/>
          <w:sz w:val="20"/>
          <w:u w:val="single"/>
        </w:rPr>
        <w:t>Section 6.5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Refinance</w:t>
      </w:r>
      <w:r>
        <w:rPr>
          <w:rFonts w:ascii="Times New Roman" w:hAnsi="Times New Roman"/>
          <w:sz w:val="20"/>
        </w:rPr>
        <w:t xml:space="preserve">” means, in respect of any indebtedness, to refinance, extend, renew, defease, amend, increase, modify, supplement, restructure, refund, replace or repay, or to issue other indebtedness or enter into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“Refinanced” and “Refinancing” have correlative meanings. </w:t>
      </w:r>
    </w:p>
    <w:p>
      <w:pPr>
        <w:pStyle w:val="TextBody"/>
        <w:bidi w:val="0"/>
        <w:spacing w:before="240" w:after="0"/>
        <w:jc w:val="left"/>
        <w:rPr/>
      </w:pPr>
      <w:r>
        <w:rPr/>
        <w:t>“</w:t>
      </w:r>
      <w:r>
        <w:rPr>
          <w:rFonts w:ascii="Times New Roman" w:hAnsi="Times New Roman"/>
          <w:sz w:val="20"/>
          <w:u w:val="single"/>
        </w:rPr>
        <w:t>Registered Equivalent Notes</w:t>
      </w:r>
      <w:r>
        <w:rPr>
          <w:rFonts w:ascii="Times New Roman" w:hAnsi="Times New Roman"/>
          <w:sz w:val="20"/>
        </w:rPr>
        <w:t xml:space="preserve">” means, with respect to any notes originally issued in a private placement transaction pursuant to the exemption from registration provided by Rule 144A or another rule or regulation under the Securities Act of 1933, as amended, substantially identical notes (having the same Guarantees) issued in a dollar for dollar exchange therefor pursuant to an exchange offer registered with the SEC.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and any successor agency thereto.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means the First-Lien Obligations and the Junior-Lien Obligations.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the First-Lien Secured Parties and the Junior-Lien Secured Parties. </w:t>
      </w:r>
    </w:p>
    <w:p>
      <w:pPr>
        <w:pStyle w:val="TextBody"/>
        <w:bidi w:val="0"/>
        <w:spacing w:before="240" w:after="0"/>
        <w:jc w:val="left"/>
        <w:rPr/>
      </w:pPr>
      <w:r>
        <w:rPr/>
        <w:t>“</w:t>
      </w:r>
      <w:r>
        <w:rPr>
          <w:rFonts w:ascii="Times New Roman" w:hAnsi="Times New Roman"/>
          <w:sz w:val="20"/>
          <w:u w:val="single"/>
        </w:rPr>
        <w:t>Shared Collateral</w:t>
      </w:r>
      <w:r>
        <w:rPr>
          <w:rFonts w:ascii="Times New Roman" w:hAnsi="Times New Roman"/>
          <w:sz w:val="20"/>
        </w:rPr>
        <w:t xml:space="preserve">” means, at any time, Collateral in which the holders of First-Lien Obligations under at least one First-Lien Facility and the holders of Junior-Lien Obligations under at least one Junior-Lien Debt Facility (or, in each case, their Authorized Representatives) hold a security interest at such time, including, without limitation, any assets in which the First-Lien Collateral Agents are automatically deemed to have a Lien pursuant to the provisions of </w:t>
      </w:r>
      <w:r>
        <w:rPr>
          <w:rFonts w:ascii="Times New Roman" w:hAnsi="Times New Roman"/>
          <w:sz w:val="20"/>
          <w:u w:val="single"/>
        </w:rPr>
        <w:t>Section 2.4</w:t>
      </w:r>
      <w:r>
        <w:rPr>
          <w:rFonts w:ascii="Times New Roman" w:hAnsi="Times New Roman"/>
          <w:sz w:val="20"/>
        </w:rPr>
        <w:t xml:space="preserve">. If, at any time, any portion of the First-Lien Collateral under one or more First-Lien Facilities does not constitute Junior-Lien Collateral under one or more Junior-Lien Debt Facilities, then such portion of such First-Lien Collateral shall constitute Shared Collateral only with respect to the Junior-Lien Debt Facilities for which it constitutes Junior-Lien Collateral and shall not constitute Shared Collateral for any Junior-Lien Debt Facility which does not have a security interest in such Collateral at such time. </w:t>
      </w:r>
    </w:p>
    <w:p>
      <w:pPr>
        <w:pStyle w:val="TextBody"/>
        <w:bidi w:val="0"/>
        <w:spacing w:before="240" w:after="0"/>
        <w:jc w:val="left"/>
        <w:rPr/>
      </w:pPr>
      <w:r>
        <w:rPr/>
        <w:t>“</w:t>
      </w:r>
      <w:r>
        <w:rPr>
          <w:rFonts w:ascii="Times New Roman" w:hAnsi="Times New Roman"/>
          <w:sz w:val="20"/>
          <w:u w:val="single"/>
        </w:rPr>
        <w:t>Standstill Period</w:t>
      </w:r>
      <w:r>
        <w:rPr>
          <w:rFonts w:ascii="Times New Roman" w:hAnsi="Times New Roman"/>
          <w:sz w:val="20"/>
        </w:rPr>
        <w:t xml:space="preserve">” has the meaning assigned to such term in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w:t>
      </w:r>
    </w:p>
    <w:p>
      <w:pPr>
        <w:pStyle w:val="TextBody"/>
        <w:bidi w:val="0"/>
        <w:spacing w:before="240" w:after="0"/>
        <w:jc w:val="left"/>
        <w:rPr/>
      </w:pPr>
      <w:r>
        <w:rPr/>
        <w:t>“</w:t>
      </w:r>
      <w:r>
        <w:rPr>
          <w:rFonts w:ascii="Times New Roman" w:hAnsi="Times New Roman"/>
          <w:sz w:val="20"/>
          <w:u w:val="single"/>
        </w:rPr>
        <w:t>Surviving Obligations</w:t>
      </w:r>
      <w:r>
        <w:rPr>
          <w:rFonts w:ascii="Times New Roman" w:hAnsi="Times New Roman"/>
          <w:sz w:val="20"/>
        </w:rPr>
        <w:t xml:space="preserve">” has the meaning assigned to such term in </w:t>
      </w:r>
      <w:r>
        <w:rPr>
          <w:rFonts w:ascii="Times New Roman" w:hAnsi="Times New Roman"/>
          <w:sz w:val="20"/>
          <w:u w:val="single"/>
        </w:rPr>
        <w:t>Section 3.7(b)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Uniform Commercial Code</w:t>
      </w:r>
      <w:r>
        <w:rPr>
          <w:rFonts w:ascii="Times New Roman" w:hAnsi="Times New Roman"/>
          <w:sz w:val="20"/>
        </w:rPr>
        <w:t>” or “</w:t>
      </w:r>
      <w:r>
        <w:rPr>
          <w:rFonts w:ascii="Times New Roman" w:hAnsi="Times New Roman"/>
          <w:sz w:val="20"/>
          <w:u w:val="single"/>
        </w:rPr>
        <w:t>UCC</w:t>
      </w:r>
      <w:r>
        <w:rPr>
          <w:rFonts w:ascii="Times New Roman" w:hAnsi="Times New Roman"/>
          <w:sz w:val="20"/>
        </w:rPr>
        <w:t xml:space="preserve">” means, unless otherwise specified, the Uniform Commercial Code as from time to time in effect in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and (v) unless otherwise expressly qualified herein,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240" w:after="0"/>
        <w:jc w:val="center"/>
        <w:rPr>
          <w:rFonts w:ascii="Times New Roman" w:hAnsi="Times New Roman"/>
          <w:sz w:val="20"/>
        </w:rPr>
      </w:pPr>
      <w:r>
        <w:rPr>
          <w:rFonts w:ascii="Times New Roman" w:hAnsi="Times New Roman"/>
          <w:sz w:val="20"/>
        </w:rPr>
        <w:t>ARTICLE II</w:t>
      </w:r>
      <w:r>
        <w:rPr>
          <w:rFonts w:ascii="Times New Roman" w:hAnsi="Times New Roman"/>
          <w:sz w:val="20"/>
          <w:u w:val="single"/>
        </w:rPr>
        <w:t xml:space="preserve"> </w:t>
      </w:r>
    </w:p>
    <w:p>
      <w:pPr>
        <w:pStyle w:val="TextBody"/>
        <w:bidi w:val="0"/>
        <w:spacing w:before="0" w:after="0"/>
        <w:jc w:val="center"/>
        <w:rPr>
          <w:rFonts w:ascii="Times New Roman" w:hAnsi="Times New Roman"/>
          <w:sz w:val="20"/>
        </w:rPr>
      </w:pPr>
      <w:r>
        <w:rPr>
          <w:rFonts w:ascii="Times New Roman" w:hAnsi="Times New Roman"/>
          <w:sz w:val="20"/>
          <w:u w:val="single"/>
        </w:rPr>
        <w:t>Priorities and Agreements with Respect to Shared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Subordination of Liens</w:t>
      </w:r>
      <w:r>
        <w:rPr>
          <w:rFonts w:ascii="Times New Roman" w:hAnsi="Times New Roman"/>
          <w:sz w:val="20"/>
        </w:rPr>
        <w:t xml:space="preserve">. Notwithstanding the date, time, method, manner or order of filing or recordation of any document or instrument or grant, attachment or perfection of any Liens granted to any Junior-Lien Collateral Agent or any Junior-Lien Secured Parties on the Shared Collateral or of any Liens granted to the First-Lien Collateral Agents or the First-Lien Secured Parties on the Shared Collateral (or any actual or alleged defect or deficiency in any of the foregoing) and notwithstanding any provision of the UCC, any Bankruptcy Law, any other applicable law, any Junior-Lien Debt Document or any First-Lien Debt Document, whether any First-Lien Collateral Agent, either directly or through agents, holds possession of, or has control over, all or any part of the Shared Collateral, the fact that any such Liens may be subordinated, voided, avoided, invalidated or lapsed or any other circumstance whatsoever, each Junior-Lien Authorized Representative and each Junior-Lien Collateral Agent, on behalf of itself and each Junior-Lien Secured Party under its Junior-Lien Debt Facility, hereby agrees that (i) any Lien on the Shared Collateral securing any First-Lien Obligations now or hereafter held by or on behalf of any First-Lien Collateral Agent, any First-Lien Secured Parties or any First-Lien Authorized Representative or other agent or trustee therefor, regardless of how acquired, whether by grant, statute, operation of law, subrogation or otherwise, shall have priority over and be senior in all respects and prior to any Lien on the Shared Collateral securing any Junior-Lien Obligations and (ii) any Lien on the Shared Collateral securing any Junior-Lien Obligations now or hereafter held by or on behalf of any Junior-Lien Authorized Representative, any Junior-Lien Collateral Agent or any Junior-Lien Secured Parties or other agent or trustee therefor, regardless of how acquired, whether by grant, statute, operation of law, subrogation or otherwise, shall be junior and subordinate in all respects to all Liens on the Shared Collateral securing any First-Lien Obligations. All Liens on the Shared Collateral securing any First-Lien Obligations shall be and remain senior in all respects and prior to all Liens on the Shared Collateral securing any Junior-Lien Obligations for all purposes, whether or not such Liens securing any First-Lien Obligations are (x) subordinated to any Lien securing any other obligation of the Company, any other Grantor or any other Person or (y) otherwise subordinated, voided, avoided, invalidated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lapsed. Notwithstanding any failure by any First-Lien Secured Party or Junior-Lien Secured Party to perfect its security interests in the Shared Collateral or any avoidance, invalidation or subordination by any third party or court of competent jurisdiction of the security interests in the Shared Collateral granted to the First-Lien Secured Parties or the Junior-Lien Secured Parties, the priority and rights as between the First-Lien Secured Parties and the Junior-Lien Secured Parties with respect to the Shared Collateral shall be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Nature of First-Lien Lender Claims</w:t>
      </w:r>
      <w:r>
        <w:rPr>
          <w:rFonts w:ascii="Times New Roman" w:hAnsi="Times New Roman"/>
          <w:sz w:val="20"/>
        </w:rPr>
        <w:t xml:space="preserve">. Each Junior-Lien Authorized Representative and each Junior-Lien Collateral Agent, on behalf of itself and each Junior-Lien Secured Party under its Junior-Lien Debt Facility, acknowledges that (a) a portion of the First-Lien Obligations is revolving in nature and that the amount thereof that may be outstanding at any time or from time to time may be increased or reduced and subsequently reborrowed, (b) the terms of the First-Lien Debt Documents and the First-Lien Obligations may be amended, supplemented or otherwise modified, and the First-Lien Obligations, or a portion thereof, may be Refinanced from time to time and (c) the aggregate amount of the First-Lien Obligations may be increased, in each case, without notice to or consent by the Junior-Lien Authorized Representatives, the Junior-Lien Collateral Agents or the Junior-Lien Secured Parties and without affecting the provisions hereof. The Lien priorities provided for in </w:t>
      </w:r>
      <w:r>
        <w:rPr>
          <w:rFonts w:ascii="Times New Roman" w:hAnsi="Times New Roman"/>
          <w:sz w:val="20"/>
          <w:u w:val="single"/>
        </w:rPr>
        <w:t>Section 2.1</w:t>
      </w:r>
      <w:r>
        <w:rPr>
          <w:rFonts w:ascii="Times New Roman" w:hAnsi="Times New Roman"/>
          <w:sz w:val="20"/>
        </w:rPr>
        <w:t xml:space="preserve"> shall not be altered or otherwise affected by any amendment, supplement or other modification, or any Refinancing, of any of the First-Lien Obligations or any of the Junior-Lien Obligations, or any portion thereof. As between the Company and the other Grantors and the Junior-Lien Secured Parties, the foregoing provisions will not limit or otherwise affect the obligations of the Company and the other Grantors contained in any Junior-Lien Debt Document with respect to the incurrence of Additional First-Lien Debt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Prohibition on Contesting Liens</w:t>
      </w:r>
      <w:r>
        <w:rPr>
          <w:rFonts w:ascii="Times New Roman" w:hAnsi="Times New Roman"/>
          <w:sz w:val="20"/>
        </w:rPr>
        <w:t xml:space="preserve">. Each of the Junior-Lien Authorized Representatives and each of the Junior-Lien Collateral Agents, for itself and on behalf of each Junior-Lien Secured Party under its Junior-Lien Debt Facility, agrees that it shall not (and hereby waives any right to) take any action to challenge, contest or support any other Person in contesting or challenging, directly or indirectly, in any proceeding (including any Insolvency or Liquidation Proceeding), the validity, extent, perfection, priority or enforceability of any Lien securing any First-Lien Obligations held (or purported to be held) by or on behalf of any First-Lien Collateral Agent or any of the First-Lien Secured Parties or any First-Lien Authorized Representative or other agent or trustee therefor in any First-Lien Collateral, and each First-Lien Collateral Agent and each First-Lien Authorized Representative, for itself and on behalf of each First-Lien Secured Party under its First-Lien Facility, agrees that it shall not (and hereby waives any right to) contest or support any other Person in contesting, in any proceeding (including any Insolvency or Liquidation Proceeding), the validity, extent, perfection, priority or enforceability of any Lien securing any Junior-Lien Obligations held (or purported to be held) by or on behalf of any Junior-Lien Authorized Representative, any Junior-Lien Collateral Agent or any of the Junior-Lien Secured Parties in the Junior-Lien Collateral; </w:t>
      </w:r>
      <w:r>
        <w:rPr>
          <w:rFonts w:ascii="Times New Roman" w:hAnsi="Times New Roman"/>
          <w:sz w:val="20"/>
          <w:u w:val="single"/>
        </w:rPr>
        <w:t>provided</w:t>
      </w:r>
      <w:r>
        <w:rPr>
          <w:rFonts w:ascii="Times New Roman" w:hAnsi="Times New Roman"/>
          <w:sz w:val="20"/>
        </w:rPr>
        <w:t xml:space="preserve"> that nothing in this Agreement shall be construed to prevent or impair the rights of any First-Lien Collateral Agent or any First-Lien Authorized Representative to enforce this Agreement (including the priority of the Liens securing the First-Lien Obligations as provided in </w:t>
      </w:r>
      <w:r>
        <w:rPr>
          <w:rFonts w:ascii="Times New Roman" w:hAnsi="Times New Roman"/>
          <w:sz w:val="20"/>
          <w:u w:val="single"/>
        </w:rPr>
        <w:t>Section 2.1</w:t>
      </w:r>
      <w:r>
        <w:rPr>
          <w:rFonts w:ascii="Times New Roman" w:hAnsi="Times New Roman"/>
          <w:sz w:val="20"/>
        </w:rPr>
        <w:t xml:space="preserve">) or any of the First-Lien Debt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No New Liens</w:t>
      </w:r>
      <w:r>
        <w:rPr>
          <w:rFonts w:ascii="Times New Roman" w:hAnsi="Times New Roman"/>
          <w:sz w:val="20"/>
        </w:rPr>
        <w:t xml:space="preserve">. The parties hereto agree that, so long as the Discharge of First-Lien Obligations has not occurred, (a) none of the Grantors shall grant or permit any additional Liens on any asset or property of any Grantor to secure any Junior-Lien Obligation unless it has granted, or concurrently therewith grants, a Lien on such asset or property of such Grantor to secure the First-Lien Obligations; and (b) each Junior-Lien Authorized Representative and each Junior-Lien Collateral Agent agrees, for itself and on behalf of each applicable Junior-Lien Secured Party, whether or not any Insolvency or Liquidation Proceeding has been commenced by or against the Company or any other Grantor, that it shall not acquire or hold any Lien on any assets of the Company or any other Grantor securing any Junior-Lien Obligations that are not also subject to the first-priority Lien in respect of the First-Lien Obligations under the First-Lien Debt Documents (other than with respect to Additional First-Lien Debt Obligations that, by their terms, are not intended to be secured by all of the First-Lien Collateral and, in particular, are not intended to be secured by such assets). If any Junior-Lien Authorized Representative, any Junior-Lien Collateral Agent or any Junior-Lien Secured Party shall (nonetheless and in breach hereof) acquire or hold any Lien on any Collateral that is not also subject to the first-priority Lien in respect of the First-Lien Obligations under the First-Lien Debt Documents, then such Junior-Lien Authorized Representative, Junior-Lien Collateral Agent or Junior-Lien Secured Party shall, without the need for any further consent of any party and notwithstanding anything to the contrary in any other document, be deemed to also hold and have held such Lien for the benefit of the First-Lien Collateral Agents as security for the applicable First-Lien Obligations (subject to the lien priority and other terms hereof) and shall promptly notify the First-Lien Collateral Agents in writing of the existence of such Lien and in any event take such actions as may be requested by the First-Lien Collateral Agents to assign or release such Liens to the First-Lien Collateral Agents (and/or its designees) as security for the applicable First-Lien Obligations (but may retain a Junior-Lien on such assets or property subject to the terms hereof) and until such release or assignment, shall be deemed to hold and have held such Lien for the benefit of the First-Lien Collateral Agents as security for the First-Lien Obligations. To the extent that the foregoing provisions are not complied with for any reason, without limiting any other rights and remedies available to the First-Lien Secured Parties, the Junior-Lien Authorized Representatives, the Junior-Lien Collateral Agents and the other Junior-Lien Secured Parties agree that any amounts received by or distributed to any of them pursuant to or as a result of Liens granted in contravention of this </w:t>
      </w:r>
      <w:r>
        <w:rPr>
          <w:rFonts w:ascii="Times New Roman" w:hAnsi="Times New Roman"/>
          <w:sz w:val="20"/>
          <w:u w:val="single"/>
        </w:rPr>
        <w:t>Section 2.4</w:t>
      </w:r>
      <w:r>
        <w:rPr>
          <w:rFonts w:ascii="Times New Roman" w:hAnsi="Times New Roman"/>
          <w:sz w:val="20"/>
        </w:rPr>
        <w:t xml:space="preserve"> shall be subject to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Perfection of Liens</w:t>
      </w:r>
      <w:r>
        <w:rPr>
          <w:rFonts w:ascii="Times New Roman" w:hAnsi="Times New Roman"/>
          <w:sz w:val="20"/>
        </w:rPr>
        <w:t xml:space="preserve">. Except for the agreements of the First-Lien Collateral Agents pursuant to </w:t>
      </w:r>
      <w:r>
        <w:rPr>
          <w:rFonts w:ascii="Times New Roman" w:hAnsi="Times New Roman"/>
          <w:sz w:val="20"/>
          <w:u w:val="single"/>
        </w:rPr>
        <w:t>Section 5.8</w:t>
      </w:r>
      <w:r>
        <w:rPr>
          <w:rFonts w:ascii="Times New Roman" w:hAnsi="Times New Roman"/>
          <w:sz w:val="20"/>
        </w:rPr>
        <w:t xml:space="preserve">, none of the First-Lien Collateral Agents, the First-Lien Authorized Representatives or the First-Lien Secured Parties shall be responsible for perfecting and maintaining the perfection of Liens with respect to the Shared Collateral for the benefit of the Junior-Lien Authorized Representatives, the Junior-Lien Collateral Agents or the Junior-Lien Secured Parties. The provisions of this Agreement are intended solely to govern the respective Lien priorities as between the First-Lien Secured Parties and the Junior-Lien Secured Parties and such provisions shall not impose on the First-Lien Collateral Agents, the First-Lien Authorized Representatives, the First-Lien Secured Parties, the Junior-Lien Collateral Agents, the Junior-Lien Authorized Representatives, the Junior-Lien Secured Parties or any agent or trustee therefor any obligations in respect of the disposition of Proceeds of any Shared Collateral which would conflict with prior perfected claims therein in favor of any other Person or any order or decree of any court or governmental authority or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Waiver of Marshalling</w:t>
      </w:r>
      <w:r>
        <w:rPr>
          <w:rFonts w:ascii="Times New Roman" w:hAnsi="Times New Roman"/>
          <w:sz w:val="20"/>
        </w:rPr>
        <w:t xml:space="preserve">. Until the Discharge of First-Lien Obligations, each Junior-Lien Authorized Representative and each the Junior-Lien Collateral Agents, on behalf of itself and the applicable Junior-Lien Secured Parties,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Shared Collateral or any other similar rights a junior secured creditor may have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Exclusive Enforcement</w:t>
      </w:r>
      <w:r>
        <w:rPr>
          <w:rFonts w:ascii="Times New Roman" w:hAnsi="Times New Roman"/>
          <w:sz w:val="20"/>
        </w:rPr>
        <w:t xml:space="preserve">. Until the Discharge of First-Lien Obligations has occurred, whether or not an Insolvency or Liquidation Proceeding has been commenced by or against any Grantor, the First-Lien Secured Parties shall have the exclusive right to take and continue any Enforcement Action with respect to the Shared Collateral, without any consultation with or consent of any Junior-Lien Secured Party, but subject to the provisos set forth in </w:t>
      </w:r>
      <w:r>
        <w:rPr>
          <w:rFonts w:ascii="Times New Roman" w:hAnsi="Times New Roman"/>
          <w:sz w:val="20"/>
          <w:u w:val="single"/>
        </w:rPr>
        <w:t>Section 3.2</w:t>
      </w:r>
      <w:r>
        <w:rPr>
          <w:rFonts w:ascii="Times New Roman" w:hAnsi="Times New Roman"/>
          <w:sz w:val="20"/>
        </w:rPr>
        <w:t xml:space="preserve"> and </w:t>
      </w:r>
      <w:r>
        <w:rPr>
          <w:rFonts w:ascii="Times New Roman" w:hAnsi="Times New Roman"/>
          <w:sz w:val="20"/>
          <w:u w:val="single"/>
        </w:rPr>
        <w:t>Section 6.1</w:t>
      </w:r>
      <w:r>
        <w:rPr>
          <w:rFonts w:ascii="Times New Roman" w:hAnsi="Times New Roman"/>
          <w:sz w:val="20"/>
        </w:rPr>
        <w:t xml:space="preserve">. Upon the occurrence and during the continuance of a default or an event of default under the First-Lien Debt Documents, the First-Lien Collateral Agents and the other First-Lien Secured Parties shall control all decisions related to the exercise and continuance of any Enforcement Action with respect to the First-Lien Obligations and the Shared Collateral and shall do so in such order and manner as they may determine in their sole discretion without any consultation with, or the consent of any of the Junior-Lien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Standstill and Waivers</w:t>
      </w:r>
      <w:r>
        <w:rPr>
          <w:rFonts w:ascii="Times New Roman" w:hAnsi="Times New Roman"/>
          <w:sz w:val="20"/>
        </w:rPr>
        <w:t xml:space="preserve">. Each Junior-Lien Authorized Representative and each Junior-Lien Collateral Agent, on behalf of itself and the other Junior-Lien Secured Parties, agrees that, until the Discharge of First-Lien Obligations has occurred, subject to the proviso set forth in this </w:t>
      </w:r>
      <w:r>
        <w:rPr>
          <w:rFonts w:ascii="Times New Roman" w:hAnsi="Times New Roman"/>
          <w:sz w:val="20"/>
          <w:u w:val="single"/>
        </w:rPr>
        <w:t>Section 3.2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they will not take or cause to be taken any Enforcement Action with respect to the Shared Collateral; </w:t>
      </w:r>
    </w:p>
    <w:p>
      <w:pPr>
        <w:pStyle w:val="TextBody"/>
        <w:bidi w:val="0"/>
        <w:spacing w:before="120" w:after="0"/>
        <w:jc w:val="left"/>
        <w:rPr>
          <w:rFonts w:ascii="Times New Roman" w:hAnsi="Times New Roman"/>
          <w:sz w:val="20"/>
        </w:rPr>
      </w:pPr>
      <w:r>
        <w:rPr>
          <w:rFonts w:ascii="Times New Roman" w:hAnsi="Times New Roman"/>
          <w:sz w:val="20"/>
        </w:rPr>
        <w:t xml:space="preserve">(b) they will not take or cause to be taken any action, the purpose or effect of which is to make any Lien in respect of any Junior-Lien Obligation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or senior to, or to give any Junior-Lien Secured Party any preference or priority relative to, the Liens with respect to the First-Lien Obligations or the First-Lien Secured Parties with respect to any of the Shared Collateral; </w:t>
      </w:r>
    </w:p>
    <w:p>
      <w:pPr>
        <w:pStyle w:val="TextBody"/>
        <w:bidi w:val="0"/>
        <w:spacing w:before="120" w:after="0"/>
        <w:jc w:val="left"/>
        <w:rPr>
          <w:rFonts w:ascii="Times New Roman" w:hAnsi="Times New Roman"/>
          <w:sz w:val="20"/>
        </w:rPr>
      </w:pPr>
      <w:r>
        <w:rPr>
          <w:rFonts w:ascii="Times New Roman" w:hAnsi="Times New Roman"/>
          <w:sz w:val="20"/>
        </w:rPr>
        <w:t xml:space="preserve">(c) they will not contest, oppose, object to, interfere with, hinder or delay, in any manner, whether by judicial proceedings (including without limitation the filing (including on the basis of a deficiency claim, unsecured claim or otherwise) of an Insolvency or Liquidation Proceeding) or otherwise, any foreclosure, sale, lease, exchange, transfer or other disposition of the Shared Collateral by any First-Lien Secured Party or any other Enforcement Action taken with respect to the Shared Collateral (or any forbearance from taking any Enforcement Action with respect to the Shared Collateral) by or on behalf of any First-Lien Secured Party; </w:t>
      </w:r>
    </w:p>
    <w:p>
      <w:pPr>
        <w:pStyle w:val="TextBody"/>
        <w:bidi w:val="0"/>
        <w:spacing w:before="120" w:after="0"/>
        <w:jc w:val="left"/>
        <w:rPr>
          <w:rFonts w:ascii="Times New Roman" w:hAnsi="Times New Roman"/>
          <w:sz w:val="20"/>
        </w:rPr>
      </w:pPr>
      <w:r>
        <w:rPr>
          <w:rFonts w:ascii="Times New Roman" w:hAnsi="Times New Roman"/>
          <w:sz w:val="20"/>
        </w:rPr>
        <w:t xml:space="preserve">(d) they have no right to (i) direct either any First-Lien Collateral Agent or any other First-Lien Secured Party to exercise any right, remedy or power with respect to the Shared Collateral or pursuant to the First-Lien Collateral Documents or (ii) consent or object to the exercise by any First-Lien Collateral Agent or any other First-Lien Secured Party of any right, remedy or power with respect to the Shared Collateral or pursuant to the First-Lien Collateral Documents or to the timing or manner in which any such right is exercised or not exercised (or, to the extent they may have any such right described in this clause (d), whether as a Junior-Lien creditor or otherwise, they hereby irrevocably waive such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they will not institute any suit or other proceeding or assert in any suit, Insolvency or Liquidation Proceeding or other proceeding any claim against any First-Lien Secured Party seeking damages from or other relief by way of specific performance, injunction or otherwise, with respect to, and no First-Lien Secured Party shall be liable for, any action taken or omitted to be taken by any First-Lien Secured Party with respect to the Shared Collateral or pursuant to the First-Lien Debt Documents; </w:t>
      </w:r>
    </w:p>
    <w:p>
      <w:pPr>
        <w:pStyle w:val="TextBody"/>
        <w:bidi w:val="0"/>
        <w:spacing w:before="120" w:after="0"/>
        <w:jc w:val="left"/>
        <w:rPr>
          <w:rFonts w:ascii="Times New Roman" w:hAnsi="Times New Roman"/>
          <w:sz w:val="20"/>
        </w:rPr>
      </w:pPr>
      <w:r>
        <w:rPr>
          <w:rFonts w:ascii="Times New Roman" w:hAnsi="Times New Roman"/>
          <w:sz w:val="20"/>
        </w:rPr>
        <w:t xml:space="preserve">(f) they will not make any judicial or nonjudicial claim or demand or commence any judicial or non-judicial proceedings against any Grantor or any of their respective subsidiaries or affiliates under or with respect to any Junior-Lien Collateral Document seeking payment or damages from or other relief by way of specific performance, instructions or otherwise under or with respect to any Junior-Lien Collateral Document (other than filing a proof of claim) or exercise any right, remedy or power under or with respect to, or otherwise take any action to enforce, other than filing a proof of claim, any Junior-Lien Collateral Document; and </w:t>
      </w:r>
    </w:p>
    <w:p>
      <w:pPr>
        <w:pStyle w:val="TextBody"/>
        <w:bidi w:val="0"/>
        <w:spacing w:before="120" w:after="0"/>
        <w:jc w:val="left"/>
        <w:rPr>
          <w:rFonts w:ascii="Times New Roman" w:hAnsi="Times New Roman"/>
          <w:sz w:val="20"/>
        </w:rPr>
      </w:pPr>
      <w:r>
        <w:rPr>
          <w:rFonts w:ascii="Times New Roman" w:hAnsi="Times New Roman"/>
          <w:sz w:val="20"/>
        </w:rPr>
        <w:t xml:space="preserve">(g) they will not commence judicial or nonjudicial foreclosure proceedings with respect to, seek to have a trustee, receiver, liquidator or similar official appointed for or over, attempt any action to take possession of any Shared Collateral, exercise any right, remedy or power with respect to, or otherwise take any action to enforce their interest in or realize upon, the Shared Collateral or pursuant to the Junior-Lien Collateral Documents;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notwithstanding the foregoing, the Junior-Lien Secured Parties may exercise their rights and remedies in respect of the Shared Collateral under the Junior-Lien Collateral Documents or applicable law after the passage of a period of 180 days (the “</w:t>
      </w:r>
      <w:r>
        <w:rPr>
          <w:rFonts w:ascii="Times New Roman" w:hAnsi="Times New Roman"/>
          <w:sz w:val="20"/>
          <w:u w:val="single"/>
        </w:rPr>
        <w:t>Standstill Period</w:t>
      </w:r>
      <w:r>
        <w:rPr>
          <w:rFonts w:ascii="Times New Roman" w:hAnsi="Times New Roman"/>
          <w:sz w:val="20"/>
        </w:rPr>
        <w:t xml:space="preserve">”) from the date of delivery of a notice in writing to the First-Lien Collateral Agents certifying that an acceleration of the Junior-Lien Obligations has occurred (and so long as such acceleration has not been rescinded);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in no event shall any Junior-Lien Secured Party exercise or continue to exercise any such rights or remedies if, notwithstanding the expiration of the Standstill Period, (i) any First-Lien Secured Party shall have commenced the exercise of any of its rights and remedies with respect to any material portion of the Shared Collateral (or attempted to commence such exercise and are stayed by an Insolvency or Liquidation Proceeding) or (ii) an Insolvency or Liquidation Proceeding in respect of any Grantor shall have been commenced;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any Insolvency or Liquidation Proceeding commenced by or against any Grantor, the Junior-Lien Authorized Representative, the Junior-Lien Collateral Agents and the Junior-Lien Secured Parties may take any action expressly permitted by </w:t>
      </w:r>
      <w:r>
        <w:rPr>
          <w:rFonts w:ascii="Times New Roman" w:hAnsi="Times New Roman"/>
          <w:sz w:val="20"/>
          <w:u w:val="single"/>
        </w:rPr>
        <w:t>Section 6.1</w:t>
      </w:r>
      <w:r>
        <w:rPr>
          <w:rFonts w:ascii="Times New Roman" w:hAnsi="Times New Roman"/>
          <w:sz w:val="20"/>
        </w:rPr>
        <w:t xml:space="preserve">. Without limiting the generality of the foregoing, unless and until the Discharge of First-Lien Obligations has occurred, except as expressly provided in </w:t>
      </w:r>
      <w:r>
        <w:rPr>
          <w:rFonts w:ascii="Times New Roman" w:hAnsi="Times New Roman"/>
          <w:sz w:val="20"/>
          <w:u w:val="single"/>
        </w:rPr>
        <w:t>Section 6.1</w:t>
      </w:r>
      <w:r>
        <w:rPr>
          <w:rFonts w:ascii="Times New Roman" w:hAnsi="Times New Roman"/>
          <w:sz w:val="20"/>
        </w:rPr>
        <w:t xml:space="preserve">, the sole right of the Junior-Lien Authorized Representatives, the Junior- Lien Collateral Agents and the Junior-Lien Secured Parties with respect to the Shared Collateral or any other Collateral is to hold a Lien on the Shared Collateral or such other Collateral in respect of the applicable Junior-Lien Obligations pursuant to the Junior-Lien Debt Documents, as applicable, for the period and to the extent granted therein and to receive a share of the proceeds thereof, if any, after the Discharge of First-Lien Obligations has occurred. For the avoidance of doubt, nothing in this Agreement prohibits the acceleration of the Junior-Lien Obligations in accordance with the terms of the Junior-Lien Debt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Judgment Creditors</w:t>
      </w:r>
      <w:r>
        <w:rPr>
          <w:rFonts w:ascii="Times New Roman" w:hAnsi="Times New Roman"/>
          <w:sz w:val="20"/>
        </w:rPr>
        <w:t xml:space="preserve">. In the event that any Junior-Lien Secured Party becomes a judgment lien creditor in respect of Shared Collateral as a result of its enforcement of its rights as an unsecured creditor, any such judgment lien shall be subject to the terms of this Agreement for all purposes (including in relation to the First-Lien and the First-Lien Obligations) to the same extent as other Liens securing the Junior-Lien Obligations are subject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Cooperation</w:t>
      </w:r>
      <w:r>
        <w:rPr>
          <w:rFonts w:ascii="Times New Roman" w:hAnsi="Times New Roman"/>
          <w:sz w:val="20"/>
        </w:rPr>
        <w:t xml:space="preserve">. Each Junior-Lien Authorized Representative and each Junior-Lien Collateral Agent, on behalf of itself and the other Junior-Lien Secured Parties under the Junior-Lien Debt Facility to which it is a party, agrees that each of them shall take such actions as any First-Lien Authorized Representative or First-Lien Collateral Agent shall request in connection with the exercise by the First-Lien Secured Parties of their rights set forth herein. Each Junior-Lien Authorized Representative and each Junior-Lien Collateral Agent hereby acknowledges and agrees that no covenant, agreement or restriction contained in any applicable Junior-Lien Debt Document shall be deemed to restrict in any way the rights and remedies of the First-Lien Authorized Representatives, First-Lien Collateral Agents or First-Lien Secured Parties with respect to the First-Lien Collateral as set forth in this Agreement and the First-Lien Debt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No Additional Rights for the Grantors Hereunder</w:t>
      </w:r>
      <w:r>
        <w:rPr>
          <w:rFonts w:ascii="Times New Roman" w:hAnsi="Times New Roman"/>
          <w:sz w:val="20"/>
        </w:rPr>
        <w:t xml:space="preserve">. Except as provided in </w:t>
      </w:r>
      <w:r>
        <w:rPr>
          <w:rFonts w:ascii="Times New Roman" w:hAnsi="Times New Roman"/>
          <w:sz w:val="20"/>
          <w:u w:val="single"/>
        </w:rPr>
        <w:t>Section 3.6</w:t>
      </w:r>
      <w:r>
        <w:rPr>
          <w:rFonts w:ascii="Times New Roman" w:hAnsi="Times New Roman"/>
          <w:sz w:val="20"/>
        </w:rPr>
        <w:t xml:space="preserve">, if any First-Lien Secured Party or Junior-Lien Secured Party shall enforce its rights or remedies in violation of the terms of this Agreement, no Grantor shall be entitled to use such violation as a defense to any action by any First-Lien Secured Party or Junior-Lien Secured Party, nor to assert such violation as a counterclaim or basis for set off or recoupment against any First-Lien Secured Party or Junior-Lien Secured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Actions upon Breach</w:t>
      </w:r>
      <w:r>
        <w:rPr>
          <w:rFonts w:ascii="Times New Roman" w:hAnsi="Times New Roman"/>
          <w:sz w:val="20"/>
        </w:rPr>
        <w:t xml:space="preserve">. (a) If any Junior-Lien Secured Party, contrary to this Agreement, commences, participates or supports any Person commencing or participating in any action or proceeding against or with respect to any Grantor or the Shared Collateral, such Grantor, with the prior written consent of the Applicable First-Lien Collateral Agent, may interpose as a defense or dilatory plea the making of this Agreement, and any First-Lien Secured Party may intervene and interpose such defense or plea in its or their name or in the name of such Grantor. </w:t>
      </w:r>
    </w:p>
    <w:p>
      <w:pPr>
        <w:pStyle w:val="TextBody"/>
        <w:bidi w:val="0"/>
        <w:spacing w:before="120" w:after="0"/>
        <w:jc w:val="left"/>
        <w:rPr>
          <w:rFonts w:ascii="Times New Roman" w:hAnsi="Times New Roman"/>
          <w:sz w:val="20"/>
        </w:rPr>
      </w:pPr>
      <w:r>
        <w:rPr>
          <w:rFonts w:ascii="Times New Roman" w:hAnsi="Times New Roman"/>
          <w:sz w:val="20"/>
        </w:rPr>
        <w:t xml:space="preserve">(2) Should any Junior-Lien Authorized Representative, any Junior-Lien Collateral Agent or any Junior-Lien Secured Party, contrary to this Agreement, in any way take, attempt to take or threaten to take any action with respect to the Shared Collateral (including any attempt to realize upon or enforce any remedy with respect to this Agreement) or fail to take any action required by this Agreement, any First-Lien Collateral Agent or any First-Lien Authorized Representative or other First-Lien Secured Party (in its or their own name or in the name of the Company or any other Grantor) or the Company or any other Grantor may obtain relief against such Junior-Lien Authorized Representative, such Junior-Lien Collateral Agent or such Junior-Lien Secured Party by injunction,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specific performance and/or other appropriate equitable relief. Each Junior-Lien Authorized Representative and each Junior-Lien Collateral Agent, on behalf of itself and each Junior-Lien Secured Party under its Junior-Lien Debt Facility, hereby (i) agrees that the First-Lien Secured Parties’ damages from the actions of any Junior-Lien Authorized Representatives, any Junior-Lien Collateral Agent or any Junior-Lien Secured Party may at that time be difficult to ascertain and may be irreparable and waives any defense that the Company, any other Grantor or the First-Lien Secured Parties cannot demonstrate damage or be made whole by the awarding of damages and (ii) irrevocably waives any defense based on the adequacy of a remedy at law and any other defense that might be asserted to bar the remedy of specific performance in any action that may be brought by any First-Lien Collateral Agent, any First-Lien Authorized Representative or and First-Lien Secured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Option to Purchase</w:t>
      </w:r>
      <w:r>
        <w:rPr>
          <w:rFonts w:ascii="Times New Roman" w:hAnsi="Times New Roman"/>
          <w:sz w:val="20"/>
        </w:rPr>
        <w:t>. (a) The Applicable First-Lien Collateral Agent agrees that it will give the Designated Junior-Lien Collateral Agent written notice (the “</w:t>
      </w:r>
      <w:r>
        <w:rPr>
          <w:rFonts w:ascii="Times New Roman" w:hAnsi="Times New Roman"/>
          <w:sz w:val="20"/>
          <w:u w:val="single"/>
        </w:rPr>
        <w:t>Enforcement Notice</w:t>
      </w:r>
      <w:r>
        <w:rPr>
          <w:rFonts w:ascii="Times New Roman" w:hAnsi="Times New Roman"/>
          <w:sz w:val="20"/>
        </w:rPr>
        <w:t>”) promptly following (i) its commencement of any Enforcement Action with respect to Shared Collateral (which notice shall be effective for all Enforcement Actions taken after the date of such notice so long as the Applicable First-Lien Collateral Agent is diligently pursuing in good faith the exercise of its default or enforcement rights or remedies against, or diligently attempting in good faith to vacate any stay of enforcement rights of its First-Liens on a material portion of the Shared Collateral, including, without limitation, all Enforcement Actions identified in such notice), (ii) its acceleration of the First-Lien Obligations in accordance with the terms of the First-Lien Debt Documents; or (iii) its commencement of an Insolvency or Liquidation Proceeding. Any Junior-Lien Secured Party shall have the option, by irrevocable written notice (the “</w:t>
      </w:r>
      <w:r>
        <w:rPr>
          <w:rFonts w:ascii="Times New Roman" w:hAnsi="Times New Roman"/>
          <w:sz w:val="20"/>
          <w:u w:val="single"/>
        </w:rPr>
        <w:t>Purchase Notice</w:t>
      </w:r>
      <w:r>
        <w:rPr>
          <w:rFonts w:ascii="Times New Roman" w:hAnsi="Times New Roman"/>
          <w:sz w:val="20"/>
        </w:rPr>
        <w:t xml:space="preserve">”) delivered by the Designated Junior-Lien Collateral Agent to each First-Lien Collateral Agent no later than thirty days after the earlier to occur of (a) the Designated Junior-Lien Collateral Agent’s receipt of the Enforcement Notice and (b) the Designated Junior-Lien Collateral Agent becoming aware of the Enforcement Action, to purchase all (but not less than all) of the First-Lien Obligations from the First-Lien Secured Parties. Notwithstanding anything to the contrary contained herein, neither the Applicable First-Lien Collateral Agent nor any other First-Lien Secured Party shall have any liability to any party hereto for any failure or delay on the part of the Applicable First-Lien Collateral Agent in delivering any Enforcement Notice or terminating any existing Enforcement Action. </w:t>
      </w:r>
    </w:p>
    <w:p>
      <w:pPr>
        <w:pStyle w:val="TextBody"/>
        <w:bidi w:val="0"/>
        <w:spacing w:before="120" w:after="0"/>
        <w:jc w:val="left"/>
        <w:rPr>
          <w:rFonts w:ascii="Times New Roman" w:hAnsi="Times New Roman"/>
          <w:sz w:val="20"/>
        </w:rPr>
      </w:pPr>
      <w:r>
        <w:rPr>
          <w:rFonts w:ascii="Times New Roman" w:hAnsi="Times New Roman"/>
          <w:sz w:val="20"/>
        </w:rPr>
        <w:t xml:space="preserve">(2) On the date specified by the Designated Junior-Lien Collateral Agent in the Purchase Notice (which shall be a Business Day not less than five days, nor more than ten days, after receipt by the Applicable First-Lien Collateral Agent of the Purchase Notice), the First-Lien Secured Parties shall, subject to any required approval of any court or other governmental authority then in effect, sell to the Junior-Lien Secured Parties electing to purchase pursuant to </w:t>
      </w:r>
      <w:r>
        <w:rPr>
          <w:rFonts w:ascii="Times New Roman" w:hAnsi="Times New Roman"/>
          <w:sz w:val="20"/>
          <w:u w:val="single"/>
        </w:rPr>
        <w:t>Section 3.7(a)</w:t>
      </w:r>
      <w:r>
        <w:rPr>
          <w:rFonts w:ascii="Times New Roman" w:hAnsi="Times New Roman"/>
          <w:sz w:val="20"/>
        </w:rPr>
        <w:t xml:space="preserve"> (the “</w:t>
      </w:r>
      <w:r>
        <w:rPr>
          <w:rFonts w:ascii="Times New Roman" w:hAnsi="Times New Roman"/>
          <w:sz w:val="20"/>
          <w:u w:val="single"/>
        </w:rPr>
        <w:t>Purchasing Parties</w:t>
      </w:r>
      <w:r>
        <w:rPr>
          <w:rFonts w:ascii="Times New Roman" w:hAnsi="Times New Roman"/>
          <w:sz w:val="20"/>
        </w:rPr>
        <w:t>”), and the Purchasing Parties shall purchase (the “</w:t>
      </w:r>
      <w:r>
        <w:rPr>
          <w:rFonts w:ascii="Times New Roman" w:hAnsi="Times New Roman"/>
          <w:sz w:val="20"/>
          <w:u w:val="single"/>
        </w:rPr>
        <w:t>Purchase</w:t>
      </w:r>
      <w:r>
        <w:rPr>
          <w:rFonts w:ascii="Times New Roman" w:hAnsi="Times New Roman"/>
          <w:sz w:val="20"/>
        </w:rPr>
        <w:t xml:space="preserve">”) from the First-Lien Secured Parties, all the First-Lien Obligations; </w:t>
      </w:r>
      <w:r>
        <w:rPr>
          <w:rFonts w:ascii="Times New Roman" w:hAnsi="Times New Roman"/>
          <w:sz w:val="20"/>
          <w:u w:val="single"/>
        </w:rPr>
        <w:t>provided</w:t>
      </w:r>
      <w:r>
        <w:rPr>
          <w:rFonts w:ascii="Times New Roman" w:hAnsi="Times New Roman"/>
          <w:sz w:val="20"/>
        </w:rPr>
        <w:t xml:space="preserve"> that the First-Lien Obligations purchased shall not include any rights of First-Lien Secured Parties with respect to indemnification and other obligations of the Grantors under the First-Lien Debt Documents that are expressly stated to survive the termination of the First-Lien Debt Documents (the “</w:t>
      </w:r>
      <w:r>
        <w:rPr>
          <w:rFonts w:ascii="Times New Roman" w:hAnsi="Times New Roman"/>
          <w:sz w:val="20"/>
          <w:u w:val="single"/>
        </w:rPr>
        <w:t>Surviving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Without limiting the obligations of the Grantors under the First-Lien Debt Documents to the First-Lien Secured Parties with respect to the Surviving Obligations (which shall not be transferred in connection with the Purchase), on the date of the Purchase, the Purchasing Parties shall (i) pay in cash to the First-Lien Secured Parties as the purchase price (the “</w:t>
      </w:r>
      <w:r>
        <w:rPr>
          <w:rFonts w:ascii="Times New Roman" w:hAnsi="Times New Roman"/>
          <w:sz w:val="20"/>
          <w:u w:val="single"/>
        </w:rPr>
        <w:t>Purchase Price</w:t>
      </w:r>
      <w:r>
        <w:rPr>
          <w:rFonts w:ascii="Times New Roman" w:hAnsi="Times New Roman"/>
          <w:sz w:val="20"/>
        </w:rPr>
        <w:t>”) therefor the full amount of all First-Lien Obligations then outstanding and unpaid at par (including principal, any prepayment premiums, accrued but unpaid interest and fees and any other unpaid amounts, including, breakage costs, attorneys’ fees and expenses, and, in the case of any Secured Hedge Agreement, the amount that would be payable by the relevant Grantors thereunder if it were to terminate such Secured Hedge Agreement on the date of the Purchase or, if not terminated, an amount determined by the relevant First-Lien Secured Party to be necessary to collateralize its credit risk arising out of such Secured Hedge Agreement), (ii) furnish cash collateral (the “</w:t>
      </w:r>
      <w:r>
        <w:rPr>
          <w:rFonts w:ascii="Times New Roman" w:hAnsi="Times New Roman"/>
          <w:sz w:val="20"/>
          <w:u w:val="single"/>
        </w:rPr>
        <w:t>LC Cash Collateral</w:t>
      </w:r>
      <w:r>
        <w:rPr>
          <w:rFonts w:ascii="Times New Roman" w:hAnsi="Times New Roman"/>
          <w:sz w:val="20"/>
        </w:rPr>
        <w:t xml:space="preserve">”) to the First-Lien Secured Parties in such amounts as the relevant First-Lien Secured Parties determine is reasonably necessary to secure such First-Lien Secured Parties in connection with any outstanding Letters of Credit, (iii) agree in writing in form and substance satisfactory to the Applicable First-Lien Collateral Agent to reimburse the First-Lien Secured Parties for any loss, cost, damage or expense (including attorneys’ fees and expenses) in connection with any fees, costs or expenses related to any checks or other payments provisionally credited to the First-Lien Obligations and/or as to which the First-Lien Secured Parties have not yet received final payment and (iv) agree in writing in form and substance satisfactory to the Applicable First-Lien Collateral Agent, after written request from the Applicable First-Lien Collateral Agent, to reimburse the First-Lien Secured Parties in respect of indemnification obligations of the Grantors under the First-Lien Debt Documents as to matters or circumstances known to the Purchasing Parties at the time of the Purchase which could reasonably be expected to result in any loss, cost, damage or expense to any of the First-Lien Secured Parties; provided that in no event shall any Purchasing Party have any liability for such amounts in excess of proceeds of Shared Collateral received by the Purchasing Parties. </w:t>
      </w:r>
    </w:p>
    <w:p>
      <w:pPr>
        <w:pStyle w:val="TextBody"/>
        <w:bidi w:val="0"/>
        <w:spacing w:before="120" w:after="0"/>
        <w:jc w:val="left"/>
        <w:rPr>
          <w:rFonts w:ascii="Times New Roman" w:hAnsi="Times New Roman"/>
          <w:sz w:val="20"/>
        </w:rPr>
      </w:pPr>
      <w:r>
        <w:rPr>
          <w:rFonts w:ascii="Times New Roman" w:hAnsi="Times New Roman"/>
          <w:sz w:val="20"/>
        </w:rPr>
        <w:t xml:space="preserve">(a) The Purchase Price and LC Cash Collateral shall be remitted by wire transfer in immediately available funds to such account of the Applicable First-Lien Collateral Agent as it shall designate to the Purchasing Parties. The Applicable First-Lien Collateral Agent shall, promptly following its receipt thereof, distribute the amounts received by it in respect of the Purchase Price to the First-Lien Secured Parties in accordance with the First-Lien Debt Documents. Interest shall be calculated to but excluding the day on which the Purchase occurs if the amounts so paid by the Purchasing Parties to the account designated by the Applicable First-Lien Collateral Agent are received in such account prior to 12:00 noon, New York City time, and interest shall be calculated to and including such day if the amounts so paid by the Purchasing Parties to the account designated by the Applicable First-Lien Collateral Agent are received in such account later than 12:00 noon, New York City time. </w:t>
      </w:r>
    </w:p>
    <w:p>
      <w:pPr>
        <w:pStyle w:val="TextBody"/>
        <w:bidi w:val="0"/>
        <w:spacing w:before="120" w:after="0"/>
        <w:jc w:val="left"/>
        <w:rPr>
          <w:rFonts w:ascii="Times New Roman" w:hAnsi="Times New Roman"/>
          <w:sz w:val="20"/>
        </w:rPr>
      </w:pPr>
      <w:r>
        <w:rPr>
          <w:rFonts w:ascii="Times New Roman" w:hAnsi="Times New Roman"/>
          <w:sz w:val="20"/>
        </w:rPr>
        <w:t xml:space="preserve">(b) The Purchase shall be made without representation or warranty of any kind by the First-Lien Secured Parties as to the First-Lien Obligations, the Shared Collateral or otherwise and without recourse to the First-Lien Secured Parties, except that the First-Lien Secured Parties shall represent and warrant: (i) the amount of the First-Lien Obligations being purchased, (ii) that the First-Lien Secured Parties own the First-Lien Obligations free and clear of any liens or encumbrances and (iii) that the First-Lien Secured Parties have the right to assign the First-Lien Obligations and the assignment is duly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the avoidance of doubt, the parties hereto hereby acknowledge and agree that in no event shall the Designated Junior-Lien Collateral Agent (i) be deemed to be a Purchasing Party for purposes of this </w:t>
      </w:r>
      <w:r>
        <w:rPr>
          <w:rFonts w:ascii="Times New Roman" w:hAnsi="Times New Roman"/>
          <w:sz w:val="20"/>
          <w:u w:val="single"/>
        </w:rPr>
        <w:t>Section 3.7</w:t>
      </w:r>
      <w:r>
        <w:rPr>
          <w:rFonts w:ascii="Times New Roman" w:hAnsi="Times New Roman"/>
          <w:sz w:val="20"/>
        </w:rPr>
        <w:t xml:space="preserve">, (ii) be subject to or liable for any obligations of a Purchasing Party pursuant to this </w:t>
      </w:r>
      <w:r>
        <w:rPr>
          <w:rFonts w:ascii="Times New Roman" w:hAnsi="Times New Roman"/>
          <w:sz w:val="20"/>
          <w:u w:val="single"/>
        </w:rPr>
        <w:t>Section 3.7</w:t>
      </w:r>
      <w:r>
        <w:rPr>
          <w:rFonts w:ascii="Times New Roman" w:hAnsi="Times New Roman"/>
          <w:sz w:val="20"/>
        </w:rPr>
        <w:t xml:space="preserve"> or (iii) incur any liability to any First-Lien Secured Party or any other Person in connection with any Purchase pursuant to this </w:t>
      </w:r>
      <w:r>
        <w:rPr>
          <w:rFonts w:ascii="Times New Roman" w:hAnsi="Times New Roman"/>
          <w:sz w:val="20"/>
          <w:u w:val="single"/>
        </w:rPr>
        <w:t>Section 3.7</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Application of Proceeds</w:t>
      </w:r>
      <w:r>
        <w:rPr>
          <w:rFonts w:ascii="Times New Roman" w:hAnsi="Times New Roman"/>
          <w:sz w:val="20"/>
        </w:rPr>
        <w:t xml:space="preserve">. All Shared Collateral and Proceeds thereof received in connection with the Disposition or collection of the Shared Collateral in connection with an Enforcement Action, whether or not pursuant to an Insolvency or Liquidation Proceeding, shall be distributed as follows: FIRST, to the First-Lien Obligations in accordance with the terms of the First-Lien Debt Documents and the First-Lien Intercreditor Agreement (if and to the extent the First-Lien Intercreditor Agreement is applicable in accordance with its terms) until the Discharge of First-Lien Obligations has occurred; SECOND, to the Designated Junior-Lien Collateral Agent for application in accordance with the Junior-Lien Debt Documents until the discharge of the Junior-Lien Obligations has occurred; and THIRD, the balance, if any, to the Grantors, their successors or assigns or to whomsoever may be lawfully entitled to receive the same or as writ of competent jurisdiction may direct. Upon the Discharge of First-Lien Obligations, the Applicable First-Lien Collateral Agent shall deliver promptly to the Designated Junior-Lien Collateral Agent any Shared Collateral or Proceeds thereof held by it in the same form as received, with any necessary endorsements, or as a court of competent jurisdiction may otherwise direct, to be applied by the Designated Junior-Lien Collateral Agent to the Junior-Lien Obligations in such order as specified in the relevant Junior-Lien Debt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Payments Over</w:t>
      </w:r>
      <w:r>
        <w:rPr>
          <w:rFonts w:ascii="Times New Roman" w:hAnsi="Times New Roman"/>
          <w:sz w:val="20"/>
        </w:rPr>
        <w:t xml:space="preserve">. So long as the Discharge of First-Lien Obligations has not occurred, any Shared Collateral or Proceeds thereof received by any Junior-Lien Authorized Representative, any Junior-Lien Collateral Agent or any Junior-Lien Secured Party shall be segregated and held in trust for the benefit of and forthwith paid over to the Applicable First-Lien Collateral Agent for the benefit of the First-Lien Secured Parties in the same form as received, with any necessary endorsements and each Junior-Lien Secured Party hereby authorizes the Applicable First-Lien Collateral Agent to make any such endorsements as agent for each of the Junior-Lien Authorized Representatives, the Junior-Lien Collateral Agents and the Junior-Lien Secured Parties (which authorization, being coupled with an interest, is irrevocable).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Other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Releases</w:t>
      </w:r>
      <w:r>
        <w:rPr>
          <w:rFonts w:ascii="Times New Roman" w:hAnsi="Times New Roman"/>
          <w:sz w:val="20"/>
        </w:rPr>
        <w:t xml:space="preserve">. (a) If, at any time any Grantor or any First-Lien Secured Party delivers notice to the Designated Junior-Lien Collateral Agent with respect to any specified Shared Collateral (including for such purpose, in the case of the sale or other disposition of all or substantially all of the equity interests in any Subsidiary, any Shared Collateral held by such Subsidiary or any direct or indirect Subsidiary thereof) that: </w:t>
      </w:r>
    </w:p>
    <w:p>
      <w:pPr>
        <w:pStyle w:val="TextBody"/>
        <w:bidi w:val="0"/>
        <w:spacing w:before="120" w:after="0"/>
        <w:jc w:val="left"/>
        <w:rPr>
          <w:rFonts w:ascii="Times New Roman" w:hAnsi="Times New Roman"/>
          <w:sz w:val="20"/>
        </w:rPr>
      </w:pPr>
      <w:r>
        <w:rPr>
          <w:rFonts w:ascii="Times New Roman" w:hAnsi="Times New Roman"/>
          <w:sz w:val="20"/>
        </w:rPr>
        <w:t xml:space="preserve">(i) such specified Shared Collateral has been or is being sold, transferred or otherwise disposed of in connection with a Disposition by the owner of such Shared Collateral in a transaction permitted under the First-Lien Debt Documents;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First-Liens thereon have been or are being released in connection with a Subsidiary that is released from its guarantee under the First-Lien Debt Documents; or </w:t>
      </w:r>
    </w:p>
    <w:p>
      <w:pPr>
        <w:pStyle w:val="TextBody"/>
        <w:bidi w:val="0"/>
        <w:spacing w:before="120" w:after="0"/>
        <w:jc w:val="left"/>
        <w:rPr>
          <w:rFonts w:ascii="Times New Roman" w:hAnsi="Times New Roman"/>
          <w:sz w:val="20"/>
        </w:rPr>
      </w:pPr>
      <w:r>
        <w:rPr>
          <w:rFonts w:ascii="Times New Roman" w:hAnsi="Times New Roman"/>
          <w:sz w:val="20"/>
        </w:rPr>
        <w:t xml:space="preserve">(iii) the First-Liens thereon have been or are being otherwise released as permitted by the First-Lien Debt Documents or by the Applicable First-Lien Collateral Agent on behalf of the First-Lien Secured Parties (unless, in the case of clause (ii) or (iii) of this </w:t>
      </w:r>
      <w:r>
        <w:rPr>
          <w:rFonts w:ascii="Times New Roman" w:hAnsi="Times New Roman"/>
          <w:sz w:val="20"/>
          <w:u w:val="single"/>
        </w:rPr>
        <w:t>Section 5.1(a)</w:t>
      </w:r>
      <w:r>
        <w:rPr>
          <w:rFonts w:ascii="Times New Roman" w:hAnsi="Times New Roman"/>
          <w:sz w:val="20"/>
        </w:rPr>
        <w:t xml:space="preserve"> such release occurs in connection with, and after giving effect to, a Discharge of First-Lien Obligations, which discharge is not in connection with a foreclosure of, or other exercise of remedies with respect to, Shared Collateral by the First-Lien Secured Parties (such discharge not in connection with any such foreclosure or exercise of remedies or a sale or other disposition generating sufficient proceeds to cause the Discharge of First-Lien Obligations, a “</w:t>
      </w:r>
      <w:r>
        <w:rPr>
          <w:rFonts w:ascii="Times New Roman" w:hAnsi="Times New Roman"/>
          <w:sz w:val="20"/>
          <w:u w:val="single"/>
        </w:rPr>
        <w:t>Payment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then the Junior-Lien upon such Shared Collateral will automatically be released and discharged as and when, but only to the extent, such Liens on such Shared Collateral securing First-Lien Obligations are released and discharged (provided that in the case of a Payment Discharge, the Liens on any Shared Collateral disposed of in connection with the satisfaction in whole or in part of First-Lien Obligations shall be automatically released but any proceeds thereof not used for purposes of the Discharge of First-Lien Obligations or otherwise in accordance with the Junior-Lien Debt Documents shall be subject to Junior-Liens and shall be applied pursuant to </w:t>
      </w:r>
      <w:r>
        <w:rPr>
          <w:rFonts w:ascii="Times New Roman" w:hAnsi="Times New Roman"/>
          <w:sz w:val="20"/>
          <w:u w:val="single"/>
        </w:rPr>
        <w:t>Section 4.1</w:t>
      </w:r>
      <w:r>
        <w:rPr>
          <w:rFonts w:ascii="Times New Roman" w:hAnsi="Times New Roman"/>
          <w:sz w:val="20"/>
        </w:rPr>
        <w:t xml:space="preserve">). Upon delivery to the Designated Junior-Lien Collateral Agent of a notice from the Applicable First-Lien Collateral Agent stating that any such release of Liens securing or supporting the First-Lien Obligations has become effective (or shall become effective upon the Designated Junior-Lien Collateral Agent’s release), the Designated Junior-Lien Collateral Agent will promptly, at the Company’s expense, execute and deliver such instruments, releases, termination statements or other documents confirming such release on customary terms, which instruments, releases and termination statements shall be substantially identical to the comparable instruments, releases and termination statements executed by the Applicable First-Lien Collateral Agent in connection with such release (and shall be prepared by the Applicable First-Lien Collateral Agent). In the case of the sale of capital stock of a Subsidiary or any other transaction resulting in the release of such Subsidiary’s guarantee under the First-Lien Debt Documents in accordance with the Credit Agreement, the guarantee in favor of the Junior-Lien Secured Parties, if any, made by such Subsidiary will automatically be released and discharged as and when, but only to the extent, the guarantee by such Subsidiary of First-Lien Obligations is released and discharged.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any Grantor or any First-Lien Secured Party delivers notice to the Designated Junior-Lien Collateral Agent with respect to any Grantor that is a Subsidiary that: </w:t>
      </w:r>
    </w:p>
    <w:p>
      <w:pPr>
        <w:pStyle w:val="TextBody"/>
        <w:bidi w:val="0"/>
        <w:spacing w:before="120" w:after="0"/>
        <w:jc w:val="left"/>
        <w:rPr>
          <w:rFonts w:ascii="Times New Roman" w:hAnsi="Times New Roman"/>
          <w:sz w:val="20"/>
        </w:rPr>
      </w:pPr>
      <w:r>
        <w:rPr>
          <w:rFonts w:ascii="Times New Roman" w:hAnsi="Times New Roman"/>
          <w:sz w:val="20"/>
        </w:rPr>
        <w:t xml:space="preserve">(i) all or substantially all of the equity interests in such Grantor have been or are being sold, transferred or otherwise disposed of in connection with a Disposition by the owner of such Grantor in a transaction permitted under the First-Lien Debt Documents;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such Grantor is released from its guarantee under the First-Lien Debt Documents (unless, such release occurs in connection with, and after giving effect to, a Discharge of First-Lien Obligations, which discharge is a Payment Discharge), </w:t>
      </w:r>
    </w:p>
    <w:p>
      <w:pPr>
        <w:pStyle w:val="TextBody"/>
        <w:bidi w:val="0"/>
        <w:spacing w:before="240" w:after="0"/>
        <w:jc w:val="left"/>
        <w:rPr>
          <w:rFonts w:ascii="Times New Roman" w:hAnsi="Times New Roman"/>
          <w:sz w:val="20"/>
        </w:rPr>
      </w:pPr>
      <w:r>
        <w:rPr>
          <w:rFonts w:ascii="Times New Roman" w:hAnsi="Times New Roman"/>
          <w:sz w:val="20"/>
        </w:rPr>
        <w:t xml:space="preserve">then such Grantor will automatically be released and discharged under its guaranty of the Junior-Lien Obligations as and when, but only to the extent, such Grantor is also released and discharged under its guaranty of the First-Lien Obligations. Upon delivery to the Designated Junior-Lien Collateral Agent of a notice from the Applicable First-Lien Collateral Agent stating that any such release of Subsidiary that is a Grantor guarantying the First-Lien Obligations has become effective (or shall become effective upon the Designated Junior-Lien Collateral Agent’s release), the Designated Junior-Lien Collateral Agent will promptly, at the Company’s expense, execute and deliver such instruments, releases, termination statements or other documents confirming such release on customary terms, which instruments, releases and termination statements shall be substantially identical to the comparable instruments, releases and termination statements executed by the Applicable First-Lien Collateral Agent in connection with such release (and shall be prepared by the Applicable First-Lien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(c) Each Junior-Lien Authorized Representative and each Junior-Lien Collateral Agent, for itself and on behalf of each Junior-Lien Secured Party under its Junior-Lien Debt Facility, hereby irrevocably constitutes and appoints the Applicable First-Lien Collateral Agent and any officer or agent of the Applicable First-Lien Collateral Agent, with full power of substitution, as its true and lawful attorney-in-fact with full irrevocable power and authority in the place and stead of such Junior-Lien Authorized Representative, such Junior-Lien Collateral Agent or such Junior-Lien Secured Party or in the Applicable First-Lien Collateral Agent’s own name, from time to time in the Applicable First-Lien Collateral Agent’s discretion, for the purpose of carrying out the terms of this </w:t>
      </w:r>
      <w:r>
        <w:rPr>
          <w:rFonts w:ascii="Times New Roman" w:hAnsi="Times New Roman"/>
          <w:sz w:val="20"/>
          <w:u w:val="single"/>
        </w:rPr>
        <w:t>Section 5.1</w:t>
      </w:r>
      <w:r>
        <w:rPr>
          <w:rFonts w:ascii="Times New Roman" w:hAnsi="Times New Roman"/>
          <w:sz w:val="20"/>
        </w:rPr>
        <w:t xml:space="preserve">, to take any and all appropriate action and to execute any and all documents and instruments that may be necessary or desirable to accomplish the purposes of this </w:t>
      </w:r>
      <w:r>
        <w:rPr>
          <w:rFonts w:ascii="Times New Roman" w:hAnsi="Times New Roman"/>
          <w:sz w:val="20"/>
          <w:u w:val="single"/>
        </w:rPr>
        <w:t>Section 5.1</w:t>
      </w:r>
      <w:r>
        <w:rPr>
          <w:rFonts w:ascii="Times New Roman" w:hAnsi="Times New Roman"/>
          <w:sz w:val="20"/>
        </w:rPr>
        <w:t xml:space="preserve">, including any termination statements, endorsements or other instruments of transfer or release (which appointment, being coupled with an interest, is irrevocable); </w:t>
      </w:r>
      <w:r>
        <w:rPr>
          <w:rFonts w:ascii="Times New Roman" w:hAnsi="Times New Roman"/>
          <w:sz w:val="20"/>
          <w:u w:val="single"/>
        </w:rPr>
        <w:t>provided</w:t>
      </w:r>
      <w:r>
        <w:rPr>
          <w:rFonts w:ascii="Times New Roman" w:hAnsi="Times New Roman"/>
          <w:sz w:val="20"/>
        </w:rPr>
        <w:t xml:space="preserve"> that such appointment shall terminate automatically, without any action by the Applicable First-Lien Collateral Agent or any Junior-Lien Secured Party, upon the Discharge of First-Lien Obligations,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Applicable First-Lien Collateral Agent shall notify such Junior-Lien Authorized Representative, such Junior-Lien Collateral Agent or such Junior-Lien Secured Party of any action taken by such Applicable First-Lien Collateral Agent as attorney-in-fact for such Junior-Lien Authorized Representative, such Junior-Lien Collateral Agent or such Junior-Lien Secured Party pursuant to this clause (c). </w:t>
      </w:r>
    </w:p>
    <w:p>
      <w:pPr>
        <w:pStyle w:val="TextBody"/>
        <w:bidi w:val="0"/>
        <w:spacing w:before="240" w:after="0"/>
        <w:jc w:val="left"/>
        <w:rPr>
          <w:rFonts w:ascii="Times New Roman" w:hAnsi="Times New Roman"/>
          <w:sz w:val="20"/>
        </w:rPr>
      </w:pPr>
      <w:r>
        <w:rPr>
          <w:rFonts w:ascii="Times New Roman" w:hAnsi="Times New Roman"/>
          <w:sz w:val="20"/>
        </w:rPr>
        <w:t xml:space="preserve">(d) Unless and until the Discharge of First-Lien Obligations has occurred, each Junior-Lien Authorized Representative and each Junior-Lien Collateral Agent, for itself and on behalf of each Junior-Lien Secured Party under its Junior-Lien Debt Facility, hereby consents to the application, whether prior to or after an Event of Default under any First-Lien Debt Document, of Deposit Account Collateral or proceeds of Shared Collateral to the repayment of First-Lien Obligations pursuant to the First-Lien Debt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to the contrary in any Junior-Lien Collateral Document, in the event the terms of a First-Lien Collateral Document and a Junior-Lien Collateral Document each require any Grantor to (i) make payment in respect of any item of Shared Collateral to, (ii) deliver or afford control over any item of Shared Collateral to, or deposit any item of Shared Collateral with, (iii) register ownership of any item of Shared Collateral in the name of or make an assignment of ownership of any Shared Collateral or the rights thereunder to, (iv) cause any securities intermediary, commodity intermediary or other Person acting in a similar capacity to agree to comply, in respect of any item of Shared Collateral, with instructions or orders from, or to treat, in respect of any item of Shared Collateral, as the entitlement holder, (v) hold any item of Shared Collateral in trust for (to the extent such item of Shared Collateral cannot be held in trust for multiple parties under applicable law), (vi) obtain the agreement of a bailee or other third party to hold any item of Shared Collateral for the benefit of or subject to the control of or, in respect of any item of Shared Collateral, to follow the instructions of, or (vii) obtain the agreement of a landlord with respect to access to leased premises where any item of Shared Collateral is located or waivers or subordination of rights with respect to any item of Shared Collateral in favor of, in any case, both any First-Lien Collateral Agent and any Junior-Lien Authorized Representative, any Junior-Lien Collateral Agent or Junior-Lien Secured Party, such Grantor may, until the applicable Discharge of First-Lien Obligations has occurred, comply with such requirement under the Junior-Lien Collateral Document as it relates to such Shared Collateral by taking any of the actions set forth above only with respect to, or in favor of, the First-Lien Collateral Agents (or the Applicable First-Lien Collateral Agent, subject to the terms of the First-Lien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Inspection; Insurance and Condemnation Awards</w:t>
      </w:r>
      <w:r>
        <w:rPr>
          <w:rFonts w:ascii="Times New Roman" w:hAnsi="Times New Roman"/>
          <w:sz w:val="20"/>
        </w:rPr>
        <w:t xml:space="preserve">. (a) Any First-Lien Secured Party and its Authorized Representatives and invitees may at any time inspect, repossess, remove and otherwise deal with the Shared Collateral, and any First-Lien Collateral Agent may advertise and conduct public auctions or private sales of the Shared Collateral, in each case without notice to, the involvement of or interference by any Junior-Lien Secured Party or liability to any Junior-Lien Secured Party. </w:t>
      </w:r>
    </w:p>
    <w:p>
      <w:pPr>
        <w:pStyle w:val="TextBody"/>
        <w:bidi w:val="0"/>
        <w:spacing w:before="240" w:after="0"/>
        <w:jc w:val="left"/>
        <w:rPr>
          <w:rFonts w:ascii="Times New Roman" w:hAnsi="Times New Roman"/>
          <w:sz w:val="20"/>
        </w:rPr>
      </w:pPr>
      <w:r>
        <w:rPr>
          <w:rFonts w:ascii="Times New Roman" w:hAnsi="Times New Roman"/>
          <w:sz w:val="20"/>
        </w:rPr>
        <w:t xml:space="preserve">(2) Unless and until the Discharge of First-Lien Obligations has occurred, the First-Lien Collateral Agents and the First-Lien Secured Parties shall have the sole and exclusive right, subject to the rights of the Grantors under the First-Lien Debt Documents, (i) to be named as additional insured and loss payee under any insurance policies maintained from time to time by any Grantor (except that to the extent provided for in the Junior-Lien Debt Documents, the Junior-Lien Collateral Agents shall have the right to be named as additional insureds and loss payees so long as their Junior-Lien status is identified in a manner satisfactory to the First-Lien Collateral Agents), (ii) to adjust settlement for any insurance policy covering the Shared Collateral in the event of any loss thereunder, and to make, adjust or settle any claim under any title insurance policy covering any Shared Collateral (including any such policy issued in favor of any Junior-Lien Collateral Agents, any Junior-Lien Authorized Representative and/or any Junior-Lien Secured Party (and each Junior-Lien Secured Party hereby authorizes the First-Lien Collateral Agents to make, adjust or settle any such claim with respect thereto as agent for each of the Junior-Lien Authorized Representatives, Junior-Lien Collateral Agents or Junior-Lien Secured Parties, which authorization, being coupled with an interest, is irrevocable) and (iii) to approve any award granted in any condemnation or similar proceeding affecting the Shared Collateral. Unless and until the Discharge of First-Lien Obligations has occurred, all proceeds of any such policy and any such award, if in respect of the Shared Collateral, shall be paid (A) first, prior to the occurrence of the Discharge of First-Lien Obligations, to the First-Lien Collateral Agents for the benefit of First-Lien Secured Parties pursuant to the terms of the First-Lien Debt Documents (and subject to the First-Lien Intercreditor Agreement to the extent applicable), (B) second,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occurrence of the Discharge of First-Lien Obligations, to the Designated Junior-Lien Collateral Agent for the benefit of the Junior-Lien Secured Parties pursuant to the terms of the applicable Junior-Lien Debt Documents and (C) third, if no Junior-Lien Obligations are outstanding, to the owner of the subject property, such other Person as may be entitled thereto or as a court of competent jurisdiction may otherwise direct. So long as the Discharge of First-Lien Obligations has not occurred, if any Junior-Lien Authorized Representative, any Junior-Lien Collateral Agent or any Junior-Lien Secured Party shall, at any time, receive any proceeds of any such policy or any such award in contravention of this Agreement, it shall pay such proceeds over to the Applicable First-Lien Collateral Agent in accordance with the terms of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Junior-Lien Collateral Documents</w:t>
      </w:r>
      <w:r>
        <w:rPr>
          <w:rFonts w:ascii="Times New Roman" w:hAnsi="Times New Roman"/>
          <w:sz w:val="20"/>
        </w:rPr>
        <w:t xml:space="preserve">. (a) Each Junior-Lien Authorized Representative and each Junior-Lien Collateral Agent, for itself and on behalf of each Junior-Lien Secured Party under its Junior-Lien Debt Facility, agrees that, unless otherwise agreed in writing by the First-Lien Collateral Agents, each Junior-Lien Collateral Document under its Junior-Lien Debt Facility shall include the following language (or language to a similar effect reasonably approved by the First-Lien Collateral Agents): </w:t>
      </w:r>
    </w:p>
    <w:p>
      <w:pPr>
        <w:pStyle w:val="TextBody"/>
        <w:bidi w:val="0"/>
        <w:spacing w:before="120" w:after="0"/>
        <w:jc w:val="left"/>
        <w:rPr/>
      </w:pPr>
      <w:r>
        <w:rPr/>
        <w:t>“</w:t>
      </w:r>
      <w:r>
        <w:rPr>
          <w:rFonts w:ascii="Times New Roman" w:hAnsi="Times New Roman"/>
          <w:sz w:val="20"/>
        </w:rPr>
        <w:t>Notwithstanding anything herein to the contrary, (i) the liens and security interests granted to the [</w:t>
      </w:r>
      <w:r>
        <w:rPr>
          <w:rFonts w:ascii="Times New Roman" w:hAnsi="Times New Roman"/>
          <w:i/>
          <w:sz w:val="20"/>
        </w:rPr>
        <w:t>Junior</w:t>
      </w:r>
      <w:r>
        <w:rPr>
          <w:rFonts w:ascii="Times New Roman" w:hAnsi="Times New Roman"/>
          <w:sz w:val="20"/>
        </w:rPr>
        <w:t>-</w:t>
      </w:r>
      <w:r>
        <w:rPr>
          <w:rFonts w:ascii="Times New Roman" w:hAnsi="Times New Roman"/>
          <w:i/>
          <w:sz w:val="20"/>
        </w:rPr>
        <w:t>Lien Collateral Agent</w:t>
      </w:r>
      <w:r>
        <w:rPr>
          <w:rFonts w:ascii="Times New Roman" w:hAnsi="Times New Roman"/>
          <w:sz w:val="20"/>
        </w:rPr>
        <w:t>] pursuant to this Agreement are expressly subject and subordinate to the liens and security interests granted in favor of the First-Lien Secured Parties (as defined in the Intercreditor Agreement referred to below), including, without limitation, [</w:t>
      </w:r>
      <w:r>
        <w:rPr>
          <w:rFonts w:ascii="Times New Roman" w:hAnsi="Times New Roman"/>
          <w:i/>
          <w:sz w:val="20"/>
        </w:rPr>
        <w:t>describe applicable First-Lien Debt Documents</w:t>
      </w:r>
      <w:r>
        <w:rPr>
          <w:rFonts w:ascii="Times New Roman" w:hAnsi="Times New Roman"/>
          <w:sz w:val="20"/>
        </w:rPr>
        <w:t>] and (ii) the exercise of any right or remedy by the [</w:t>
      </w:r>
      <w:r>
        <w:rPr>
          <w:rFonts w:ascii="Times New Roman" w:hAnsi="Times New Roman"/>
          <w:i/>
          <w:sz w:val="20"/>
        </w:rPr>
        <w:t>Junior</w:t>
      </w:r>
      <w:r>
        <w:rPr>
          <w:rFonts w:ascii="Times New Roman" w:hAnsi="Times New Roman"/>
          <w:sz w:val="20"/>
        </w:rPr>
        <w:t>-</w:t>
      </w:r>
      <w:r>
        <w:rPr>
          <w:rFonts w:ascii="Times New Roman" w:hAnsi="Times New Roman"/>
          <w:i/>
          <w:sz w:val="20"/>
        </w:rPr>
        <w:t>Lien Collateral Agent</w:t>
      </w:r>
      <w:r>
        <w:rPr>
          <w:rFonts w:ascii="Times New Roman" w:hAnsi="Times New Roman"/>
          <w:sz w:val="20"/>
        </w:rPr>
        <w:t>] hereunder is subject to the limitations and provisions of the Junior-Lien Intercreditor Agreement dated as of [</w:t>
      </w:r>
      <w:r>
        <w:rPr>
          <w:rFonts w:ascii="Times New Roman" w:hAnsi="Times New Roman"/>
          <w:sz w:val="20"/>
          <w:u w:val="single"/>
        </w:rPr>
        <w:t>    </w:t>
      </w:r>
      <w:r>
        <w:rPr>
          <w:rFonts w:ascii="Times New Roman" w:hAnsi="Times New Roman"/>
          <w:sz w:val="20"/>
        </w:rPr>
        <w:t>], 20[ ] (as amended, restated, supplemented or otherwise modified from time to time, the “</w:t>
      </w:r>
      <w:r>
        <w:rPr>
          <w:rFonts w:ascii="Times New Roman" w:hAnsi="Times New Roman"/>
          <w:sz w:val="20"/>
          <w:u w:val="single"/>
        </w:rPr>
        <w:t>Intercreditor Agreement</w:t>
      </w:r>
      <w:r>
        <w:rPr>
          <w:rFonts w:ascii="Times New Roman" w:hAnsi="Times New Roman"/>
          <w:sz w:val="20"/>
        </w:rPr>
        <w:t>”), among the Company, Holdings, the other Grantors party thereto, [</w:t>
      </w:r>
      <w:r>
        <w:rPr>
          <w:rFonts w:ascii="Times New Roman" w:hAnsi="Times New Roman"/>
          <w:i/>
          <w:sz w:val="20"/>
        </w:rPr>
        <w:t>describe applicable parties</w:t>
      </w:r>
      <w:r>
        <w:rPr>
          <w:rFonts w:ascii="Times New Roman" w:hAnsi="Times New Roman"/>
          <w:sz w:val="20"/>
        </w:rPr>
        <w:t xml:space="preserve">] and each additional Authorized Representative that becomes party thereto from time to time. In the event of any conflict between the terms of the Intercreditor Agreement and the terms of this Agreement, the terms of the Intercreditor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Junior-Lien Authorized Representative and each Junior-Lien Collateral Agent, on behalf of the Junior-Lien Secured Parties, agree that each mortgage, if applicable, covering any Shared Collateral shall contain such other language as the Applicable First-Lien Collateral Agent may reasonably request to reflect the subordination of such mortgage to the First-Liens in respect of such Shared Collateral. </w:t>
      </w:r>
    </w:p>
    <w:p>
      <w:pPr>
        <w:pStyle w:val="TextBody"/>
        <w:bidi w:val="0"/>
        <w:spacing w:before="240" w:after="0"/>
        <w:jc w:val="left"/>
        <w:rPr>
          <w:rFonts w:ascii="Times New Roman" w:hAnsi="Times New Roman"/>
          <w:sz w:val="20"/>
        </w:rPr>
      </w:pPr>
      <w:r>
        <w:rPr>
          <w:rFonts w:ascii="Times New Roman" w:hAnsi="Times New Roman"/>
          <w:sz w:val="20"/>
        </w:rPr>
        <w:t xml:space="preserve">(2) In the event any First-Lien Collateral Agent enters into any amendment, waiver or consent in respect of any of the First-Lien Collateral Documents for the purpose of adding to, or deleting from, or waiving or consenting to any departures from any provisions of, any First-Lien Collateral Document or changing in any manner the rights of any parties thereunder, in each case solely with respect to any Shared Collateral, then such amendment, waiver or consent shall apply automatically to any comparable provision of the Junior-Lien Collateral Document without the consent of or action by any Junior-Lien Secured Party; </w:t>
      </w:r>
      <w:r>
        <w:rPr>
          <w:rFonts w:ascii="Times New Roman" w:hAnsi="Times New Roman"/>
          <w:sz w:val="20"/>
          <w:u w:val="single"/>
        </w:rPr>
        <w:t>provided</w:t>
      </w:r>
      <w:r>
        <w:rPr>
          <w:rFonts w:ascii="Times New Roman" w:hAnsi="Times New Roman"/>
          <w:sz w:val="20"/>
        </w:rPr>
        <w:t xml:space="preserve"> that notice of such amendment, waiver or consent shall be given to the Designated Junior-Lien Authorized Representative no later than 30 days after its effectiveness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give such notice shall not affect the effectiveness and validity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Anything contained herein to the contrary notwithstanding, until the Discharge of First-Lien Obligations has occurred, no Junior-Lien Collateral Document shall be entered into unless the Collateral covered thereby is also subject to a perfected first-priority interest in favor of each First-Lien Collateral Agent for the benefit of the First-Lien Secured Parties pursuant to the First-Lien Collateral Documents (other than with respect to Additional First-Lien Debt Obligations that, by their terms, are not intended to be secured by all of the First-Lien Collateral and, in particular, are not intended to be secured by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Amendments to First-Lien Debt Documents; First-Lien Obligations</w:t>
      </w:r>
      <w:r>
        <w:rPr>
          <w:rFonts w:ascii="Times New Roman" w:hAnsi="Times New Roman"/>
          <w:sz w:val="20"/>
        </w:rPr>
        <w:t xml:space="preserve">. Each Junior-Lien Authorized Representative and each Junior-Lien Collateral Agent, on behalf of itself and the Junior-Lien Secured Parties, agrees that, without affecting the obligations of the Junior-Lien Secured Parties hereunder, the First-Lien Collateral Agents, the First-Lien Authorized Representatives and the First-Lien Secured Parties represented thereby may, at any time and from time to time, in their sole discretion without the consent of or notice to any such Junior-Lien Secured Party, and without incurring any liability to such Junior-Lien Secured Party or impairing or releasing the subordination provided for herein, amend, restate, supplement, replace, refinance, extend, consolidate, restructure or otherwise modify any of the First-Lien Debt Documents in any manner whatsoever, including to (i) change the manner, place, time or terms of payment, or renew, alter or increase, all or any of the First-Lien Obligations, or otherwise amend, restate, supplement or otherwise modify in any manner, or grant any waiver or release with respect to, all or any part of the First-Lien Obligations or any of the First-Lien Debt Documents, (ii) retain or obtain a Lien on any Property of any Person to secure any of the First-Lien Obligations, and in connection therewith to enter into any additional First-Lien Debt Documents, (iii) amend, or grant any waiver, compromise or release with respect to, or consent to any departure from, any guaranty or other obligation of any Person obligated in any manner under or in respect of the First-Lien Obligations, (iv) release its Lien on any Shared Collateral or other Property, (v) exercise or refrain from exercising any rights against any Grantor or any other Person, (vi) retain or obtain the primary or secondary obligation of any other Person with respect to any of the First-Lien Obligations, and (vii) otherwise manage and supervise the First-Lien Obligations as the applicable First-Lien Collateral Agents or First-Lien Authorized Representatives shall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Amendments to Junior-Lien Debt Documents</w:t>
      </w:r>
      <w:r>
        <w:rPr>
          <w:rFonts w:ascii="Times New Roman" w:hAnsi="Times New Roman"/>
          <w:sz w:val="20"/>
        </w:rPr>
        <w:t xml:space="preserve">. Each Junior-Lien Authorized Representative and each Junior-Lien Collateral Agent, on behalf of themselves and the Junior-Lien Secured Parties, agree that they shall not at any time execute or deliver any amendment or other modification to any of the Junior-Lien Debt Documents inconsistent with or in violation of this Agreement or any then effective First-Lien Debt Document. Subject to the immediately preceding sentence, each First-Lien Collateral Agent, on behalf of itself and the First-Lien Secured Parties represented thereby, agrees that, without affecting the obligations of the First-Lien Secured Parties hereunder, the Junior-Lien Authorized Representatives, the Junior-Lien Collateral Agents and the Junior-Lien Secured Parties may, at any time and from time to time, in their sole discretion without the consent of or notice to any First-Lien Secured Party (except to the extent such notice or consent is required pursuant to the express provisions of this Agreement), and without incurring any liability to such First-Lien Secured Party or impairing or releasing the priority provided for herein, amend, restate, supplement, replace, refinance, extend, consolidate, restructure or otherwise modify any of the Junior-Lien Debt Documents in any manner whatsoever, including to (i) change the manner, place, time or terms of payment, or renew, alter or increase, all or any of the Junior-Lien Obligations, or otherwise amend, restate, supplement or otherwise modify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manner, or grant any waiver or release with respect to, all or any part of the Junior-Lien Obligations or any of the Junior-Lien Debt Documents, (ii) retain or obtain a Lien on any Property of any Person to secure any of the Junior-Lien Obligations, and in connection therewith to enter into any additional Junior-Lien Debt Documents, (iii) amend, or grant any waiver, compromise or release with respect to, or consent to any departure from, any guaranty or other obligation of any Person obligated in any manner under or in respect of the Junior-Lien Obligations, (iv) release its Lien on any Shared Collateral or other Property, (v) exercise or refrain from exercising any rights against any Grantor or any other Person, (vi) retain or obtain the primary or secondary obligation of any other Person with respect to any of the Junior-Lien Obligations, and (vii) otherwise manage and supervise the Junior-Lien Obligations as the relevant Junior-Lien Authorized Representative shall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Copies of Amendment Documentation</w:t>
      </w:r>
      <w:r>
        <w:rPr>
          <w:rFonts w:ascii="Times New Roman" w:hAnsi="Times New Roman"/>
          <w:sz w:val="20"/>
        </w:rPr>
        <w:t xml:space="preserve">. The Company agrees to promptly deliver to the First-Lien Collateral Agents copies of (i) any amendments, supplements or other modifications to the Junior-Lien Collateral Documents and (ii) any new Junior-Lien Collateral Documents promptly after effectiveness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Rights as Unsecured Creditors</w:t>
      </w:r>
      <w:r>
        <w:rPr>
          <w:rFonts w:ascii="Times New Roman" w:hAnsi="Times New Roman"/>
          <w:sz w:val="20"/>
        </w:rPr>
        <w:t xml:space="preserve">. Subject to </w:t>
      </w:r>
      <w:r>
        <w:rPr>
          <w:rFonts w:ascii="Times New Roman" w:hAnsi="Times New Roman"/>
          <w:sz w:val="20"/>
          <w:u w:val="single"/>
        </w:rPr>
        <w:t>Section 3.2</w:t>
      </w:r>
      <w:r>
        <w:rPr>
          <w:rFonts w:ascii="Times New Roman" w:hAnsi="Times New Roman"/>
          <w:sz w:val="20"/>
        </w:rPr>
        <w:t xml:space="preserve"> and </w:t>
      </w:r>
      <w:r>
        <w:rPr>
          <w:rFonts w:ascii="Times New Roman" w:hAnsi="Times New Roman"/>
          <w:sz w:val="20"/>
          <w:u w:val="single"/>
        </w:rPr>
        <w:t>Articles</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the Junior-Lien Authorized Representatives, the Junior-Lien Collateral Agents and the Junior-Lien Secured Parties may exercise rights and remedies as unsecured creditors against the Company and any other Grantor in accordance with the terms of the Junior-Lien Debt Documents, applicable law and this Agreement. Nothing in this Agreement shall prohibit the receipt by any Junior-Lien Authorized Representative, any Junior-Lien Collateral Agent or any Junior-Lien Secured Party of the required payments of interest and principal so long as such receipt is not the direct or indirect result of (a) the exercise in contravention of this Agreement by any Junior-Lien Authorized Representative, any Junior-Lien Collateral Agent or any Junior-Lien Secured Party of rights or remedies as a secured creditor in respect of Shared Collateral or other Collateral or (b) enforcement in contravention of this Agreement of any Lien in respect of Junior-Lien Obligations held by any of them. Nothing in this Agreement shall impair or otherwise adversely affect any rights or remedies the First-Lien Collateral Agents, the First-Lien Authorized Representatives or the First-Lien Secured Parties may have with respect to the First-Lien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Gratuitous Bailee for Perfection</w:t>
      </w:r>
      <w:r>
        <w:rPr>
          <w:rFonts w:ascii="Times New Roman" w:hAnsi="Times New Roman"/>
          <w:sz w:val="20"/>
        </w:rPr>
        <w:t>. (a) Each First-Lien Collateral Agent acknowledges and agrees that if it shall at any time hold a Lien securing any First-Lien Obligations on any Shared Collateral that can be perfected by the possession or control of such Shared Collateral or of any account in which such Shared Collateral is held, and if such Shared Collateral or any such account is in fact in the possession or under the control of such First-Lien Collateral Agent, or of agents or bailees of such First-Lien Collateral Agent (such Shared Collateral being referred to herein as the “</w:t>
      </w:r>
      <w:r>
        <w:rPr>
          <w:rFonts w:ascii="Times New Roman" w:hAnsi="Times New Roman"/>
          <w:sz w:val="20"/>
          <w:u w:val="single"/>
        </w:rPr>
        <w:t>Pledged or Controlled Collateral</w:t>
      </w:r>
      <w:r>
        <w:rPr>
          <w:rFonts w:ascii="Times New Roman" w:hAnsi="Times New Roman"/>
          <w:sz w:val="20"/>
        </w:rPr>
        <w:t xml:space="preserve">”), or if it shall any time obtain any landlord waiver or bailee’s letter or any similar agreement or arrangement granting it rights or access to Shared Collateral, such First-Lien Collateral Agent shall also hold such Pledged or Controlled Collateral, or take such actions with respect to such landlord waiver, bailee’s letter or similar agreement or arrangement, as sub-agent or gratuitous bailee for the relevant Junior-Lien Collateral Agent, in each case solely for the purpose of perfecting the Liens granted under the relevant Junior-Lien Collateral Documents and subject to the terms and conditions of this </w:t>
      </w:r>
      <w:r>
        <w:rPr>
          <w:rFonts w:ascii="Times New Roman" w:hAnsi="Times New Roman"/>
          <w:sz w:val="20"/>
          <w:u w:val="single"/>
        </w:rPr>
        <w:t>Section 5.8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any First-Lien Collateral Agent (or its agents or bailees) has Lien filings against Intellectual Property that is part of the Shared Collateral that are necessary for the perfection of Liens in such Shared Collateral, such First-Lien Collateral Agent agrees to hold such Liens as sub-agent and gratuitous bailee for the relevant Junior-Lien Collateral Agent and any assignee thereof, solely for the purpose of perfecting the security interest granted in such Liens pursuant to the relevant Junior-Lien Collateral Documents, subject to the terms and conditions of this </w:t>
      </w:r>
      <w:r>
        <w:rPr>
          <w:rFonts w:ascii="Times New Roman" w:hAnsi="Times New Roman"/>
          <w:sz w:val="20"/>
          <w:u w:val="single"/>
        </w:rPr>
        <w:t>Section 5.8</w:t>
      </w:r>
      <w:r>
        <w:rPr>
          <w:rFonts w:ascii="Times New Roman" w:hAnsi="Times New Roman"/>
          <w:sz w:val="20"/>
        </w:rPr>
        <w:t xml:space="preserve"> (such bailment being intended, among other things, to satisfy the requirements of Sections 8-106(d)(3), 8-301(a)(2) and 9-313(c) of the UCC).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specifically provided herein, until the Discharge of First-Lien Obligations has occurred, the First-Lien Collateral Agents shall be entitled to deal with the Pledged or Controlled Collateral in accordance with the terms of the First-Lien Debt Documents as if the Liens under the Junior-Lien Collateral Documents did not exist. The rights of the Junior-Lien Authorized Representatives, the Junior-Lien Collateral Agents and the Junior-Lien Secured Parties with respect to the Pledged or Controlled Collateral shall at all times be subject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 First-Lien Collateral Agent shall have any obligation whatsoever to any Junior-Lien Authorized Representative, any Junior-Lien Collateral Agent or any Junior-Lien Secured Party to assure that any of the Pledged or Controlled Collateral is genuine or owned by the Grantors or to protect or preserve rights or benefits of any Person or any rights pertaining to the Shared Collateral, except as expressly set forth in this </w:t>
      </w:r>
      <w:r>
        <w:rPr>
          <w:rFonts w:ascii="Times New Roman" w:hAnsi="Times New Roman"/>
          <w:sz w:val="20"/>
          <w:u w:val="single"/>
        </w:rPr>
        <w:t>Section 5.8</w:t>
      </w:r>
      <w:r>
        <w:rPr>
          <w:rFonts w:ascii="Times New Roman" w:hAnsi="Times New Roman"/>
          <w:sz w:val="20"/>
        </w:rPr>
        <w:t xml:space="preserve">. The duties or responsibilities of the First-Lien Collateral Agents under this </w:t>
      </w:r>
      <w:r>
        <w:rPr>
          <w:rFonts w:ascii="Times New Roman" w:hAnsi="Times New Roman"/>
          <w:sz w:val="20"/>
          <w:u w:val="single"/>
        </w:rPr>
        <w:t>Section 5.8</w:t>
      </w:r>
      <w:r>
        <w:rPr>
          <w:rFonts w:ascii="Times New Roman" w:hAnsi="Times New Roman"/>
          <w:sz w:val="20"/>
        </w:rPr>
        <w:t xml:space="preserve"> shall be limited solely to holding or controlling the Shared Collateral and the related Liens referred to in paragraphs (a) and (b) of this </w:t>
      </w:r>
      <w:r>
        <w:rPr>
          <w:rFonts w:ascii="Times New Roman" w:hAnsi="Times New Roman"/>
          <w:sz w:val="20"/>
          <w:u w:val="single"/>
        </w:rPr>
        <w:t>Section 5.8</w:t>
      </w:r>
      <w:r>
        <w:rPr>
          <w:rFonts w:ascii="Times New Roman" w:hAnsi="Times New Roman"/>
          <w:sz w:val="20"/>
        </w:rPr>
        <w:t xml:space="preserve"> as sub-agent and gratuitous bailee for the relevant Junior-Lien Collateral Agent for purposes of perfecting the Lien held by such Junior-Lien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(c) No First-Lien Collateral Agent shall have by reason of the Junior-Lien Collateral Documents or this Agreement, or any other document, a fiduciary relationship in respect of any Junior-Lien Authorized Representative, any Junior-Lien Collateral Agent or any Junior-Lien Secured Party, and each Junior-Lien Authorized Representative and each Junior-Lien Collateral Agent, for itself and on behalf of each Junior-Lien Secured Party under its Junior-Lien Debt Facility, hereby waives and releases each First-Lien Collateral Agent from all claims and liabilities arising pursuant to such First-Lien Collateral Agent’s role under this </w:t>
      </w:r>
      <w:r>
        <w:rPr>
          <w:rFonts w:ascii="Times New Roman" w:hAnsi="Times New Roman"/>
          <w:sz w:val="20"/>
          <w:u w:val="single"/>
        </w:rPr>
        <w:t>Section 5.8</w:t>
      </w:r>
      <w:r>
        <w:rPr>
          <w:rFonts w:ascii="Times New Roman" w:hAnsi="Times New Roman"/>
          <w:sz w:val="20"/>
        </w:rPr>
        <w:t xml:space="preserve"> as sub-agent and gratuitous bailee with respect to the Shared Collateral. </w:t>
      </w:r>
    </w:p>
    <w:p>
      <w:pPr>
        <w:pStyle w:val="TextBody"/>
        <w:bidi w:val="0"/>
        <w:spacing w:before="240" w:after="0"/>
        <w:jc w:val="left"/>
        <w:rPr>
          <w:rFonts w:ascii="Times New Roman" w:hAnsi="Times New Roman"/>
          <w:sz w:val="20"/>
        </w:rPr>
      </w:pPr>
      <w:r>
        <w:rPr>
          <w:rFonts w:ascii="Times New Roman" w:hAnsi="Times New Roman"/>
          <w:sz w:val="20"/>
        </w:rPr>
        <w:t xml:space="preserve">(d) Upon the Discharge of First-Lien Obligations, the Applicable First-Lien Collateral Agent shall, at the Grantors’ sole cost and expense, (A) deliver to the Designated Junior-Lien Collateral Agent all Shared Collateral, including all proceeds thereof, held or controlled by the Applicable First-Lien Collateral Agent or any of its agents or bailees, including the transfer of possession and control, as applicable, of the Pledged or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(including pursuant to the delivery of change of agent notices under deposit account control agreements and similar agreements) or (B) if the Junior-Lien Obligations are not outstanding at such time, direct and deliver such Shared Collateral to the respective Grantors or as a court of competent jurisdiction may otherwise direct. The Company and the other Grantors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such further action as is required to effectuate the transfer contemplated hereby and shall indemnify each First-Lien Collateral Agent for loss or damage suffered by such First-Lien Collateral Agent as a result of such transfer, except to the extent such loss or damage is determined by a court of competent jurisdiction by a final and non-appealable judgment to have been suffered by such First-Lien Collateral Agent as a result of its own willful misconduct, gross negligence or bad faith. No First-Lien Collateral Agent has any obligation to follow instructions from the Designated Junior-Lien Collateral Agent in contravention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None of the First-Lien Collateral Agents nor any of the First-Lien Authorized Representatives or First-Lien Secured Parties shall be required to marshal any present or future collateral security for any obligations of the Company or any Subsidiary or other Grantor to any First-Lien Collateral Agent, any First-Lien Authorized Representative or any First-Lien Secured Party under the First-Lien Debt Documents or any assurance of payment in respect thereof, or to resort to such collateral security or other assurances of payment in any particular order, and all of their rights in respect of such collateral security or any assurance of payment in respect thereof shall be cumulative and in addition to all other rights, however existing or arising.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When Discharge of First-Lien Obligations Deemed to Not Have</w:t>
      </w:r>
      <w:r>
        <w:rPr>
          <w:rFonts w:ascii="Times New Roman" w:hAnsi="Times New Roman"/>
          <w:sz w:val="20"/>
        </w:rPr>
        <w:t xml:space="preserve"> </w:t>
      </w:r>
      <w:r>
        <w:rPr>
          <w:rFonts w:ascii="Times New Roman" w:hAnsi="Times New Roman"/>
          <w:sz w:val="20"/>
          <w:u w:val="single"/>
        </w:rPr>
        <w:t>Occurred</w:t>
      </w:r>
      <w:r>
        <w:rPr>
          <w:rFonts w:ascii="Times New Roman" w:hAnsi="Times New Roman"/>
          <w:sz w:val="20"/>
        </w:rPr>
        <w:t xml:space="preserve">. If, in connection with the Discharge of First-Lien Obligations, the Company or any other Grantor enters into any substantially concurrent Refinancing of any First-Lien Obligations, then such Discharge of First-Lien Obligations shall automatically be deemed not to have occurred for all purposes of this Agreement and the applicable agreement governing such First-Lien Obligations shall automatically be treated as a First-Lien Debt Document for all purposes of this Agreement, including for purposes of the Lien priorities and rights in respect of Shared Collateral set forth herein and the granting by the Applicable First-Lien Collateral Agent of amendments, waivers and consents hereunder and the agent, representative or trustee for the holders of such First-Lien Obligations shall be a First-Lien Collateral Agent for all purposes of this Agreement. Upon receipt of notice that the Company has entered into a new First-Lien Debt Document (which notice shall include the identity of a new First-Lien Collateral Agent), each Junior-Lien Authorized Representative and each Junior-Lien Collateral Agent shall promptly (a) enter into such documents and agreements (at the expense of the Company), including amendments or supplements to this Agreement, as the Company or such new First-Lien Collateral Agent shall reasonably request in writing in order to provide the new First-Lien Collateral Agent the rights of a First-Lien Collateral Agent contemplated hereby, in each case consistent in all material respects with this Agreement, (b) to the extent required pursuant to the terms of the First-Lien Intercreditor Agreement, deliver to the new First-Lien Collateral Agent all Shared Collateral, including all proceeds thereof, held or controlled by such Junior-Lien Authorized Representative or such Junior-Lien Collateral Agent or any of its agents or bailees, including the transfer of possession and control, as applicable, of the Pledged or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(c) notify any applicable insurance carrier that it is no longer entitled to be a loss payee or additional insured under the insurance policies of any Grantor issued by such insurance carrier and (d) notify any governmental authority involved in any condemnation or similar proceeding involving a Grantor that the new First-Lien Collateral Agent is entitled to approve any awards granted in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Insolvency or Liquidation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Filing of Motions</w:t>
      </w:r>
      <w:r>
        <w:rPr>
          <w:rFonts w:ascii="Times New Roman" w:hAnsi="Times New Roman"/>
          <w:sz w:val="20"/>
        </w:rPr>
        <w:t xml:space="preserve">. Until the Discharge of First-Lien Obligations has occurred, each Junior-Lien Authorized Representative and each Junior-Lien Collateral Agent agrees on behalf of itself and the other Junior-Lien Secured Parties that no Junior-Lien Secured Party shall, in or in connection with any Insolvency or Liquidation Proceeding, file any pleadings or motions, take any position at any hearing or proceeding of any nature, join with or support any other Person doing so, or otherwise take any action whatsoever, including without limitation any such action that (a) violates, or is prohibited by, this </w:t>
      </w:r>
      <w:r>
        <w:rPr>
          <w:rFonts w:ascii="Times New Roman" w:hAnsi="Times New Roman"/>
          <w:sz w:val="20"/>
          <w:u w:val="single"/>
        </w:rPr>
        <w:t>Article VI</w:t>
      </w:r>
      <w:r>
        <w:rPr>
          <w:rFonts w:ascii="Times New Roman" w:hAnsi="Times New Roman"/>
          <w:sz w:val="20"/>
        </w:rPr>
        <w:t xml:space="preserve"> (or, in the absence of an Insolvency or Liquidation Proceeding, otherwise would violate or be prohibited by this Agreement), (b) asserts any right, benefit or privilege that arises in favor of the Junior-Lien Authorized Representative, the Junior-Lien Collateral Agents or Junior-Lien Secured Parties, in whole or in part, as a result of their interest in the Shared Collateral (unless the assertion of such right is expressly permitted by this Agreement) or (c) challenges the validity, priority, enforceability or voidability of any Liens or claims held by any First-Lien Collateral Agent or any other First-Lien Secured Party with respect to the Shared Collateral, or the extent to which the First-Lien Obligations constitute secured claims or the value thereof under Section 506(a) of the Bankruptcy Code or otherwise; </w:t>
      </w:r>
      <w:r>
        <w:rPr>
          <w:rFonts w:ascii="Times New Roman" w:hAnsi="Times New Roman"/>
          <w:sz w:val="20"/>
          <w:u w:val="single"/>
        </w:rPr>
        <w:t>provided</w:t>
      </w:r>
      <w:r>
        <w:rPr>
          <w:rFonts w:ascii="Times New Roman" w:hAnsi="Times New Roman"/>
          <w:sz w:val="20"/>
        </w:rPr>
        <w:t xml:space="preserve"> that the Designated Junior-Lien Authorized Representative or the Designated Junior-Lien Collateral Agent may (i) file a proof of claim in an Insolvency or Liquidation Proceeding and (ii) file any necessary responsive or defensive pleadings in opposition of any motion or other pleadings made by any Person objecting to or otherwise seeking the disallowance of the claims of the Junior-Lien Secured Parties on the Shared Collateral, subject to the limitations contained in this Agreement and only if consistent with the terms and the limitations on the Junior-Lien Authorized Representatives and Junior-Lien Collateral Agents imposed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Financing Issues</w:t>
      </w:r>
      <w:r>
        <w:rPr>
          <w:rFonts w:ascii="Times New Roman" w:hAnsi="Times New Roman"/>
          <w:sz w:val="20"/>
        </w:rPr>
        <w:t>. Until the Discharge of First-Lien Obligations has occurred, if the Company or any other Grantor shall be subject to any Insolvency or Liquidation Proceeding, and if any First-Lien Secured Parties (or their respective Authorized Representative) or the Controlling First-Lien Parties (or the Applicable First-Lien Authorized Representative), shall desire to consent (or not object) to the sale, use or lease of collateral under the Bankruptcy Code or to provide financing to any Grantor under the Bankruptcy Code or to consent (or not object) to the provision of such debtor-in-possession financing to any Grantor by any third party (any such financing, “</w:t>
      </w:r>
      <w:r>
        <w:rPr>
          <w:rFonts w:ascii="Times New Roman" w:hAnsi="Times New Roman"/>
          <w:sz w:val="20"/>
          <w:u w:val="single"/>
        </w:rPr>
        <w:t>DIP Financing</w:t>
      </w:r>
      <w:r>
        <w:rPr>
          <w:rFonts w:ascii="Times New Roman" w:hAnsi="Times New Roman"/>
          <w:sz w:val="20"/>
        </w:rPr>
        <w:t xml:space="preserve">”), then each Junior-Lien Authorized Representative and each Junior-Lien Collateral Agent agrees, on behalf of itself and the other Junior-Lien Secured Parties, that each Junior-Lien Secured Party (a) will be deemed to have consented to, will raise no objection to, nor support any other Person objecting to, and will not otherwise contest, the sale, use or lease of such collateral or to such DIP Financing, (b) will not request or accept adequate protection or any other relief in connection with the use of such cash collateral or such DIP Financing except as set forth in </w:t>
      </w:r>
      <w:r>
        <w:rPr>
          <w:rFonts w:ascii="Times New Roman" w:hAnsi="Times New Roman"/>
          <w:sz w:val="20"/>
          <w:u w:val="single"/>
        </w:rPr>
        <w:t>Section 6.4</w:t>
      </w:r>
      <w:r>
        <w:rPr>
          <w:rFonts w:ascii="Times New Roman" w:hAnsi="Times New Roman"/>
          <w:sz w:val="20"/>
        </w:rPr>
        <w:t xml:space="preserve"> and (c) will subordinate (and will be deemed hereunder to have subordinated) the Junior-Liens on any Shared Collateral (i) to such DIP Financing on the same terms as the First-Liens are subordinated thereto (and such subordination will not alter in any manner the terms of this Agreement), (ii) to any adequate protection provided to the First-Lien Secured Parties, (iii) to any “carve-out” for professional and United States Trustee fees agreed to by the Applicable First-Lien Collateral Agent or the other First-Lien Secured Parties, and (iv) agrees that notice received two (2) calendar days prior to the entry of an order approving such usage of cash collateral or approving such financing shall be adequate notice. Nothing herein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prohibit the Junior-Lien Secured Parties from (A) exercising their rights to vote in favor of or against a plan of reorganization, (B) proposing any post-petition financing so long as the First-Lien Secured Parties are receiving post-petition interest in at least the same form being requested by the Junior-Lien Secured Parties or (C) other than with respect to any DIP Financing, objecting to any provision in any post-petition financing.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Relief from the Automatic Stay</w:t>
      </w:r>
      <w:r>
        <w:rPr>
          <w:rFonts w:ascii="Times New Roman" w:hAnsi="Times New Roman"/>
          <w:sz w:val="20"/>
        </w:rPr>
        <w:t xml:space="preserve">. Until the Discharge of First-Lien Obligations has occurred, each Junior-Lien Authorized Representative and each Junior-Lien Collateral Agent, for itself and on behalf of each Junior-Lien Secured Party under its Junior-Lien Debt Facility, agrees that (a) none of them shall seek relief from the automatic stay or any other stay in any Insolvency or Liquidation Proceeding or take any action in derogation thereof, in each case in respect of any Shared Collateral, without the prior written consent of the Applicable First-Lien Collateral Agent and (b) it will raise no objection to, and will not support any objection to, and will not otherwise contest any motion for relief from the automatic stay or from any injunction against foreclosure or enforcement in respect of First-Lien Obligations made by any First-Lien Collateral Agent or any holder of First-Lien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Adequate Protection</w:t>
      </w:r>
      <w:r>
        <w:rPr>
          <w:rFonts w:ascii="Times New Roman" w:hAnsi="Times New Roman"/>
          <w:sz w:val="20"/>
        </w:rPr>
        <w:t xml:space="preserve">. Each Junior-Lien Authorized Representative and each Junior-Lien Collateral Agent, for itself and on behalf of each Junior-Lien Secured Party under its Junior-Lien Debt Facility, agrees that none of them shall object, contest, support or join with any other Person objecting to or contesting (a) any request by any First-Lien Collateral Agent, First-Lien Authorized Representative or First-Lien Secured Party for adequate protection, (b) any objection by any First-Lien Collateral Agent, First-Lien Authorized Representative or First-Lien Secured Party to any motion, relief, action or proceeding based on any First-Lien Collateral Agent’s or any First-Lien Authorized Representative’s or First-Lien Secured Party’s claiming a lack of adequate protection or (c) the payment of interest, fees, expenses or other amounts of any First-Lien Collateral Agent, any First-Lien Authorized Representative or any other First-Lien Secured Party. Each Junior Lien Authorized Representative and each Junior-Lien Collateral Agent, on behalf of itself and the other Junior-Lien Secured Parties, further agrees that, prior to the Discharge of First-Lien Obligations, none of them shall (i) assert or enforce any claim under Section 506(b) or 506(c) of the Bankruptcy Code or otherwise that is senior to or on a parity with the First-Liens for costs or expenses of preserving or disposing of any Shared Collateral or (ii) seek or accept any form of adequate protection under any of Sections 362, 363 and/or 364 of the Bankruptcy Code. Notwithstanding anything contained in this </w:t>
      </w:r>
      <w:r>
        <w:rPr>
          <w:rFonts w:ascii="Times New Roman" w:hAnsi="Times New Roman"/>
          <w:sz w:val="20"/>
          <w:u w:val="single"/>
        </w:rPr>
        <w:t>Section 6.4</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in any Insolvency or Liquidation Proceeding, (i) the Junior-Lien Authorized Representatives, the Junior-Lien Collateral Agents and the Junior-Lien Secured Parties may seek, support, accept or retain adequate protection (A) only if the First-Lien Secured Parties are granted adequate protection that includes replacement liens on additional collateral and superpriority claims and the First-Lien Collateral Agents do not object to the adequate protection being provided to the First-Lien Secured Parties and (B) solely in the form of (1) a replacement Lien on such additional collateral, subordinated to the Liens securing the First-Lien Obligations and such DIP Financing on the same basis as the other Liens securing the Junior-Lien Obligations are so subordinated to the First-Lien Obligations under this Agreement and (2) superpriority claims junior in all respects to the superpriority claims granted to the First-Lien Secured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relevant Junior-Lien Authorized Representative or relevant Junior-Lien Collateral Agent, as applicable, shall have irrevocably agreed, pursuant to Section 1129(a)(9) of the Bankruptcy Code, on behalf of itself and the Junior-Lien Secured Parties for which it is acting, in any stipulation and/or order granting such adequate protection, that such junior superpriority claims may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any plan of reorganization under Chapter 11 of the Bankruptcy Code that the First-Lien Secured Parties and First-Lien Agent support, in any combination of cash, debt, equity or other property, and (ii) in the event any Junior-Lien Authorized Representative or any Junior-Lien Collateral Agent, on behalf of itself and the Junior-Lien Secured Parties, receives adequate protection, including in the form of additional collateral, then such Junior-Lien Authorized Representative or Junior-Lien Collateral Agent, on behalf of itself and the Junior-Lien Secured Parties, agrees that the First-Lien Secured Parties shall have a senior Lien and claim on such adequate protection as security for the First-Lien Obligations and that any Lien on any additional collateral securing the Junior-Lien Obligations shall be subordinated to the Liens on such Collateral securing the First-Lien Obligations and any DIP Financing (and all Obligations relating thereto) and any other Liens granted to the First-Lien Secured Parties as adequate protection, with such subordination to be on the same terms that the other Liens securing the Junior-Lien Obligations are subordinated to such First-Lien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Avoidance Issues</w:t>
      </w:r>
      <w:r>
        <w:rPr>
          <w:rFonts w:ascii="Times New Roman" w:hAnsi="Times New Roman"/>
          <w:sz w:val="20"/>
        </w:rPr>
        <w:t>. If any First-Lien Secured Party is required in any Insolvency or Liquidation Proceeding or otherwise to disgorge, turn over or otherwise pay to the estate of any Grantor, because such amount was avoided or ordered to be paid or disgorged for any reason, including without limitation because it was found to be a fraudulent or preferential transfer, any amount (a “</w:t>
      </w:r>
      <w:r>
        <w:rPr>
          <w:rFonts w:ascii="Times New Roman" w:hAnsi="Times New Roman"/>
          <w:sz w:val="20"/>
          <w:u w:val="single"/>
        </w:rPr>
        <w:t>Recovery</w:t>
      </w:r>
      <w:r>
        <w:rPr>
          <w:rFonts w:ascii="Times New Roman" w:hAnsi="Times New Roman"/>
          <w:sz w:val="20"/>
        </w:rPr>
        <w:t xml:space="preserve">”), whether received as proceeds of security, enforcement of any right of set-off or otherwise, then the First-Lien Obligations shall be reinstated to the extent of such Recovery and deemed to be outstanding as if such payment had not occurred and the Discharge of First-Lien Obligations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 The Junior-Lien Secured Parties agree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 Any Shared Collateral or proceeds thereof received by any Junior-Lien Secured Party prior to the time of such Recovery shall be deemed to have been received prior to the Discharge of First-Lien Obligations and subject to the provisions of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Application</w:t>
      </w:r>
      <w:r>
        <w:rPr>
          <w:rFonts w:ascii="Times New Roman" w:hAnsi="Times New Roman"/>
          <w:sz w:val="20"/>
        </w:rPr>
        <w:t xml:space="preserve">. This Agreement shall be applicable prior to and after the commencement of any Insolvency or Liquidation Proceeding. All references herein to any Grantor shall apply to any trustee for such Person and such Person as debtor in possession. The relative rights as to the Shared Collateral and other Collateral and proceeds thereof shall continue after the filing thereof on the same basis as prior to the date of the petition, subject to any court order approving the financing of, or use of cash collateral by, any Grantor.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Waivers</w:t>
      </w:r>
      <w:r>
        <w:rPr>
          <w:rFonts w:ascii="Times New Roman" w:hAnsi="Times New Roman"/>
          <w:sz w:val="20"/>
        </w:rPr>
        <w:t xml:space="preserve">. Until the Discharge of First-Lien Obligations has occurred, each Junior-Lien Authorized Representative and each Junior-Lien Collateral Agent, on behalf of itself and each applicable Junior-Lien Secured Party, (a) will not assert or enforce any claim under Section 506(c) of the Bankruptcy Code or seek to recover any amounts that any Grantor may obtain by virtue of any claim under such Section 506(c) for costs or expenses of preserving or disposing of any Shared Collateral or other Collateral, and (b) will not seek to exercise any rights under Section 1111(b) of the Bankruptcy Code and waives any claim it may now or hereafter have against any First-Lien Secured Party arising out of the election by any First-Lien Secured Parties of the application to the claims of any First-Lien Secured Party of Section 1111(b)(2) of the Bankruptcy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Asset Dispositions in an Insolvency Proceeding</w:t>
      </w:r>
      <w:r>
        <w:rPr>
          <w:rFonts w:ascii="Times New Roman" w:hAnsi="Times New Roman"/>
          <w:sz w:val="20"/>
        </w:rPr>
        <w:t xml:space="preserve">. In an Insolvency or Liquidation Proceeding or otherwise, neither the Junior-Lien Authorized Representatives, the Junior-Lien Collateral Agents nor any other Junior-Lien Secured Party shall oppose any sale or disposition of any Shared Collateral that is consented to or supported by the requisite First-Lien Secured Parties (or their respective Authorized Representative), and each Junior-Lien Authorized Representative, each Junior-Lien Collateral Agent and each other Junior-Lien Secured Party will be deemed to have consented under Section 363 of the Bankruptcy Code (and otherwise) to any sale supported by the requisite First-Lien Secured Parties and to have released their Liens on such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Separate Grants of Security and Separate Classifications</w:t>
      </w:r>
      <w:r>
        <w:rPr>
          <w:rFonts w:ascii="Times New Roman" w:hAnsi="Times New Roman"/>
          <w:sz w:val="20"/>
        </w:rPr>
        <w:t xml:space="preserve">. Each party to this Agreement acknowledges and agrees that (a) the grants of Liens pursuant to the First-Lien Collateral Documents and the Junior-Lien Collateral Documents constitute two separate and distinct grants of Liens and (b) because of, among other things, their differing rights in the Shared Collateral, the Junior-Lien Obligations are fundamentally different from the First-Lien Obligations and must be separately classified in any plan of reorganization proposed or adopted in an Insolvency or Liquidation Proceeding, and the First-Lien Secured Parties and the Junior-Lien Secured Parties shall be entitled to vote as separate classes on any plan of reorganization. To further effectuate the intent of the parties as provided in the immediately preceding sentence, if it is held that the claims of the First-Lien Secured Parties and the Junior-Lien Secured Parties in respect of the Shared Collateral constitute only one secured claim (rather than separate classes of senior and junior secured claims), then each Junior-Lien Authorized Representative and each Junior-Lien Collateral Agent, for itself and on behalf of each Junior-Lien Secured Party under its Junior-Lien Debt Facility, hereby acknowledges and agrees that all distributions shall be made as if there were separate classes of senior and junior secured claims against the Grantors in respect of the Shared Collateral (with the effect being that, to the extent that the aggregate value of the Shared Collateral is sufficient (for this purpose ignoring all claims held by the Junior-Lien Secured Parties), the First-Lien Secured Parties shall be entitled to receive, in addition to amounts distributed to them in respect of principal, pre-petition interest and other claims, all amounts owing in respect of post-petition interest (whether or not allowed or allowable) before any distribution is made in respect of the Junior-Lien Obligations, with each Junior-Lien Authorized Representative and each Junior-Lien Collateral Agent, for itself and on behalf of each Junior-Lien Secured Party under its Junior-Lien Debt Facility, hereby acknowledging and agreeing to turn over to the Applicable First-Lien Collateral Agent amounts otherwise received or receivable by them to the extent necessary to effectuate the intent of this </w:t>
      </w:r>
      <w:r>
        <w:rPr>
          <w:rFonts w:ascii="Times New Roman" w:hAnsi="Times New Roman"/>
          <w:sz w:val="20"/>
          <w:u w:val="single"/>
        </w:rPr>
        <w:t>Section 6.9</w:t>
      </w:r>
      <w:r>
        <w:rPr>
          <w:rFonts w:ascii="Times New Roman" w:hAnsi="Times New Roman"/>
          <w:sz w:val="20"/>
        </w:rPr>
        <w:t xml:space="preserve">, even if such turnover has the effect of reducing the claim or Recovery of the Junior-Lien Secured Parties. Neither any Junior-Lien Authorized Representative, any Junior-Lien Collateral Agent nor any Junior-Lien Secured Party shall oppose or seek to challenge any claim by any First-Lien Collateral Agent or any First-Lien Secured Party for allowance in any Insolvency or Liquidation Proceeding of First-Lien Obligations consisting of post-petition interest, fees or expenses to the extent of the value of the First-Lien Secured Party’s Lien, without regard to the existence of the Lien of any Junior-Lien Authorized Representative or any Junior-Lien Collateral Agent on behalf of the Junior-Lien Secured Parties on the Shared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No Waivers of Rights of First-Lien Secured Parties</w:t>
      </w:r>
      <w:r>
        <w:rPr>
          <w:rFonts w:ascii="Times New Roman" w:hAnsi="Times New Roman"/>
          <w:sz w:val="20"/>
        </w:rPr>
        <w:t xml:space="preserve">. Nothing contained herein shall prohibit or in any way limit any First-Lien Collateral Agent, any First-Lien Authorized Representative or any other First-Lien Secured Party from objecting in any Insolvency or Liquidation Proceeding or otherwise to any action taken by any Junior-Lien Secured Party, any Junior-Lien Collateral Agent or any Junior-Lien Authorized Representative, including the seeking by any Junior-Lien Secured Party of adequate protection or the assertion by any Junior-Lien Secured Party of any of its rights and remedies under the Junior-Lien Debt Documents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Plans of Reorganization</w:t>
      </w:r>
      <w:r>
        <w:rPr>
          <w:rFonts w:ascii="Times New Roman" w:hAnsi="Times New Roman"/>
          <w:sz w:val="20"/>
        </w:rPr>
        <w:t xml:space="preserve">. No Junior-Lien Secured Party shall file, propose, support or vote in favor of any plan of reorganization (and each shall vote and shall be deemed to have voted to reject any plan of reorganization) that is inconsistent with the terms of this Agreement. To the extent that any Junior-Lien Secured Party attempts to vote or votes in favor of any plan of reorganization in a manner inconsistent with this </w:t>
      </w:r>
      <w:r>
        <w:rPr>
          <w:rFonts w:ascii="Times New Roman" w:hAnsi="Times New Roman"/>
          <w:sz w:val="20"/>
          <w:u w:val="single"/>
        </w:rPr>
        <w:t>Section 6.11</w:t>
      </w:r>
      <w:r>
        <w:rPr>
          <w:rFonts w:ascii="Times New Roman" w:hAnsi="Times New Roman"/>
          <w:sz w:val="20"/>
        </w:rPr>
        <w:t>, such Junior-Lien Secured Party irrevocably agrees that the Applicable First-Lien Collateral Agent may be, and may be deemed, an “</w:t>
      </w:r>
      <w:r>
        <w:rPr>
          <w:rFonts w:ascii="Times New Roman" w:hAnsi="Times New Roman"/>
          <w:sz w:val="20"/>
          <w:u w:val="single"/>
        </w:rPr>
        <w:t>authorized agent</w:t>
      </w:r>
      <w:r>
        <w:rPr>
          <w:rFonts w:ascii="Times New Roman" w:hAnsi="Times New Roman"/>
          <w:sz w:val="20"/>
        </w:rPr>
        <w:t xml:space="preserve">” of such party under Bankruptcy Rules 3018(c) and 9010, and that the Applicable First-Lien Collateral Agent shall be authorized and entitled to submit a superseding ballot on behalf of such Junior-Lien Secured Party that is consistent 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Other Matters</w:t>
      </w:r>
      <w:r>
        <w:rPr>
          <w:rFonts w:ascii="Times New Roman" w:hAnsi="Times New Roman"/>
          <w:sz w:val="20"/>
        </w:rPr>
        <w:t xml:space="preserve">. Except as set forth in </w:t>
      </w:r>
      <w:r>
        <w:rPr>
          <w:rFonts w:ascii="Times New Roman" w:hAnsi="Times New Roman"/>
          <w:sz w:val="20"/>
          <w:u w:val="single"/>
        </w:rPr>
        <w:t>Sections 6.1</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and </w:t>
      </w:r>
      <w:r>
        <w:rPr>
          <w:rFonts w:ascii="Times New Roman" w:hAnsi="Times New Roman"/>
          <w:sz w:val="20"/>
          <w:u w:val="single"/>
        </w:rPr>
        <w:t>6.8</w:t>
      </w:r>
      <w:r>
        <w:rPr>
          <w:rFonts w:ascii="Times New Roman" w:hAnsi="Times New Roman"/>
          <w:sz w:val="20"/>
        </w:rPr>
        <w:t xml:space="preserve"> hereof, to the extent that any Junior-Lien Authorized Representative, any Junior-Lien Collateral Agent or any Junior-Lien Secured Party has or acquires rights under Section 363 or Section 364 of the Bankruptcy Code or any similar provision of any other Bankruptcy Law with respect to any of the Shared Collateral, such Junior-Lien Authorized Representative or Junior-Lien Collateral Agent, on behalf of itself and each Junior-Lien Secured Party under its Junior-Lien Debt Facility, agrees not to assert any such rights without the prior written consent of the Applicable First-Lien Collateral Agent; </w:t>
      </w:r>
      <w:r>
        <w:rPr>
          <w:rFonts w:ascii="Times New Roman" w:hAnsi="Times New Roman"/>
          <w:sz w:val="20"/>
          <w:u w:val="single"/>
        </w:rPr>
        <w:t>provided</w:t>
      </w:r>
      <w:r>
        <w:rPr>
          <w:rFonts w:ascii="Times New Roman" w:hAnsi="Times New Roman"/>
          <w:sz w:val="20"/>
        </w:rPr>
        <w:t xml:space="preserve"> that if requested by the First-Lien Collateral Agent, such Junior-Lien Authorized Representative or such Junior-Lien Collateral Agent, as applicable, shall timely exercise such rights in the manner requested by the Applicable First-Lien Collateral Agent, including any rights to payments in respect of such rights. Notwithstanding the foregoing, nothing in this </w:t>
      </w:r>
      <w:r>
        <w:rPr>
          <w:rFonts w:ascii="Times New Roman" w:hAnsi="Times New Roman"/>
          <w:sz w:val="20"/>
          <w:u w:val="single"/>
        </w:rPr>
        <w:t>Section 6.12</w:t>
      </w:r>
      <w:r>
        <w:rPr>
          <w:rFonts w:ascii="Times New Roman" w:hAnsi="Times New Roman"/>
          <w:sz w:val="20"/>
        </w:rPr>
        <w:t xml:space="preserve"> shall be interpreted to broaden or expand the rights provided in, or waive any limitations, restrictions or prohibitions contained in, </w:t>
      </w:r>
      <w:r>
        <w:rPr>
          <w:rFonts w:ascii="Times New Roman" w:hAnsi="Times New Roman"/>
          <w:sz w:val="20"/>
          <w:u w:val="single"/>
        </w:rPr>
        <w:t>Sections 6.1</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or </w:t>
      </w:r>
      <w:r>
        <w:rPr>
          <w:rFonts w:ascii="Times New Roman" w:hAnsi="Times New Roman"/>
          <w:sz w:val="20"/>
          <w:u w:val="single"/>
        </w:rPr>
        <w:t>6.8</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Reorganization Securities</w:t>
      </w:r>
      <w:r>
        <w:rPr>
          <w:rFonts w:ascii="Times New Roman" w:hAnsi="Times New Roman"/>
          <w:sz w:val="20"/>
        </w:rPr>
        <w:t xml:space="preserve">. If, in any Insolvency or Liquidation Proceeding, debt obligations of any reorganized debtor secured by Liens upon any property of such reorganized debtor are distributed, pursuant to a plan of reorganization or similar dispositive restructuring plan, on account of both the First-Lien Obligations and the Junior-Lien Obligations, then, to the extent the debt obligations distributed on account of the First-Lien Obligations and on account of the Junior-Lien Obligations are secured by Liens upon the same assets or property, the provisions of this Agreement will survive the distribution of such debt obligations pursuant to such plan and will apply with like effect to the Liens securing such debt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Effectiveness in Insolvency Proceeding</w:t>
      </w:r>
      <w:r>
        <w:rPr>
          <w:rFonts w:ascii="Times New Roman" w:hAnsi="Times New Roman"/>
          <w:sz w:val="20"/>
        </w:rPr>
        <w:t>. This Agreement, which the parties hereto expressly acknowledge is a “</w:t>
      </w:r>
      <w:r>
        <w:rPr>
          <w:rFonts w:ascii="Times New Roman" w:hAnsi="Times New Roman"/>
          <w:sz w:val="20"/>
          <w:u w:val="single"/>
        </w:rPr>
        <w:t>subordination agreement</w:t>
      </w:r>
      <w:r>
        <w:rPr>
          <w:rFonts w:ascii="Times New Roman" w:hAnsi="Times New Roman"/>
          <w:sz w:val="20"/>
        </w:rPr>
        <w:t xml:space="preserve">” under Section 510(a) of the Bankruptcy Code or any similar provision of any other Bankruptcy Law, shall be effective before, during and after the commencement of any Insolvency or Liquidation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u w:val="single"/>
        </w:rPr>
        <w:t>Reliance;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Reliance</w:t>
      </w:r>
      <w:r>
        <w:rPr>
          <w:rFonts w:ascii="Times New Roman" w:hAnsi="Times New Roman"/>
          <w:sz w:val="20"/>
        </w:rPr>
        <w:t xml:space="preserve">. All loans and other extensions of credit made or deemed made on and after the date hereof by the First-Lien Secured Parties to Holdings, the Company or any other Grantor shall be deemed to have been given and made in reliance upon this Agreement. Each Junior-Lien Authorized Representative and each Junior-Lien Collateral Agent, on behalf of itself and each Junior-Lien Secured Party under its Junior-Lien Debt Facility, acknowledges that it and such Junior-Lien Secured Parties have, independently and without reliance on any First-Lien Collateral Agent or any First-Lien Authorized Representative or other First-Lien Secured Party, and based on documents and information deemed by them appropriate, made their own credit analysis and decision to enter into the Junior-Lien Debt Documents to which they are party or by which they are bound, this Agreement and the transactions contemplated hereby and thereby, and they will continue to make their own credit decision in taking or not taking any action under the Junior-Lien Debt Documents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No Warranties or Liability</w:t>
      </w:r>
      <w:r>
        <w:rPr>
          <w:rFonts w:ascii="Times New Roman" w:hAnsi="Times New Roman"/>
          <w:sz w:val="20"/>
        </w:rPr>
        <w:t xml:space="preserve">. Each Junior-Lien Authorized Representative and each Junior-Lien Collateral Agent, on behalf of itself and each Junior-Lien Secured Party under its Junior-Lien Debt Facility, acknowledges and agrees that neither any First-Lien Collateral Agent nor any First-Lien Authorized Representative or other First-Lien Secured Party has made any express or implied representation or warranty, including with respect to the execution, validity, legality, completeness, collectibility or enforceability of any of the First-Lien Debt Documents, the ownership of any Shared Collateral or the perfection or priority of any Liens thereon. The First-Lien Secured Parties will be entitled to manage and supervise their respective loans and extensions of credit under the First-Lien Debt Documents in accordance with law and as they may otherwise, in their sole discretion, deem appropriate, and the First-Lien Secured Parties may manage their loans and extensions of credit without regard to any rights or interests that the Junior-Lien Authorized Representatives, the Junior-Lien Collateral Agents and the Junior-Lien Secured Parties have in the Shared Collateral or otherwise, except as otherwise provided in this Agreement. Neither any First-Lien Collateral Agent nor any First-Lien Authorized Representative or other First-Lien Secured Party shall have any duty to any Junior-Lien Authorized Representative, any Junior-Lien Collateral Agent or Junior-Lien Secured Party to act or refrain from acting in a manner that allows, or results in, the occurrence or continuance of an event of default or default under any agreement with the Company or any other Grantor (including the Junior-Lien Debt Documents), regardless of any knowledge thereof that they may have or be charged with.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set forth in this Agreement, the First-Lien Collateral Agents, the First-Lien Authorized Representatives, the First-Lien Secured Parties, the Junior-Lien Authorized Representatives, the Junior-Lien Collateral Agents and the Junior-Lien Secured Parties have not otherwise made to each other, nor do they hereby make to each other, any warranties, express or implied, nor do they assume any liability to each other with respect to (a) the enforceability, validity, value or collectibility of any of the First-Lien Obligations, the Junior-Lien Obligations or any guarantee or security which may have been granted to any of them in connection therewith, (b) any Grantor’s title to or right to transfer any of the Shared Collateral or (c) any other matter except as expressly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Obligations Unconditional</w:t>
      </w:r>
      <w:r>
        <w:rPr>
          <w:rFonts w:ascii="Times New Roman" w:hAnsi="Times New Roman"/>
          <w:sz w:val="20"/>
        </w:rPr>
        <w:t xml:space="preserve">. All rights, interests, agreements and obligations of the First-Lien Collateral Agents, the First-Lien Authorized Representatives, the First-Lien Secured Parties, the Junior-Lien Authorized Representatives, the Junior-Lien Collateral Agents and the Junior-Lien Secured Parties hereunder shall remain in full force and effect irrespective of: </w:t>
      </w:r>
    </w:p>
    <w:p>
      <w:pPr>
        <w:pStyle w:val="TextBody"/>
        <w:bidi w:val="0"/>
        <w:spacing w:before="120" w:after="0"/>
        <w:jc w:val="left"/>
        <w:rPr>
          <w:rFonts w:ascii="Times New Roman" w:hAnsi="Times New Roman"/>
          <w:sz w:val="20"/>
        </w:rPr>
      </w:pPr>
      <w:r>
        <w:rPr>
          <w:rFonts w:ascii="Times New Roman" w:hAnsi="Times New Roman"/>
          <w:sz w:val="20"/>
        </w:rPr>
        <w:t xml:space="preserve">(a) any lack of validity or enforceability of any First-Lien Debt Document or any Junior-Lien Debt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change in the time, manner or place of payment of, or in any other terms of, all or any of the First-Lien Obligations or Junior-Lien Obligations, or any amendment or waiver or other modification, including any increase in the amount thereof, whether by course of conduct or otherwise, of the terms of the Credit Agreement or any other First-Lien Debt Document or of the terms of any Junior-Lien Debt Document; </w:t>
      </w:r>
    </w:p>
    <w:p>
      <w:pPr>
        <w:pStyle w:val="TextBody"/>
        <w:bidi w:val="0"/>
        <w:spacing w:before="240" w:after="0"/>
        <w:jc w:val="left"/>
        <w:rPr>
          <w:rFonts w:ascii="Times New Roman" w:hAnsi="Times New Roman"/>
          <w:sz w:val="20"/>
        </w:rPr>
      </w:pPr>
      <w:r>
        <w:rPr>
          <w:rFonts w:ascii="Times New Roman" w:hAnsi="Times New Roman"/>
          <w:sz w:val="20"/>
        </w:rPr>
        <w:t xml:space="preserve">(c) any exchange of any security interest in any Shared Collateral or any other Collateral or any amendment, waiver or other modification, whether in writing or by course of conduct or otherwise, of all or any of the First-Lien Obligations or Junior-Lien Obligations or any guarantee thereof; </w:t>
      </w:r>
    </w:p>
    <w:p>
      <w:pPr>
        <w:pStyle w:val="TextBody"/>
        <w:bidi w:val="0"/>
        <w:spacing w:before="240" w:after="0"/>
        <w:jc w:val="left"/>
        <w:rPr>
          <w:rFonts w:ascii="Times New Roman" w:hAnsi="Times New Roman"/>
          <w:sz w:val="20"/>
        </w:rPr>
      </w:pPr>
      <w:r>
        <w:rPr>
          <w:rFonts w:ascii="Times New Roman" w:hAnsi="Times New Roman"/>
          <w:sz w:val="20"/>
        </w:rPr>
        <w:t xml:space="preserve">(d) the commencement of any Insolvency or Liquidation Proceeding in respect of the Company or any other Grantor; or </w:t>
      </w:r>
    </w:p>
    <w:p>
      <w:pPr>
        <w:pStyle w:val="TextBody"/>
        <w:bidi w:val="0"/>
        <w:spacing w:before="240" w:after="0"/>
        <w:jc w:val="left"/>
        <w:rPr>
          <w:rFonts w:ascii="Times New Roman" w:hAnsi="Times New Roman"/>
          <w:sz w:val="20"/>
        </w:rPr>
      </w:pPr>
      <w:r>
        <w:rPr>
          <w:rFonts w:ascii="Times New Roman" w:hAnsi="Times New Roman"/>
          <w:sz w:val="20"/>
        </w:rPr>
        <w:t xml:space="preserve">(e) any other circumstances that otherwise might constitute a defense available to, or a discharge of, (i) the Company or any other Grantor in respect of the First-Lien Obligations or (ii) any Junior-Lien Authorized Representative, any Junior-Lien Collateral Agent or any Junior-Lien Secured Party in respect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Conflicts</w:t>
      </w:r>
      <w:r>
        <w:rPr>
          <w:rFonts w:ascii="Times New Roman" w:hAnsi="Times New Roman"/>
          <w:sz w:val="20"/>
        </w:rPr>
        <w:t xml:space="preserve">. Subject to </w:t>
      </w:r>
      <w:r>
        <w:rPr>
          <w:rFonts w:ascii="Times New Roman" w:hAnsi="Times New Roman"/>
          <w:sz w:val="20"/>
          <w:u w:val="single"/>
        </w:rPr>
        <w:t>Section 8.17</w:t>
      </w:r>
      <w:r>
        <w:rPr>
          <w:rFonts w:ascii="Times New Roman" w:hAnsi="Times New Roman"/>
          <w:sz w:val="20"/>
        </w:rPr>
        <w:t xml:space="preserve">, in the event of any conflict between the provisions of this Agreement and the provisions of any First-Lien Debt Document or any Junior-Lien Debt Document, the provisions of this Agreement shall govern. In the event of any conflict between this Agreement and the First-Lien Intercreditor Agreement, the provisions of the First-Lien Intercreditor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Continuing Nature of this Agreement; Severability</w:t>
      </w:r>
      <w:r>
        <w:rPr>
          <w:rFonts w:ascii="Times New Roman" w:hAnsi="Times New Roman"/>
          <w:sz w:val="20"/>
        </w:rPr>
        <w:t xml:space="preserve">. Subject to </w:t>
      </w:r>
      <w:r>
        <w:rPr>
          <w:rFonts w:ascii="Times New Roman" w:hAnsi="Times New Roman"/>
          <w:sz w:val="20"/>
          <w:u w:val="single"/>
        </w:rPr>
        <w:t>Section 6.5</w:t>
      </w:r>
      <w:r>
        <w:rPr>
          <w:rFonts w:ascii="Times New Roman" w:hAnsi="Times New Roman"/>
          <w:sz w:val="20"/>
        </w:rPr>
        <w:t xml:space="preserve">, this Agreement shall continue to be effective until Discharge of First-Lien Obligations and the indefeasible payment in full of the Junior-Lien Obligations shall have occurred. This is a continuing agreement of Lien subordination, and the First-Lien Secured Parties may continue, at any time and without notice to the Junior-Lien Authorized Representatives, the Junior-Lien Collateral Agents or any Junior-Lien Secured Party, to extend credit and other financial accommodations and lend monies to or for the benefit of the Company or any other Grantor constituting First-Lien Obligations in reliance hereon. The terms of this Agreement shall survive and continue in full force and effect in any Insolvency or Liquidation Proceeding. Any provision of this Agreement that is prohibited or unenforceable in any jurisdiction shall not invalidate the remaining provisions hereof, and any such prohibition or unenforceability in any jurisdiction shall not invalidate or render unenforceable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Amendments; Waivers</w:t>
      </w:r>
      <w:r>
        <w:rPr>
          <w:rFonts w:ascii="Times New Roman" w:hAnsi="Times New Roman"/>
          <w:sz w:val="20"/>
        </w:rPr>
        <w:t xml:space="preserve">. (a) 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w:t>
      </w:r>
      <w:r>
        <w:rPr>
          <w:rFonts w:ascii="Times New Roman" w:hAnsi="Times New Roman"/>
          <w:sz w:val="20"/>
          <w:u w:val="single"/>
        </w:rPr>
        <w:t>Section 8.3</w:t>
      </w:r>
      <w:r>
        <w:rPr>
          <w:rFonts w:ascii="Times New Roman" w:hAnsi="Times New Roman"/>
          <w:sz w:val="20"/>
        </w:rPr>
        <w:t xml:space="preserve">, and then such waiver or consent shall be effective only in the specific instance and for the purpose for which given. No notice or demand on any party hereto in any case shall entitle such party to any other or further notice or demand in similar or other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Each First-Lien Authorized Representative and each Junior-Lien Authorized Representative may from time to time amend, modify, supplement or waive any provision hereof. Any such amendment, modification supplement or waiver shall be in writing and shall be binding upon the First-Lien Secured Parties and the Junior-Lien Secured Parties and their respective successors and assigns; </w:t>
      </w:r>
      <w:r>
        <w:rPr>
          <w:rFonts w:ascii="Times New Roman" w:hAnsi="Times New Roman"/>
          <w:sz w:val="20"/>
          <w:u w:val="single"/>
        </w:rPr>
        <w:t>provided</w:t>
      </w:r>
      <w:r>
        <w:rPr>
          <w:rFonts w:ascii="Times New Roman" w:hAnsi="Times New Roman"/>
          <w:sz w:val="20"/>
        </w:rPr>
        <w:t xml:space="preserve"> that (x) the Applicable First-Lien Authorized Representative may, without the written consent of any other First-Lien Authorized Representative or any Junior-Lien Authorized Representative, modify this Agreement for the purpose of securing Additional First-Lien Debt Obligations and (y) additional Grantors may be added as parties to this Agreement in accordance with </w:t>
      </w:r>
      <w:r>
        <w:rPr>
          <w:rFonts w:ascii="Times New Roman" w:hAnsi="Times New Roman"/>
          <w:sz w:val="20"/>
          <w:u w:val="single"/>
        </w:rPr>
        <w:t>Section 8.7</w:t>
      </w:r>
      <w:r>
        <w:rPr>
          <w:rFonts w:ascii="Times New Roman" w:hAnsi="Times New Roman"/>
          <w:sz w:val="20"/>
        </w:rPr>
        <w:t xml:space="preserve"> hereof without the consent of any First-Lien Authorized Representative or Junior-Lien Authorized Representative;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amendment, modification, supplement or waiver (other than as provided in the immediately preceding proviso) will require the Company’s consent if it amends, modifies, supplements or waives the rights, interests or liabilities, or directly affects the privileges of, any Grantor.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the foregoing, without the consent of any Secured Party, any Authorized Representative may become a party hereto by execution and delivery of a Joinder Agreement in accordance with </w:t>
      </w:r>
      <w:r>
        <w:rPr>
          <w:rFonts w:ascii="Times New Roman" w:hAnsi="Times New Roman"/>
          <w:sz w:val="20"/>
          <w:u w:val="single"/>
        </w:rPr>
        <w:t>Section 8.8</w:t>
      </w:r>
      <w:r>
        <w:rPr>
          <w:rFonts w:ascii="Times New Roman" w:hAnsi="Times New Roman"/>
          <w:sz w:val="20"/>
        </w:rPr>
        <w:t xml:space="preserve"> and upon such execution and delivery, such Authorized Representative and the Secured Parties and First-Lien Obligations or Junior-Lien Obligations of the Debt Facility for which such Authorized Representative is acting shall be subject to the terms hereof. The parties hereto agree that, notwithstanding any failure by any First-Lien Authorized Representative to take the actions described in the immediately preceding sentence, each Person which becomes a New Credit Agreement Agent or an Additional Senior Class Debt Representative, as applicable, under, and as defined in, the First-Lien Intercreditor Agreement shall automatically benefit from the provisions hereof as fully as if same constituted an Additional First-Lien Debt Representative party hereto and had complied with the requirements of the immediately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Information Concerning Financial Condition of the Company and the Subsidiaries</w:t>
      </w:r>
      <w:r>
        <w:rPr>
          <w:rFonts w:ascii="Times New Roman" w:hAnsi="Times New Roman"/>
          <w:sz w:val="20"/>
        </w:rPr>
        <w:t xml:space="preserve">. Neither any First-Lien Collateral Agent, any First-Lien Authorized Representative nor any other First-Lien Secured Party shall have any obligation to any Junior-Lien Authorized Representative, any Junior-Lien Collateral Agent or any other Junior-Lien Secured Party to keep the Junior-Lien Authorized Representative, any Junior-Lien Collateral Agent or any Junior-Lien Secured Party informed of, and the Junior-Lien Authorized Representatives, the Junior-Lien Collateral Agents and the Junior-Lien Secured Parties shall not be entitled to rely on the First-Lien Collateral Agents, the First-Lien Authorized Representatives or the First-Lien Secured Parties with respect to, (a) the financial condition of the Grantors or any endorsers or guarantors of the First-Lien Obligations or the Junior-Lien Obligations or (b) any other circumstances bearing upon the risk of nonpayment of the First-Lien Obligations or the Junior-Lien Obligations. The First-Lien Collateral Agents, the First-Lien Authorized Representatives, the First-Lien Secured Parties, the Junior-Lien Authorized Representatives, the Junior-Lien Collateral Agents and the Junior-Lien Secured Parties shall have no duty to advise any other party hereunder of information known to it or them regarding such condition or any such circumstances or otherwise. In the event that any First-Lien Collateral Agent, any First-Lien Authorized Representative, any First-Lien Secured Party, any Junior-Lien Authorized Representative, any Junior-Lien Collateral Agent or any Junior-Lien Secured Party, in its sole discretion, undertakes at any time or from time to time to provide any such information to any other party, it shall be under no obligation to (i) make, and the First-Lien Collateral Agents, the First-Lien Authorized Representatives, the First-Lien Secured Parties, the Junior-Lien Authorized Representatives, the Junior-Lien Collateral Agents and the Junior-Lien Secured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 reasonable commercial finance practices, such party wishes to maintain confidential or is otherwise required to maintain confidential.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Subrogation</w:t>
      </w:r>
      <w:r>
        <w:rPr>
          <w:rFonts w:ascii="Times New Roman" w:hAnsi="Times New Roman"/>
          <w:sz w:val="20"/>
        </w:rPr>
        <w:t xml:space="preserve">. Each Junior-Lien Authorized Representative and each Junior-Lien Collateral Agent, on behalf of itself and each Junior-Lien Secured Party under its Junior-Lien Debt Facility, hereby waives any rights of subrogation it may acquire as a result of any payment hereunder until the Discharge of First-Lien Obligations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Application of Payments</w:t>
      </w:r>
      <w:r>
        <w:rPr>
          <w:rFonts w:ascii="Times New Roman" w:hAnsi="Times New Roman"/>
          <w:sz w:val="20"/>
        </w:rPr>
        <w:t xml:space="preserve">. Except as otherwise provided herein, all payments received by the First-Lien Secured Parties may be applied, reversed and reapplied, in whole or in part, to such part of the First-Lien Obligations as the First-Lien Secured Parties, in their sole discretion, deem appropriate, consistent with the terms of the First-Lien Debt Documents and </w:t>
      </w:r>
      <w:r>
        <w:rPr>
          <w:rFonts w:ascii="Times New Roman" w:hAnsi="Times New Roman"/>
          <w:sz w:val="20"/>
          <w:u w:val="single"/>
        </w:rPr>
        <w:t>Section 4.1</w:t>
      </w:r>
      <w:r>
        <w:rPr>
          <w:rFonts w:ascii="Times New Roman" w:hAnsi="Times New Roman"/>
          <w:sz w:val="20"/>
        </w:rPr>
        <w:t xml:space="preserve">. Each Junior-Lien Authorized Representative and each Junior-Lien Collateral Agent, on behalf of itself and each applicable Junior-Lien Secured Party, assents to any such extension or postponement of the time of payment of the First-Lien Obligations or any part thereof and to any other indulgence with respect thereto, to any substitution, exchange or release of any security that may at any time secure any part of the First-Lien Obligations and to the addition or release of any other Person primarily or secondarily liable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Additional Grantors</w:t>
      </w:r>
      <w:r>
        <w:rPr>
          <w:rFonts w:ascii="Times New Roman" w:hAnsi="Times New Roman"/>
          <w:sz w:val="20"/>
        </w:rPr>
        <w:t xml:space="preserve"> . It is understood and agreed that Holdings, the Company and each other Grantor on the date of this Agreement shall constitute the original Grantors party hereto. The original Grantors hereby covenant and agree to cause each Subsidiary of the Company which becomes a Loan Party after the date hereof to contemporaneously become a party hereto (as a Grantor) by executing and delivering to the then Applicable First-Lien Authorized Representative and Designated Junior-Lien Authorized Representative an assumption agreement substantially in the form of </w:t>
      </w:r>
      <w:r>
        <w:rPr>
          <w:rFonts w:ascii="Times New Roman" w:hAnsi="Times New Roman"/>
          <w:sz w:val="20"/>
          <w:u w:val="single"/>
        </w:rPr>
        <w:t>Annex II</w:t>
      </w:r>
      <w:r>
        <w:rPr>
          <w:rFonts w:ascii="Times New Roman" w:hAnsi="Times New Roman"/>
          <w:sz w:val="20"/>
        </w:rPr>
        <w:t xml:space="preserve"> hereto (with such changes as may be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approved by then Applicable First-Lien Authorized Representative, Designated Junior-Lien Authorized Representative and the Company). The parties hereto further agree that, notwithstanding any failure to take the actions required by the immediately preceding sentence, each Person which becomes a Grantor at any time (and any security granted by any such Person) shall be subject to the provisions hereof as fully as if same constituted a Grantor party hereto and had complied with the requirements of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Additional Debt Facilities</w:t>
      </w:r>
      <w:r>
        <w:rPr>
          <w:rFonts w:ascii="Times New Roman" w:hAnsi="Times New Roman"/>
          <w:sz w:val="20"/>
        </w:rPr>
        <w:t>. (a) To the extent, but only to the extent, permitted by the provisions of the First-Lien Debt Documents and the Junior-Lien Debt Documents which are then in effect, the Company may incur or issue and sell one or more series or classes of Junior-Lien Debt after the date hereof. Any such additional class or series of Junior-Lien Debt (the “</w:t>
      </w:r>
      <w:r>
        <w:rPr>
          <w:rFonts w:ascii="Times New Roman" w:hAnsi="Times New Roman"/>
          <w:sz w:val="20"/>
          <w:u w:val="single"/>
        </w:rPr>
        <w:t>Additional Junior-Lien Debt</w:t>
      </w:r>
      <w:r>
        <w:rPr>
          <w:rFonts w:ascii="Times New Roman" w:hAnsi="Times New Roman"/>
          <w:sz w:val="20"/>
        </w:rPr>
        <w:t>”) may be secured by a junior Lien on Shared Collateral, in each case under and pursuant to the relevant Junior-Lien Collateral Documents for such Additional Junior-Lien Debt, if and subject to the condition that the Junior-Lien Authorized Representative and the Junior-Lien Collateral Agent of any such Additional Junior-Lien Debt (such Junior-Lien Authorized Representative and such Junior-Lien Collateral Agent, each an “</w:t>
      </w:r>
      <w:r>
        <w:rPr>
          <w:rFonts w:ascii="Times New Roman" w:hAnsi="Times New Roman"/>
          <w:sz w:val="20"/>
          <w:u w:val="single"/>
        </w:rPr>
        <w:t>Additional Junior-Lien Debt Representative</w:t>
      </w:r>
      <w:r>
        <w:rPr>
          <w:rFonts w:ascii="Times New Roman" w:hAnsi="Times New Roman"/>
          <w:sz w:val="20"/>
        </w:rPr>
        <w:t>”), acting on behalf of the holders of such Additional Junior-Lien Debt (such Additional Junior-Lien Debt Representatives and holders in respect of any Additional Junior-Lien Debt being referred to as the “</w:t>
      </w:r>
      <w:r>
        <w:rPr>
          <w:rFonts w:ascii="Times New Roman" w:hAnsi="Times New Roman"/>
          <w:sz w:val="20"/>
          <w:u w:val="single"/>
        </w:rPr>
        <w:t>Additional Junior-Lien</w:t>
      </w:r>
      <w:r>
        <w:rPr>
          <w:rFonts w:ascii="Times New Roman" w:hAnsi="Times New Roman"/>
          <w:sz w:val="20"/>
        </w:rPr>
        <w:t xml:space="preserve"> </w:t>
      </w:r>
      <w:r>
        <w:rPr>
          <w:rFonts w:ascii="Times New Roman" w:hAnsi="Times New Roman"/>
          <w:sz w:val="20"/>
          <w:u w:val="single"/>
        </w:rPr>
        <w:t>Secured Parties</w:t>
      </w:r>
      <w:r>
        <w:rPr>
          <w:rFonts w:ascii="Times New Roman" w:hAnsi="Times New Roman"/>
          <w:sz w:val="20"/>
        </w:rPr>
        <w:t xml:space="preserve">”), becomes a party to this Agreement by satisfying conditions (i) through (iii), of the immediately succeeding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In order for an Additional Junior-Lien Debt Representative to become a party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each Additional Junior-Lien Debt Representative of the respective class or series of Additional Junior-Lien Debt and each Grantor then party hereto shall have executed and delivered to the Applicable First-Lien Authorized Representative a Joinder Agreement substantially in the form of </w:t>
      </w:r>
      <w:r>
        <w:rPr>
          <w:rFonts w:ascii="Times New Roman" w:hAnsi="Times New Roman"/>
          <w:sz w:val="20"/>
          <w:u w:val="single"/>
        </w:rPr>
        <w:t>Annex III</w:t>
      </w:r>
      <w:r>
        <w:rPr>
          <w:rFonts w:ascii="Times New Roman" w:hAnsi="Times New Roman"/>
          <w:sz w:val="20"/>
        </w:rPr>
        <w:t xml:space="preserve"> hereto (with such changes as may be reasonably approved by the Applicable First-Lien Authorized Representative and such Additional Junior-Lien Debt Representative) pursuant to which such Additional Junior-Lien Debt Representative (or each such Additional Junior-Lien Debt Representative, as appropriate) becomes an Authorized Representative hereunder, and the Additional Junior-Lien Debt in respect of which such Additional Junior-Lien Debt Representative is the Authorized Representative and the related Additional Junior-Lien Secured Parties become subject hereto and bound hereby;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have delivered to the Applicable First-Lien Collateral Agent (x) true and complete copies of each of the Junior-Lien Debt Documents relating to such Additional Junior-Lien Debt (which shall be secured by all or any portion of Shared Collateral), certified as being true and correct by a Responsible Officer of the Company, and (y) a certificate of an authorized officer (A) identifying the obligations to be designated as additional Junior-Lien Obligations and the initial aggregate principal amount or face amount thereof and (B) certifying that the incurrence of such Junior-Lien Obligations, the creation of the Liens securing such Junior-Lien Obligations and the designation of such Junior-Lien Obligations as “Junior-Lien Obligations” hereunder do not violate or result in a default under any provision of any First-Lien Debt Document or Junior-Lien Debt Document in effect at such time;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Junior-Lien Debt Documents, as applicable, relating to such Additional Junior-Lien Debt shall provide, in a manner reasonably satisfactory to the Applicable First-Lien Authorized Representative, that each Additional Junior-Lien Secured Party with respect to such Additional Junior-Lien Debt will be subject to and bound by the provisions of this Agreement in its capacity as a holder of such Additional Junior-Lien Debt. </w:t>
      </w:r>
    </w:p>
    <w:p>
      <w:pPr>
        <w:pStyle w:val="TextBody"/>
        <w:bidi w:val="0"/>
        <w:spacing w:before="240" w:after="0"/>
        <w:jc w:val="left"/>
        <w:rPr>
          <w:rFonts w:ascii="Times New Roman" w:hAnsi="Times New Roman"/>
          <w:sz w:val="20"/>
        </w:rPr>
      </w:pPr>
      <w:r>
        <w:rPr>
          <w:rFonts w:ascii="Times New Roman" w:hAnsi="Times New Roman"/>
          <w:sz w:val="20"/>
        </w:rPr>
        <w:t>(b) Any class or series of Additional First-Lien Debt or any replacement Credit Agreement (and the related First-Lien Obligations) may be secured by a senior Lien on Shared Collateral, in each case under and pursuant to the relevant First-Lien Collateral Documents and the First-Lien Intercreditor Agreement. The First-Lien Authorized Representative and the First-Lien Collateral Agent of any such First-Lien Facilities (such First-Lien Authorized Representative and such First-Lien Collateral Agent, each an “</w:t>
      </w:r>
      <w:r>
        <w:rPr>
          <w:rFonts w:ascii="Times New Roman" w:hAnsi="Times New Roman"/>
          <w:sz w:val="20"/>
          <w:u w:val="single"/>
        </w:rPr>
        <w:t>Additional First-Lien Debt Representative</w:t>
      </w:r>
      <w:r>
        <w:rPr>
          <w:rFonts w:ascii="Times New Roman" w:hAnsi="Times New Roman"/>
          <w:sz w:val="20"/>
        </w:rPr>
        <w:t xml:space="preserve">”), acting on behalf of the holders of such First-Lien Facilities, may become a party to this Agreement by satisfying the conditions set forth in the immediately succeeding sentence. In order for an Additional First-Lien Debt Representative to become a party to this Agreement, such Additional First-Lien Debt Representative shall have executed and delivered to the Applicable First-Lien Authorized Representative a Joinder Agreement substantially in the form of </w:t>
      </w:r>
      <w:r>
        <w:rPr>
          <w:rFonts w:ascii="Times New Roman" w:hAnsi="Times New Roman"/>
          <w:sz w:val="20"/>
          <w:u w:val="single"/>
        </w:rPr>
        <w:t>Annex IV</w:t>
      </w:r>
      <w:r>
        <w:rPr>
          <w:rFonts w:ascii="Times New Roman" w:hAnsi="Times New Roman"/>
          <w:sz w:val="20"/>
        </w:rPr>
        <w:t xml:space="preserve"> hereto (with such changes as may be reasonably approved by the Applicable First-Lien Authorized Representative and such Additional First-Lien Debt Representative) pursuant to which such Additional First-Lien Debt Representative becomes a First-Lien Authorized Representative and/or First-Lien Collateral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ABOVE IN THIS </w:t>
      </w:r>
      <w:r>
        <w:rPr>
          <w:rFonts w:ascii="Times New Roman" w:hAnsi="Times New Roman"/>
          <w:sz w:val="20"/>
          <w:u w:val="single"/>
        </w:rPr>
        <w:t>SECTION 8.8(b)</w:t>
      </w:r>
      <w:r>
        <w:rPr>
          <w:rFonts w:ascii="Times New Roman" w:hAnsi="Times New Roman"/>
          <w:sz w:val="20"/>
        </w:rPr>
        <w:t xml:space="preserve"> OR ELSEWHERE IN THIS AGREEMENT, EACH FIRST-LIEN AUTHORIZED REPRESENTATIVE WHICH AT ANY TIME IS AN “AUTHORIZED REPRESENTATIVE” UNDER, AND AS DEFINED IN, THE FIRST-LIEN INTERCREDITOR AGREEMENT, AND ALL “FIRST LIEN SECURED PARTIES” AS DEFINED IN THE FIRST-LIEN INTERCREDITOR AGREEMENT (WITH RESPECT TO THE FIRST LIEN OBLIGATIONS HELD BY THEM FROM TIME TO TIME), SHALL AUTOMATICALLY BE ENTITLED TO THE BENEFIT OF ALL PROVISIONS OF THIS AGREEMENT (AND SHALL CONSTITUTE THIRD-PARTY BENEFICIARIES HEREOF) WHETHER OR NOT THEIR RESPECTIVE AUTHORIZED REPRESENTATIVES (AS DEFINED IN THE FIRST-LIEN INTERCREDITOR AGREEMENT) SHALL HAVE BECOME PARTY HERETO OR TAKEN THE ACTIONS DESCRIBED ABOVE IN THIS </w:t>
      </w:r>
      <w:r>
        <w:rPr>
          <w:rFonts w:ascii="Times New Roman" w:hAnsi="Times New Roman"/>
          <w:sz w:val="20"/>
          <w:u w:val="single"/>
        </w:rPr>
        <w:t>SECTION 8.8(b)</w:t>
      </w:r>
      <w:r>
        <w:rPr>
          <w:rFonts w:ascii="Times New Roman" w:hAnsi="Times New Roman"/>
          <w:sz w:val="20"/>
        </w:rPr>
        <w:t xml:space="preserve">. THE PROVISIONS OF THIS AGREEMENT (INCLUDING WITHOUT LIMITATION THE PROVISIONS OF THIS PARAGRAPH) ARE ENTERED INTO FOR THE EXPRESS BENEFIT OF THE FIRST-LIEN SECURED PARTIES AND MAY NOT BE MODIFIED TO THEIR DETRIMENT WITHOUT THE CONSENT OF THE AUTHORIZED REPRESENTATIVES FOR EACH CLASS OF FIRST-LIEN OBLIGATIONS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8.9 </w:t>
      </w:r>
      <w:r>
        <w:rPr>
          <w:rFonts w:ascii="Times New Roman" w:hAnsi="Times New Roman"/>
          <w:sz w:val="20"/>
          <w:u w:val="single"/>
        </w:rPr>
        <w:t>Consent to Jurisdiction; Waivers</w:t>
      </w:r>
      <w:r>
        <w:rPr>
          <w:rFonts w:ascii="Times New Roman" w:hAnsi="Times New Roman"/>
          <w:sz w:val="20"/>
        </w:rPr>
        <w:t xml:space="preserve">. Each First-Lien Collateral Agent and each Authorized Representative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(a) submits for itself and its property in any legal action or proceeding relating to this Agreement and the Collateral Documents, or for recognition and enforcement of any judgment in respect thereof, to the exclusive general jurisdiction of the courts of the State of New York, the courts of the United States of America for the Southern District of New York, and appellate courts from 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w:t>
      </w:r>
    </w:p>
    <w:p>
      <w:pPr>
        <w:pStyle w:val="TextBody"/>
        <w:bidi w:val="0"/>
        <w:spacing w:before="240" w:after="0"/>
        <w:jc w:val="left"/>
        <w:rPr>
          <w:rFonts w:ascii="Times New Roman" w:hAnsi="Times New Roman"/>
          <w:sz w:val="20"/>
        </w:rPr>
      </w:pPr>
      <w:r>
        <w:rPr>
          <w:rFonts w:ascii="Times New Roman" w:hAnsi="Times New Roman"/>
          <w:sz w:val="20"/>
        </w:rPr>
        <w:t xml:space="preserve">(c) agrees that service of process in any such action or proceeding may be effected by mailing a copy thereof by registered or certified mail (or any substantially similar form of mail), postage prepaid, to such Person at the address referred to in </w:t>
      </w:r>
      <w:r>
        <w:rPr>
          <w:rFonts w:ascii="Times New Roman" w:hAnsi="Times New Roman"/>
          <w:sz w:val="20"/>
          <w:u w:val="single"/>
        </w:rPr>
        <w:t>Section 8.10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agrees that nothing herein shall affect the right of any other party hereto (or any Secured Party) to effect service of process in any other manner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(e) waives, to the maximum extent not prohibited by law, any right it may have to claim or recover in any legal action or proceeding referred to in this </w:t>
      </w:r>
      <w:r>
        <w:rPr>
          <w:rFonts w:ascii="Times New Roman" w:hAnsi="Times New Roman"/>
          <w:sz w:val="20"/>
          <w:u w:val="single"/>
        </w:rPr>
        <w:t>Section 8.9</w:t>
      </w:r>
      <w:r>
        <w:rPr>
          <w:rFonts w:ascii="Times New Roman" w:hAnsi="Times New Roman"/>
          <w:sz w:val="20"/>
        </w:rPr>
        <w:t xml:space="preserve"> any special, exemplary, punitive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Notices</w:t>
      </w:r>
      <w:r>
        <w:rPr>
          <w:rFonts w:ascii="Times New Roman" w:hAnsi="Times New Roman"/>
          <w:sz w:val="20"/>
        </w:rPr>
        <w:t xml:space="preserve">. All notices, requests, demands and other communications provided for or permitted hereunder shall be in writing and shall be sent: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or any other Grantor, to the Company, at its address at 3150 Sabre Drive, Southlake, TX 76092 Attention of: General Counsel, facsimile no. (682) 605-7820; </w:t>
      </w:r>
    </w:p>
    <w:p>
      <w:pPr>
        <w:pStyle w:val="TextBody"/>
        <w:bidi w:val="0"/>
        <w:spacing w:before="120" w:after="0"/>
        <w:jc w:val="left"/>
        <w:rPr>
          <w:rFonts w:ascii="Times New Roman" w:hAnsi="Times New Roman"/>
          <w:sz w:val="20"/>
        </w:rPr>
      </w:pPr>
      <w:r>
        <w:rPr>
          <w:rFonts w:ascii="Times New Roman" w:hAnsi="Times New Roman"/>
          <w:sz w:val="20"/>
        </w:rPr>
        <w:t>(ii) if to the Initial Junior-Lien Authorized Representative to it at [</w:t>
      </w:r>
      <w:r>
        <w:rPr>
          <w:rFonts w:ascii="Times New Roman" w:hAnsi="Times New Roman"/>
          <w:sz w:val="20"/>
          <w:u w:val="single"/>
        </w:rPr>
        <w:t>   </w:t>
      </w:r>
      <w:r>
        <w:rPr>
          <w:rFonts w:ascii="Times New Roman" w:hAnsi="Times New Roman"/>
          <w:sz w:val="20"/>
        </w:rPr>
        <w:t>], Attention of: [</w:t>
      </w:r>
      <w:r>
        <w:rPr>
          <w:rFonts w:ascii="Times New Roman" w:hAnsi="Times New Roman"/>
          <w:sz w:val="20"/>
          <w:u w:val="single"/>
        </w:rPr>
        <w:t>_______</w:t>
      </w:r>
      <w:r>
        <w:rPr>
          <w:rFonts w:ascii="Times New Roman" w:hAnsi="Times New Roman"/>
          <w:sz w:val="20"/>
        </w:rPr>
        <w:t>], facsimile no.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if to the Initial Junior-Lien Collateral Agent to it at [_______], Attention of:[</w:t>
      </w:r>
      <w:r>
        <w:rPr>
          <w:rFonts w:ascii="Times New Roman" w:hAnsi="Times New Roman"/>
          <w:sz w:val="20"/>
          <w:u w:val="single"/>
        </w:rPr>
        <w:t> </w:t>
      </w:r>
      <w:r>
        <w:rPr>
          <w:rFonts w:ascii="Times New Roman" w:hAnsi="Times New Roman"/>
          <w:sz w:val="20"/>
        </w:rPr>
        <w:t xml:space="preserve">], facsimile no. [_____]; </w:t>
      </w:r>
    </w:p>
    <w:p>
      <w:pPr>
        <w:pStyle w:val="TextBody"/>
        <w:bidi w:val="0"/>
        <w:spacing w:before="120" w:after="0"/>
        <w:jc w:val="left"/>
        <w:rPr>
          <w:rFonts w:ascii="Times New Roman" w:hAnsi="Times New Roman"/>
          <w:sz w:val="20"/>
        </w:rPr>
      </w:pPr>
      <w:r>
        <w:rPr>
          <w:rFonts w:ascii="Times New Roman" w:hAnsi="Times New Roman"/>
          <w:sz w:val="20"/>
        </w:rPr>
        <w:t xml:space="preserve">(iv) if to the Credit Agreement Administrative Agent, to it at [_______], USA Attention of: [_______], facsimile no. [_______]; </w:t>
      </w:r>
    </w:p>
    <w:p>
      <w:pPr>
        <w:pStyle w:val="TextBody"/>
        <w:bidi w:val="0"/>
        <w:spacing w:before="120" w:after="0"/>
        <w:jc w:val="left"/>
        <w:rPr>
          <w:rFonts w:ascii="Times New Roman" w:hAnsi="Times New Roman"/>
          <w:sz w:val="20"/>
        </w:rPr>
      </w:pPr>
      <w:r>
        <w:rPr>
          <w:rFonts w:ascii="Times New Roman" w:hAnsi="Times New Roman"/>
          <w:sz w:val="20"/>
        </w:rPr>
        <w:t xml:space="preserve">(v) if to the Initial Additional First-Lien Authorized Representative, to it at [ ], [  ], Attention of: [  ], facsimile no. [  ]; </w:t>
      </w:r>
    </w:p>
    <w:p>
      <w:pPr>
        <w:pStyle w:val="TextBody"/>
        <w:bidi w:val="0"/>
        <w:spacing w:before="120" w:after="0"/>
        <w:jc w:val="left"/>
        <w:rPr>
          <w:rFonts w:ascii="Times New Roman" w:hAnsi="Times New Roman"/>
          <w:sz w:val="20"/>
        </w:rPr>
      </w:pPr>
      <w:r>
        <w:rPr>
          <w:rFonts w:ascii="Times New Roman" w:hAnsi="Times New Roman"/>
          <w:sz w:val="20"/>
        </w:rPr>
        <w:t xml:space="preserve">(vi) if to the Initial Additional First-Lien Collateral Agent, to it at [ ], [  ], Attention of: [  ], facsimile no. [  ];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i/>
          <w:sz w:val="20"/>
        </w:rPr>
        <w:t>to include any additional applicable parties at the time this agreement is entered into</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(viii) if to any other Junior-Lien Authorized Representative, Junior-Lien Collateral Agent, First-Lien Authorized Representative or First-Lien Collateral Agent to it at the address specified by it in the Joinder Agreement delivered by it pursuant to </w:t>
      </w:r>
      <w:r>
        <w:rPr>
          <w:rFonts w:ascii="Times New Roman" w:hAnsi="Times New Roman"/>
          <w:sz w:val="20"/>
          <w:u w:val="single"/>
        </w:rPr>
        <w:t>Section 8.8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specifically provided herein, any notice or other communication herein required or permitted to be given shall be in writing and, may be personally served, telecopied, electronically mailed or sent by courier service or U.S. mail and shall be deemed to have been 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 As agreed to in writing among each First-Lien Collateral Agent and each Authorized Representative from time to time, notices and other communications may also be delivered by e-mail to the e-mail address of a representative of the applicable person provided from time to time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Further Assurances</w:t>
      </w:r>
      <w:r>
        <w:rPr>
          <w:rFonts w:ascii="Times New Roman" w:hAnsi="Times New Roman"/>
          <w:sz w:val="20"/>
        </w:rPr>
        <w:t xml:space="preserve">. Each Junior-Lien Authorized Representative and each Junior-Lien Collateral Agent agrees that it will take such further action and shall execute and deliver such additional documents and instruments (in recordable form, if requested) as the Applicable First-Lien Authorized Representative may reasonably request to effectuate the terms of, and the Lien priorities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Governing Law; Waiver of Jury Trial</w:t>
      </w:r>
      <w:r>
        <w:rPr>
          <w:rFonts w:ascii="Times New Roman" w:hAnsi="Times New Roman"/>
          <w:sz w:val="20"/>
        </w:rPr>
        <w:t xml:space="preserve"> . (A)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HEREBY IRREVOCABLY AND UNCONDITIONALLY WAIVES TRIAL BY JURY IN ANY LEGAL ACTION OR PROCEEDING RELATING TO THIS AGREEMENT AND FOR ANY COUNTERCLAIM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Binding on Successors and Assigns</w:t>
      </w:r>
      <w:r>
        <w:rPr>
          <w:rFonts w:ascii="Times New Roman" w:hAnsi="Times New Roman"/>
          <w:sz w:val="20"/>
        </w:rPr>
        <w:t xml:space="preserve"> . This Agreement shall be binding upon the First-Lien Collateral Agents, the First-Lien Authorized Representatives, the First-Lien Secured Parties, the Junior-Lien Authorized Representatives, the Junior-Lien Collateral Agents, the Junior-Lien Secured Parties, the Company, the other Grantors party hereto and their respective successors and assigns. Any successor of any Collateral Agent or Authorized Representative will automatically succeed to and become vested with all the rights, powers, privileges and duties of a Collateral Agent or Authorized Representative hereunder, as applicable. Notwithstanding the immediately preceding sentence, any successor of any Collateral Agent or Authorized Representative will execute and deliver any documents and instruments as shall be reasonably requested by the Applicable First-Lien Authorized Representative to evidence its succession as a Collateral Agent or Authorized Representative, as applicable, and its becoming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Specific Performance</w:t>
      </w:r>
      <w:r>
        <w:rPr>
          <w:rFonts w:ascii="Times New Roman" w:hAnsi="Times New Roman"/>
          <w:sz w:val="20"/>
        </w:rPr>
        <w:t xml:space="preserve">. The First-Lien Collateral Agents may demand specific performance of this Agreement. Each Junior-Lien Authorized Representative and each Junior-Lien Collateral Agent hereby irrevocably waives any defense based on the adequacy of a remedy at law and any other defense that might be asserted to bar the remedy of specific performance in any action that may be brought by any First-Lien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Section Titles</w:t>
      </w:r>
      <w:r>
        <w:rPr>
          <w:rFonts w:ascii="Times New Roman" w:hAnsi="Times New Roman"/>
          <w:sz w:val="20"/>
        </w:rPr>
        <w:t xml:space="preserve">. The section titles contained in this Agreement are and shall be without substantive meaning or content of any kind whatsoever and are not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Counterparts</w:t>
      </w:r>
      <w:r>
        <w:rPr>
          <w:rFonts w:ascii="Times New Roman" w:hAnsi="Times New Roman"/>
          <w:sz w:val="20"/>
        </w:rPr>
        <w:t xml:space="preserve">.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 </w:t>
      </w:r>
    </w:p>
    <w:p>
      <w:pPr>
        <w:pStyle w:val="TextBody"/>
        <w:bidi w:val="0"/>
        <w:spacing w:before="240" w:after="0"/>
        <w:jc w:val="left"/>
        <w:rPr>
          <w:rFonts w:ascii="Times New Roman" w:hAnsi="Times New Roman"/>
          <w:sz w:val="20"/>
        </w:rPr>
      </w:pPr>
      <w:r>
        <w:rPr>
          <w:rFonts w:ascii="Times New Roman" w:hAnsi="Times New Roman"/>
          <w:sz w:val="20"/>
        </w:rPr>
        <w:t xml:space="preserve">Section 8.17 </w:t>
      </w:r>
      <w:r>
        <w:rPr>
          <w:rFonts w:ascii="Times New Roman" w:hAnsi="Times New Roman"/>
          <w:sz w:val="20"/>
          <w:u w:val="single"/>
        </w:rPr>
        <w:t>Authorization</w:t>
      </w:r>
      <w:r>
        <w:rPr>
          <w:rFonts w:ascii="Times New Roman" w:hAnsi="Times New Roman"/>
          <w:sz w:val="20"/>
        </w:rPr>
        <w:t xml:space="preserve">. By its signature, each Person executing this Agreement on behalf of a party hereto represents and warrants to the other parties hereto that it is duly authorized to execute this Agreement. Each of the Initial Junior-Lien Authorized Representative and the Initial Junior-Lien Collateral Agent represents and warrants that this Agreement is binding upon the Initial Junior-Lien Authorized Representative, the Initial Junior-Lien Collateral Agent and the Initial Junior-Lien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8.18 </w:t>
      </w:r>
      <w:r>
        <w:rPr>
          <w:rFonts w:ascii="Times New Roman" w:hAnsi="Times New Roman"/>
          <w:sz w:val="20"/>
          <w:u w:val="single"/>
        </w:rPr>
        <w:t>No Third Party Beneficiaries; Successors and Assigns</w:t>
      </w:r>
      <w:r>
        <w:rPr>
          <w:rFonts w:ascii="Times New Roman" w:hAnsi="Times New Roman"/>
          <w:sz w:val="20"/>
        </w:rPr>
        <w:t xml:space="preserve">. The lien priorities set forth in this Agreement and the rights and benefits hereunder in respect of such lien priorities shall inure solely to the benefit of the First-Lien Collateral Agents, the First-Lien Authorized Representatives, the First-Lien Secured Parties, the Junior-Lien Authorized Representatives, the Junior-Lien Collateral Agents and the Junior-Lien Secured Parties, and their respective permitted successors and assigns, and no other Person (including the Grantors, or any trustee, receiver, debtor in possession or bankruptcy estate in a bankruptcy or like proceeding) shall have or be entitled to assert such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8.19 </w:t>
      </w:r>
      <w:r>
        <w:rPr>
          <w:rFonts w:ascii="Times New Roman" w:hAnsi="Times New Roman"/>
          <w:sz w:val="20"/>
          <w:u w:val="single"/>
        </w:rPr>
        <w:t>Effectiveness</w:t>
      </w:r>
      <w:r>
        <w:rPr>
          <w:rFonts w:ascii="Times New Roman" w:hAnsi="Times New Roman"/>
          <w:sz w:val="20"/>
        </w:rPr>
        <w:t xml:space="preserve">. This Agreement shall become effective when executed and delivered by the original parties hereto listed in the introductory paragraph hereto. This Agreement shall be effective both before and after the commencement of any Insolvency or Liquidation Proceeding. All references to the Company or any other Grantor shall include the Company or any other Grantor as debtor and debtor-in-possession and any receiver or trustee for the Company or any other Grantor (as the case may be) in any Insolvency or Liquidation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8.20 </w:t>
      </w:r>
      <w:r>
        <w:rPr>
          <w:rFonts w:ascii="Times New Roman" w:hAnsi="Times New Roman"/>
          <w:sz w:val="20"/>
          <w:u w:val="single"/>
        </w:rPr>
        <w:t>First-Lien Collateral Agent and Trustee</w:t>
      </w:r>
      <w:r>
        <w:rPr>
          <w:rFonts w:ascii="Times New Roman" w:hAnsi="Times New Roman"/>
          <w:sz w:val="20"/>
        </w:rPr>
        <w:t>. It is understood and agreed that (a) the Credit Agreement Administrative Agent is entering into this Agreement in its capacities as administrative agent and collateral agent under the Credit Agreement and the provisions of [Article X] of the Credit Agreement applicable to it as administrative agent and collateral agent thereunder shall also apply to it as a First-Lien Collateral Agent hereunder, (b) the Initial Additional First-Lien Collateral Agent is entering into this Agreement in its capacities as [trustee and collateral agent] under the Initial Additional First-Lien Agreement and the provisions of [Sections 7 and 10] thereunder shall also apply to it as a First-Lien Collateral Agent hereunder, [</w:t>
      </w:r>
      <w:r>
        <w:rPr>
          <w:rFonts w:ascii="Times New Roman" w:hAnsi="Times New Roman"/>
          <w:i/>
          <w:sz w:val="20"/>
        </w:rPr>
        <w:t>to include reference to any additional applicable Debt Documents</w:t>
      </w:r>
      <w:r>
        <w:rPr>
          <w:rFonts w:ascii="Times New Roman" w:hAnsi="Times New Roman"/>
          <w:sz w:val="20"/>
        </w:rPr>
        <w:t xml:space="preserve">] and [(c)] the Initial Junior-Lien Collateral Agent is entering into this Agreement in its capacity as [trustee and collateral agent] under the indenture referred to the definition of “Initial Junior-Lien Debt Documents” and the provisions of [________] of such indenture applicable to such [trustee] thereunder shall also apply to such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8.21 </w:t>
      </w:r>
      <w:r>
        <w:rPr>
          <w:rFonts w:ascii="Times New Roman" w:hAnsi="Times New Roman"/>
          <w:sz w:val="20"/>
          <w:u w:val="single"/>
        </w:rPr>
        <w:t>Relative Rights</w:t>
      </w:r>
      <w:r>
        <w:rPr>
          <w:rFonts w:ascii="Times New Roman" w:hAnsi="Times New Roman"/>
          <w:sz w:val="20"/>
        </w:rPr>
        <w:t xml:space="preserve">. Notwithstanding anything in this Agreement to the contrary (except to the extent contemplated by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5.1(d)</w:t>
      </w:r>
      <w:r>
        <w:rPr>
          <w:rFonts w:ascii="Times New Roman" w:hAnsi="Times New Roman"/>
          <w:sz w:val="20"/>
        </w:rPr>
        <w:t xml:space="preserve">), nothing in this Agreement is intended to or will (a) permit the Company or any other Grantor to take any action, or fail to take any action, to the extent such action or failure would otherwise constitute a breach of, or default under, the Credit Agreement or any other First-Lien Debt Document or any Junior-Lien Debt Documents, (b) change the relative priorities of the First-Lien Obligations or the Liens granted under the First-Lien Collateral Documents on the Shared Collateral (or any other assets) as among the First-Lien Secured Parties, (c) otherwise change the relative rights of the First-Lien Secured Parties in respect of the Shared Collateral as among such First-Lien Secured Parties or (d) obligate the Company or any other Grantor to take any action, or fail to take any action, that would otherwise constitute a breach of, or default under, the Credit Agreement or any other First-Lien Debt Document or any Junior-Lien Debt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8.22 </w:t>
      </w:r>
      <w:r>
        <w:rPr>
          <w:rFonts w:ascii="Times New Roman" w:hAnsi="Times New Roman"/>
          <w:sz w:val="20"/>
          <w:u w:val="single"/>
        </w:rPr>
        <w:t>Intercreditor Agreements</w:t>
      </w:r>
      <w:r>
        <w:rPr>
          <w:rFonts w:ascii="Times New Roman" w:hAnsi="Times New Roman"/>
          <w:sz w:val="20"/>
        </w:rPr>
        <w:t xml:space="preserve">. Each party hereto agrees that the First-Lien Secured Parties (as among themselves) and the Junior-Lien Secured Parties (as among themselves) may each enter into intercreditor agreements (or similar arrangements) with (x) in the case of First-Lien Obligations, the applicable First-Lien Collateral Agents and applicable First-Lien Authorized Representatives, or (y) in the case of Junior-Lien Obligations, the applicable Junior-Lien Authorized Representatives and applicable Junior-Lien Collateral Agents, governing the rights, benefits and privileges as among the First-Lien Secured Parties or the Junior-Lien Secured Parties, as the case may be, in respect of all or a portion of the Shared Collateral, this Agreement and the other First-Lien Collateral Documents or Junior-Lien Collateral Documents, as the case may be, including as to application of proceeds of the Shared Collateral, voting rights, control of the Shared Collateral and waivers with respect to the Shared Collateral, in each case so long as the terms thereof do not violate or conflict with the provisions of this Agreement or the other First-Lien Collateral Documents or Junior-Lien Collateral Documents, as the case may be. In any event, if a respective intercreditor agreement (or similar arrangement) exists (except for the First-Lien Intercreditor Agreement), the provisions thereof shall not be (or be construed to be) an amendment, modification or other change to this Agreement or any other First-Lien Collateral Document or Junior-Lien Collateral Document, and the provisions of this Agreement and the other First-Lien Collateral Documents and Junior-Lien Collateral Documents shall remain in full force and effect in accordance with the terms hereof and thereof (as such provisions may be amended, modified or otherwise supplemented from time to time in accordance with the terms thereof, including to give effect to any intercreditor agreement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Section 8.23 </w:t>
      </w:r>
      <w:r>
        <w:rPr>
          <w:rFonts w:ascii="Times New Roman" w:hAnsi="Times New Roman"/>
          <w:sz w:val="20"/>
          <w:u w:val="single"/>
        </w:rPr>
        <w:t>Acknowledgement</w:t>
      </w:r>
      <w:r>
        <w:rPr>
          <w:rFonts w:ascii="Times New Roman" w:hAnsi="Times New Roman"/>
          <w:sz w:val="20"/>
        </w:rPr>
        <w:t xml:space="preserve">. Each Junior-Lien Authorized Representative and each Junior-Lien Collateral Agent hereby acknowledges that there are assets of the Company, the other Grantors and their Subsidiaries which are subject to Liens in favor of the First-Lien Secured Parties or other creditors but which do not constitute Shared Collateral, and nothing in this Agreement shall grant or imply the grant of any Lien or other security interest in such assets in favor of any Junior-Lien Secured Party to secure any Junior-Lien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8.24 </w:t>
      </w:r>
      <w:r>
        <w:rPr>
          <w:rFonts w:ascii="Times New Roman" w:hAnsi="Times New Roman"/>
          <w:sz w:val="20"/>
          <w:u w:val="single"/>
        </w:rPr>
        <w:t>Survival of Agreement</w:t>
      </w:r>
      <w:r>
        <w:rPr>
          <w:rFonts w:ascii="Times New Roman" w:hAnsi="Times New Roman"/>
          <w:sz w:val="20"/>
        </w:rPr>
        <w:t xml:space="preserve">. All covenants, agreements, representations and warranties made by any party in this Agreement shall be considered to have been relied upon by the other parties hereto and shall survive the execution and delivery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7"/>
        <w:gridCol w:w="114"/>
        <w:gridCol w:w="3241"/>
      </w:tblGrid>
      <w:tr>
        <w:trPr/>
        <w:tc>
          <w:tcPr>
            <w:tcW w:w="727"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GLBL INC.</w:t>
            </w:r>
          </w:p>
        </w:tc>
      </w:tr>
      <w:tr>
        <w:trPr>
          <w:trHeight w:val="240" w:hRule="atLeast"/>
        </w:trPr>
        <w:tc>
          <w:tcPr>
            <w:tcW w:w="727"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241" w:type="dxa"/>
            <w:tcBorders>
              <w:bottom w:val="single" w:sz="2" w:space="0" w:color="000000"/>
            </w:tcBorders>
            <w:tcMar>
              <w:bottom w:w="28" w:type="dxa"/>
            </w:tcMar>
          </w:tcPr>
          <w:p>
            <w:pPr>
              <w:pStyle w:val="TableContents"/>
              <w:bidi w:val="0"/>
              <w:spacing w:before="0" w:after="283"/>
              <w:jc w:val="left"/>
              <w:rPr/>
            </w:pPr>
            <w:r>
              <w:rPr/>
              <w:t> </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Name:</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HOLDINGS CORPORATION</w:t>
            </w:r>
          </w:p>
        </w:tc>
      </w:tr>
      <w:tr>
        <w:trPr>
          <w:trHeight w:val="240" w:hRule="atLeast"/>
        </w:trPr>
        <w:tc>
          <w:tcPr>
            <w:tcW w:w="727"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241" w:type="dxa"/>
            <w:tcBorders>
              <w:bottom w:val="single" w:sz="2" w:space="0" w:color="000000"/>
            </w:tcBorders>
            <w:tcMar>
              <w:bottom w:w="28" w:type="dxa"/>
            </w:tcMar>
          </w:tcPr>
          <w:p>
            <w:pPr>
              <w:pStyle w:val="TableContents"/>
              <w:bidi w:val="0"/>
              <w:spacing w:before="0" w:after="283"/>
              <w:jc w:val="left"/>
              <w:rPr/>
            </w:pPr>
            <w:r>
              <w:rPr/>
              <w:t> </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Name:</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[GRANTORS]</w:t>
            </w:r>
          </w:p>
        </w:tc>
      </w:tr>
      <w:tr>
        <w:trPr>
          <w:trHeight w:val="240" w:hRule="atLeast"/>
        </w:trPr>
        <w:tc>
          <w:tcPr>
            <w:tcW w:w="727"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241" w:type="dxa"/>
            <w:tcBorders>
              <w:bottom w:val="single" w:sz="2" w:space="0" w:color="000000"/>
            </w:tcBorders>
            <w:tcMar>
              <w:bottom w:w="28" w:type="dxa"/>
            </w:tcMar>
          </w:tcPr>
          <w:p>
            <w:pPr>
              <w:pStyle w:val="TableContents"/>
              <w:bidi w:val="0"/>
              <w:spacing w:before="0" w:after="283"/>
              <w:jc w:val="left"/>
              <w:rPr/>
            </w:pPr>
            <w:r>
              <w:rPr/>
              <w:t> </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Name:</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Title:</w:t>
            </w:r>
          </w:p>
        </w:tc>
      </w:tr>
      <w:tr>
        <w:trPr>
          <w:trHeight w:val="240" w:hRule="atLeast"/>
        </w:trPr>
        <w:tc>
          <w:tcPr>
            <w:tcW w:w="727"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241" w:type="dxa"/>
            <w:tcBorders>
              <w:bottom w:val="single" w:sz="2" w:space="0" w:color="000000"/>
            </w:tcBorders>
            <w:tcMar>
              <w:bottom w:w="28" w:type="dxa"/>
            </w:tcMar>
          </w:tcPr>
          <w:p>
            <w:pPr>
              <w:pStyle w:val="TableContents"/>
              <w:bidi w:val="0"/>
              <w:spacing w:before="0" w:after="283"/>
              <w:jc w:val="left"/>
              <w:rPr/>
            </w:pPr>
            <w:r>
              <w:rPr/>
              <w:t> </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Name:</w:t>
            </w:r>
          </w:p>
        </w:tc>
      </w:tr>
      <w:tr>
        <w:trPr/>
        <w:tc>
          <w:tcPr>
            <w:tcW w:w="72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9"/>
        <w:gridCol w:w="74"/>
        <w:gridCol w:w="3229"/>
      </w:tblGrid>
      <w:tr>
        <w:trPr/>
        <w:tc>
          <w:tcPr>
            <w:tcW w:w="779"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as Credit Agreement Administrative Agent and as Authorized Representative for the Credit Agreement Secured Parties</w:t>
            </w:r>
          </w:p>
        </w:tc>
      </w:tr>
      <w:tr>
        <w:trPr>
          <w:trHeight w:val="240" w:hRule="atLeast"/>
        </w:trPr>
        <w:tc>
          <w:tcPr>
            <w:tcW w:w="779" w:type="dxa"/>
            <w:tcBorders/>
            <w:vAlign w:val="center"/>
          </w:tcPr>
          <w:p>
            <w:pPr>
              <w:pStyle w:val="TableContents"/>
              <w:bidi w:val="0"/>
              <w:spacing w:before="0" w:after="283"/>
              <w:jc w:val="left"/>
              <w:rPr>
                <w:sz w:val="4"/>
                <w:szCs w:val="4"/>
              </w:rPr>
            </w:pPr>
            <w:r>
              <w:rPr>
                <w:sz w:val="4"/>
                <w:szCs w:val="4"/>
              </w:rPr>
            </w:r>
          </w:p>
        </w:tc>
        <w:tc>
          <w:tcPr>
            <w:tcW w:w="3303"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3229" w:type="dxa"/>
            <w:tcBorders>
              <w:bottom w:val="single" w:sz="2" w:space="0" w:color="000000"/>
            </w:tcBorders>
            <w:tcMar>
              <w:bottom w:w="28" w:type="dxa"/>
            </w:tcMar>
          </w:tcPr>
          <w:p>
            <w:pPr>
              <w:pStyle w:val="TableContents"/>
              <w:bidi w:val="0"/>
              <w:spacing w:before="0" w:after="283"/>
              <w:jc w:val="left"/>
              <w:rPr/>
            </w:pPr>
            <w:r>
              <w:rPr/>
              <w:t> </w:t>
            </w:r>
          </w:p>
        </w:tc>
      </w:tr>
      <w:tr>
        <w:trPr/>
        <w:tc>
          <w:tcPr>
            <w:tcW w:w="77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Name:</w:t>
            </w:r>
          </w:p>
        </w:tc>
      </w:tr>
      <w:tr>
        <w:trPr/>
        <w:tc>
          <w:tcPr>
            <w:tcW w:w="77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Title:</w:t>
            </w:r>
          </w:p>
        </w:tc>
      </w:tr>
      <w:tr>
        <w:trPr>
          <w:trHeight w:val="240" w:hRule="atLeast"/>
        </w:trPr>
        <w:tc>
          <w:tcPr>
            <w:tcW w:w="779" w:type="dxa"/>
            <w:tcBorders/>
            <w:vAlign w:val="center"/>
          </w:tcPr>
          <w:p>
            <w:pPr>
              <w:pStyle w:val="TableContents"/>
              <w:bidi w:val="0"/>
              <w:spacing w:before="0" w:after="283"/>
              <w:jc w:val="left"/>
              <w:rPr>
                <w:sz w:val="4"/>
                <w:szCs w:val="4"/>
              </w:rPr>
            </w:pPr>
            <w:r>
              <w:rPr>
                <w:sz w:val="4"/>
                <w:szCs w:val="4"/>
              </w:rPr>
            </w:r>
          </w:p>
        </w:tc>
        <w:tc>
          <w:tcPr>
            <w:tcW w:w="3303"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3229" w:type="dxa"/>
            <w:tcBorders>
              <w:bottom w:val="single" w:sz="2" w:space="0" w:color="000000"/>
            </w:tcBorders>
            <w:tcMar>
              <w:bottom w:w="28" w:type="dxa"/>
            </w:tcMar>
          </w:tcPr>
          <w:p>
            <w:pPr>
              <w:pStyle w:val="TableContents"/>
              <w:bidi w:val="0"/>
              <w:spacing w:before="0" w:after="283"/>
              <w:jc w:val="left"/>
              <w:rPr/>
            </w:pPr>
            <w:r>
              <w:rPr/>
              <w:t> </w:t>
            </w:r>
          </w:p>
        </w:tc>
      </w:tr>
      <w:tr>
        <w:trPr/>
        <w:tc>
          <w:tcPr>
            <w:tcW w:w="77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Name:</w:t>
            </w:r>
          </w:p>
        </w:tc>
      </w:tr>
      <w:tr>
        <w:trPr/>
        <w:tc>
          <w:tcPr>
            <w:tcW w:w="77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 as Initial Additional First-Lien Collateral Agent and as Initial Additional First-Lien Authorized Representative</w:t>
            </w:r>
          </w:p>
        </w:tc>
      </w:tr>
      <w:tr>
        <w:trPr>
          <w:trHeight w:val="240" w:hRule="atLeast"/>
        </w:trPr>
        <w:tc>
          <w:tcPr>
            <w:tcW w:w="779" w:type="dxa"/>
            <w:tcBorders/>
            <w:vAlign w:val="center"/>
          </w:tcPr>
          <w:p>
            <w:pPr>
              <w:pStyle w:val="TableContents"/>
              <w:bidi w:val="0"/>
              <w:spacing w:before="0" w:after="283"/>
              <w:jc w:val="left"/>
              <w:rPr>
                <w:sz w:val="4"/>
                <w:szCs w:val="4"/>
              </w:rPr>
            </w:pPr>
            <w:r>
              <w:rPr>
                <w:sz w:val="4"/>
                <w:szCs w:val="4"/>
              </w:rPr>
            </w:r>
          </w:p>
        </w:tc>
        <w:tc>
          <w:tcPr>
            <w:tcW w:w="3303"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3229" w:type="dxa"/>
            <w:tcBorders>
              <w:bottom w:val="single" w:sz="2" w:space="0" w:color="000000"/>
            </w:tcBorders>
            <w:tcMar>
              <w:bottom w:w="28" w:type="dxa"/>
            </w:tcMar>
          </w:tcPr>
          <w:p>
            <w:pPr>
              <w:pStyle w:val="TableContents"/>
              <w:bidi w:val="0"/>
              <w:spacing w:before="0" w:after="283"/>
              <w:jc w:val="left"/>
              <w:rPr/>
            </w:pPr>
            <w:r>
              <w:rPr/>
              <w:t> </w:t>
            </w:r>
          </w:p>
        </w:tc>
      </w:tr>
      <w:tr>
        <w:trPr/>
        <w:tc>
          <w:tcPr>
            <w:tcW w:w="77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Name:</w:t>
            </w:r>
          </w:p>
        </w:tc>
      </w:tr>
      <w:tr>
        <w:trPr/>
        <w:tc>
          <w:tcPr>
            <w:tcW w:w="77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[to include any additional applicable parties at the time this Agreement is entered into]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07"/>
        <w:gridCol w:w="111"/>
        <w:gridCol w:w="3264"/>
      </w:tblGrid>
      <w:tr>
        <w:trPr/>
        <w:tc>
          <w:tcPr>
            <w:tcW w:w="70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as Initial Junior-Lien Authorized Representative</w:t>
            </w:r>
          </w:p>
        </w:tc>
      </w:tr>
      <w:tr>
        <w:trPr>
          <w:trHeight w:val="240" w:hRule="atLeast"/>
        </w:trPr>
        <w:tc>
          <w:tcPr>
            <w:tcW w:w="707" w:type="dxa"/>
            <w:tcBorders/>
            <w:vAlign w:val="center"/>
          </w:tcPr>
          <w:p>
            <w:pPr>
              <w:pStyle w:val="TableContents"/>
              <w:bidi w:val="0"/>
              <w:spacing w:before="0" w:after="283"/>
              <w:jc w:val="left"/>
              <w:rPr>
                <w:sz w:val="4"/>
                <w:szCs w:val="4"/>
              </w:rPr>
            </w:pPr>
            <w:r>
              <w:rPr>
                <w:sz w:val="4"/>
                <w:szCs w:val="4"/>
              </w:rPr>
            </w:r>
          </w:p>
        </w:tc>
        <w:tc>
          <w:tcPr>
            <w:tcW w:w="3375" w:type="dxa"/>
            <w:gridSpan w:val="2"/>
            <w:tcBorders/>
            <w:vAlign w:val="center"/>
          </w:tcPr>
          <w:p>
            <w:pPr>
              <w:pStyle w:val="TableContents"/>
              <w:bidi w:val="0"/>
              <w:spacing w:before="0" w:after="283"/>
              <w:jc w:val="left"/>
              <w:rPr>
                <w:sz w:val="4"/>
                <w:szCs w:val="4"/>
              </w:rPr>
            </w:pPr>
            <w:r>
              <w:rPr>
                <w:sz w:val="4"/>
                <w:szCs w:val="4"/>
              </w:rPr>
            </w:r>
          </w:p>
        </w:tc>
      </w:tr>
      <w:tr>
        <w:trPr/>
        <w:tc>
          <w:tcPr>
            <w:tcW w:w="707"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3264" w:type="dxa"/>
            <w:tcBorders>
              <w:bottom w:val="single" w:sz="2" w:space="0" w:color="000000"/>
            </w:tcBorders>
            <w:tcMar>
              <w:bottom w:w="28" w:type="dxa"/>
            </w:tcMar>
          </w:tcPr>
          <w:p>
            <w:pPr>
              <w:pStyle w:val="TableContents"/>
              <w:bidi w:val="0"/>
              <w:spacing w:before="0" w:after="283"/>
              <w:jc w:val="left"/>
              <w:rPr/>
            </w:pPr>
            <w:r>
              <w:rPr/>
              <w:t> </w:t>
            </w:r>
          </w:p>
        </w:tc>
      </w:tr>
      <w:tr>
        <w:trPr/>
        <w:tc>
          <w:tcPr>
            <w:tcW w:w="70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264" w:type="dxa"/>
            <w:tcBorders/>
          </w:tcPr>
          <w:p>
            <w:pPr>
              <w:pStyle w:val="TableContents"/>
              <w:bidi w:val="0"/>
              <w:spacing w:before="0" w:after="283"/>
              <w:jc w:val="left"/>
              <w:rPr/>
            </w:pPr>
            <w:r>
              <w:rPr/>
              <w:t>Name:</w:t>
            </w:r>
          </w:p>
        </w:tc>
      </w:tr>
      <w:tr>
        <w:trPr/>
        <w:tc>
          <w:tcPr>
            <w:tcW w:w="70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26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as Initial Junior-Lien Collateral Agent</w:t>
            </w:r>
          </w:p>
        </w:tc>
      </w:tr>
      <w:tr>
        <w:trPr>
          <w:trHeight w:val="240" w:hRule="atLeast"/>
        </w:trPr>
        <w:tc>
          <w:tcPr>
            <w:tcW w:w="707" w:type="dxa"/>
            <w:tcBorders/>
            <w:vAlign w:val="center"/>
          </w:tcPr>
          <w:p>
            <w:pPr>
              <w:pStyle w:val="TableContents"/>
              <w:bidi w:val="0"/>
              <w:spacing w:before="0" w:after="283"/>
              <w:jc w:val="left"/>
              <w:rPr>
                <w:sz w:val="4"/>
                <w:szCs w:val="4"/>
              </w:rPr>
            </w:pPr>
            <w:r>
              <w:rPr>
                <w:sz w:val="4"/>
                <w:szCs w:val="4"/>
              </w:rPr>
            </w:r>
          </w:p>
        </w:tc>
        <w:tc>
          <w:tcPr>
            <w:tcW w:w="3375" w:type="dxa"/>
            <w:gridSpan w:val="2"/>
            <w:tcBorders/>
            <w:vAlign w:val="center"/>
          </w:tcPr>
          <w:p>
            <w:pPr>
              <w:pStyle w:val="TableContents"/>
              <w:bidi w:val="0"/>
              <w:spacing w:before="0" w:after="283"/>
              <w:jc w:val="left"/>
              <w:rPr>
                <w:sz w:val="4"/>
                <w:szCs w:val="4"/>
              </w:rPr>
            </w:pPr>
            <w:r>
              <w:rPr>
                <w:sz w:val="4"/>
                <w:szCs w:val="4"/>
              </w:rPr>
            </w:r>
          </w:p>
        </w:tc>
      </w:tr>
      <w:tr>
        <w:trPr/>
        <w:tc>
          <w:tcPr>
            <w:tcW w:w="707"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3264" w:type="dxa"/>
            <w:tcBorders>
              <w:bottom w:val="single" w:sz="2" w:space="0" w:color="000000"/>
            </w:tcBorders>
            <w:tcMar>
              <w:bottom w:w="28" w:type="dxa"/>
            </w:tcMar>
          </w:tcPr>
          <w:p>
            <w:pPr>
              <w:pStyle w:val="TableContents"/>
              <w:bidi w:val="0"/>
              <w:spacing w:before="0" w:after="283"/>
              <w:jc w:val="left"/>
              <w:rPr/>
            </w:pPr>
            <w:r>
              <w:rPr/>
              <w:t> </w:t>
            </w:r>
          </w:p>
        </w:tc>
      </w:tr>
      <w:tr>
        <w:trPr/>
        <w:tc>
          <w:tcPr>
            <w:tcW w:w="70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264" w:type="dxa"/>
            <w:tcBorders/>
          </w:tcPr>
          <w:p>
            <w:pPr>
              <w:pStyle w:val="TableContents"/>
              <w:bidi w:val="0"/>
              <w:spacing w:before="0" w:after="283"/>
              <w:jc w:val="left"/>
              <w:rPr/>
            </w:pPr>
            <w:r>
              <w:rPr/>
              <w:t>Name:</w:t>
            </w:r>
          </w:p>
        </w:tc>
      </w:tr>
      <w:tr>
        <w:trPr/>
        <w:tc>
          <w:tcPr>
            <w:tcW w:w="70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264"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 </w:t>
      </w:r>
    </w:p>
    <w:p>
      <w:pPr>
        <w:pStyle w:val="TextBody"/>
        <w:bidi w:val="0"/>
        <w:spacing w:before="0" w:after="0"/>
        <w:jc w:val="center"/>
        <w:rPr>
          <w:rFonts w:ascii="Times New Roman" w:hAnsi="Times New Roman"/>
          <w:sz w:val="20"/>
        </w:rPr>
      </w:pPr>
      <w:r>
        <w:rPr>
          <w:rFonts w:ascii="Times New Roman" w:hAnsi="Times New Roman"/>
          <w:sz w:val="20"/>
        </w:rPr>
        <w:t xml:space="preserve">to the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Junior-Lien Intercreditor Agreement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GRANTORS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Insert Grantors existing on the date of the Junior</w:t>
      </w:r>
      <w:r>
        <w:rPr>
          <w:rFonts w:ascii="Times New Roman" w:hAnsi="Times New Roman"/>
          <w:sz w:val="20"/>
        </w:rPr>
        <w:t>-</w:t>
      </w:r>
      <w:r>
        <w:rPr>
          <w:rFonts w:ascii="Times New Roman" w:hAnsi="Times New Roman"/>
          <w:i/>
          <w:sz w:val="20"/>
        </w:rPr>
        <w:t>Lien Intercreditor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II </w:t>
      </w:r>
    </w:p>
    <w:p>
      <w:pPr>
        <w:pStyle w:val="TextBody"/>
        <w:bidi w:val="0"/>
        <w:spacing w:before="0" w:after="0"/>
        <w:jc w:val="center"/>
        <w:rPr>
          <w:rFonts w:ascii="Times New Roman" w:hAnsi="Times New Roman"/>
          <w:sz w:val="20"/>
        </w:rPr>
      </w:pPr>
      <w:r>
        <w:rPr>
          <w:rFonts w:ascii="Times New Roman" w:hAnsi="Times New Roman"/>
          <w:sz w:val="20"/>
        </w:rPr>
        <w:t xml:space="preserve">to the </w:t>
      </w:r>
    </w:p>
    <w:p>
      <w:pPr>
        <w:pStyle w:val="TextBody"/>
        <w:bidi w:val="0"/>
        <w:spacing w:before="0" w:after="0"/>
        <w:jc w:val="center"/>
        <w:rPr>
          <w:rFonts w:ascii="Times New Roman" w:hAnsi="Times New Roman"/>
          <w:sz w:val="20"/>
        </w:rPr>
      </w:pPr>
      <w:r>
        <w:rPr>
          <w:rFonts w:ascii="Times New Roman" w:hAnsi="Times New Roman"/>
          <w:sz w:val="20"/>
        </w:rPr>
        <w:t xml:space="preserve">Junior-Lien Intercreditor Agreement </w:t>
      </w:r>
    </w:p>
    <w:p>
      <w:pPr>
        <w:pStyle w:val="TextBody"/>
        <w:bidi w:val="0"/>
        <w:spacing w:before="120" w:after="0"/>
        <w:jc w:val="center"/>
        <w:rPr>
          <w:rFonts w:ascii="Times New Roman" w:hAnsi="Times New Roman"/>
          <w:sz w:val="20"/>
        </w:rPr>
      </w:pPr>
      <w:r>
        <w:rPr>
          <w:rFonts w:ascii="Times New Roman" w:hAnsi="Times New Roman"/>
          <w:sz w:val="20"/>
        </w:rPr>
        <w:t xml:space="preserve">ASSUMPTION AGREEMENT TO THE JUNIOR-LIEN INTERCREDITOR AGREEMENT </w:t>
      </w:r>
    </w:p>
    <w:p>
      <w:pPr>
        <w:pStyle w:val="TextBody"/>
        <w:bidi w:val="0"/>
        <w:spacing w:before="240" w:after="0"/>
        <w:jc w:val="left"/>
        <w:rPr>
          <w:rFonts w:ascii="Times New Roman" w:hAnsi="Times New Roman"/>
          <w:sz w:val="20"/>
        </w:rPr>
      </w:pPr>
      <w:r>
        <w:rPr>
          <w:rFonts w:ascii="Times New Roman" w:hAnsi="Times New Roman"/>
          <w:sz w:val="20"/>
        </w:rPr>
        <w:t>The undersigned, [</w:t>
      </w:r>
      <w:r>
        <w:rPr>
          <w:rFonts w:ascii="Times New Roman" w:hAnsi="Times New Roman"/>
          <w:sz w:val="20"/>
          <w:u w:val="single"/>
        </w:rPr>
        <w:t>       </w:t>
      </w:r>
      <w:r>
        <w:rPr>
          <w:rFonts w:ascii="Times New Roman" w:hAnsi="Times New Roman"/>
          <w:sz w:val="20"/>
        </w:rPr>
        <w:t>], a [</w:t>
      </w:r>
      <w:r>
        <w:rPr>
          <w:rFonts w:ascii="Times New Roman" w:hAnsi="Times New Roman"/>
          <w:sz w:val="20"/>
          <w:u w:val="single"/>
        </w:rPr>
        <w:t xml:space="preserve">           </w:t>
      </w:r>
      <w:r>
        <w:rPr>
          <w:rFonts w:ascii="Times New Roman" w:hAnsi="Times New Roman"/>
          <w:sz w:val="20"/>
        </w:rPr>
        <w:t>], hereby agrees to become party as a Grantor under the Junior-Lien Intercreditor Agreement dated as of[</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w:t>
      </w:r>
      <w:r>
        <w:rPr>
          <w:rFonts w:ascii="Times New Roman" w:hAnsi="Times New Roman"/>
          <w:sz w:val="20"/>
        </w:rPr>
        <w:t>] (as amended, restated, amended and restated, extended, supplemented or otherwise modified from time to time, the “</w:t>
      </w:r>
      <w:r>
        <w:rPr>
          <w:rFonts w:ascii="Times New Roman" w:hAnsi="Times New Roman"/>
          <w:sz w:val="20"/>
          <w:u w:val="single"/>
        </w:rPr>
        <w:t>Junior-Lien Intercreditor Agreement</w:t>
      </w:r>
      <w:r>
        <w:rPr>
          <w:rFonts w:ascii="Times New Roman" w:hAnsi="Times New Roman"/>
          <w:sz w:val="20"/>
        </w:rPr>
        <w:t xml:space="preserve">”), among Sabre Holdings Corporation, a Delaware corporation, Sabre GLBL Inc., a Delaware corporation, the other Grantors from time to time party thereto, [    ], as Credit Agreement Administrative Agent, [   ], as Authorized Representative for the Credit Agreement Secured Parties, [    ], as Initial Additional First-Lien Collateral Agent, [  ], as Initial Additional First-Lien Authorized Representative, [  ], as Initial Junior-Lien Authorized Representative, [ ], as Initial Junior-Lien Collateral Agent and each additional Authorized Representative and Collateral Agent from time to time a party thereto, for all purposes thereof on the terms set forth therein, and to be bound by the terms of the Junior-Lien Intercreditor Agreement as fully as if the undersigned had executed and delivered the Junior-Lien Intercreditor Agreement as of the date thereof. Capitalized terms used herein but not otherwise defined herein shall have the meanings assigned to such terms in the Junior-Lien Intercreditor Agreement. 1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Article VIII of the Junior-Lien Intercreditor Agreement will apply with like effect to this Assumption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Assumption Agreement to be executed by their respective officers or representatives as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6"/>
        <w:gridCol w:w="60"/>
        <w:gridCol w:w="3386"/>
      </w:tblGrid>
      <w:tr>
        <w:trPr/>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r>
      <w:tr>
        <w:trPr/>
        <w:tc>
          <w:tcPr>
            <w:tcW w:w="63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6" w:type="dxa"/>
            <w:tcBorders>
              <w:bottom w:val="single" w:sz="2" w:space="0" w:color="000000"/>
            </w:tcBorders>
            <w:tcMar>
              <w:bottom w:w="28" w:type="dxa"/>
            </w:tcMar>
          </w:tcPr>
          <w:p>
            <w:pPr>
              <w:pStyle w:val="TableContents"/>
              <w:bidi w:val="0"/>
              <w:spacing w:before="0" w:after="283"/>
              <w:jc w:val="left"/>
              <w:rPr/>
            </w:pPr>
            <w:r>
              <w:rPr/>
              <w:t> </w:t>
            </w:r>
          </w:p>
        </w:tc>
      </w:tr>
      <w:tr>
        <w:trPr/>
        <w:tc>
          <w:tcPr>
            <w:tcW w:w="63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6" w:type="dxa"/>
            <w:tcBorders/>
          </w:tcPr>
          <w:p>
            <w:pPr>
              <w:pStyle w:val="TableContents"/>
              <w:bidi w:val="0"/>
              <w:spacing w:before="0" w:after="283"/>
              <w:jc w:val="left"/>
              <w:rPr/>
            </w:pPr>
            <w:r>
              <w:rPr/>
              <w:t>(                     )</w:t>
            </w:r>
          </w:p>
        </w:tc>
      </w:tr>
      <w:tr>
        <w:trPr/>
        <w:tc>
          <w:tcPr>
            <w:tcW w:w="63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modified, as necessary, to properly reflect the Debt Facilities in existence at the time this Agreement is entered into.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III </w:t>
      </w:r>
    </w:p>
    <w:p>
      <w:pPr>
        <w:pStyle w:val="TextBody"/>
        <w:bidi w:val="0"/>
        <w:spacing w:before="0" w:after="0"/>
        <w:jc w:val="center"/>
        <w:rPr>
          <w:rFonts w:ascii="Times New Roman" w:hAnsi="Times New Roman"/>
          <w:sz w:val="20"/>
        </w:rPr>
      </w:pPr>
      <w:r>
        <w:rPr>
          <w:rFonts w:ascii="Times New Roman" w:hAnsi="Times New Roman"/>
          <w:sz w:val="20"/>
        </w:rPr>
        <w:t xml:space="preserve">to the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Junior-Lien Intercreditor Agreement </w:t>
      </w:r>
    </w:p>
    <w:p>
      <w:pPr>
        <w:pStyle w:val="TextBody"/>
        <w:bidi w:val="0"/>
        <w:spacing w:before="240" w:after="0"/>
        <w:jc w:val="left"/>
        <w:rPr>
          <w:rFonts w:ascii="Times New Roman" w:hAnsi="Times New Roman"/>
          <w:sz w:val="20"/>
        </w:rPr>
      </w:pPr>
      <w:r>
        <w:rPr>
          <w:rFonts w:ascii="Times New Roman" w:hAnsi="Times New Roman"/>
          <w:sz w:val="20"/>
        </w:rPr>
        <w:t>ADDITIONAL JUNIOR-LIEN DEBT JOINDER AGREEMENT NO. [</w:t>
      </w:r>
      <w:r>
        <w:rPr>
          <w:rFonts w:ascii="Times New Roman" w:hAnsi="Times New Roman"/>
          <w:sz w:val="20"/>
          <w:u w:val="single"/>
        </w:rPr>
        <w:t> </w:t>
      </w:r>
      <w:r>
        <w:rPr>
          <w:rFonts w:ascii="Times New Roman" w:hAnsi="Times New Roman"/>
          <w:sz w:val="20"/>
        </w:rPr>
        <w:t>] dated as of [  ], 20[ ] (the “</w:t>
      </w:r>
      <w:r>
        <w:rPr>
          <w:rFonts w:ascii="Times New Roman" w:hAnsi="Times New Roman"/>
          <w:sz w:val="20"/>
          <w:u w:val="single"/>
        </w:rPr>
        <w:t>Joinder Agreement</w:t>
      </w:r>
      <w:r>
        <w:rPr>
          <w:rFonts w:ascii="Times New Roman" w:hAnsi="Times New Roman"/>
          <w:sz w:val="20"/>
        </w:rPr>
        <w:t>”) to the JUNIOR-LIEN INTERCREDITOR AGREEMENT (as defined below), among Sabre Holdings Corporation, a Delaware corporation (“</w:t>
      </w:r>
      <w:r>
        <w:rPr>
          <w:rFonts w:ascii="Times New Roman" w:hAnsi="Times New Roman"/>
          <w:sz w:val="20"/>
          <w:u w:val="single"/>
        </w:rPr>
        <w:t>Holdings</w:t>
      </w:r>
      <w:r>
        <w:rPr>
          <w:rFonts w:ascii="Times New Roman" w:hAnsi="Times New Roman"/>
          <w:sz w:val="20"/>
        </w:rPr>
        <w:t>”), Sabre GLBL Inc., a Delaware corporation (the “</w:t>
      </w:r>
      <w:r>
        <w:rPr>
          <w:rFonts w:ascii="Times New Roman" w:hAnsi="Times New Roman"/>
          <w:sz w:val="20"/>
          <w:u w:val="single"/>
        </w:rPr>
        <w:t>Company</w:t>
      </w:r>
      <w:r>
        <w:rPr>
          <w:rFonts w:ascii="Times New Roman" w:hAnsi="Times New Roman"/>
          <w:sz w:val="20"/>
        </w:rPr>
        <w:t>”), certain subsidiaries and affiliates of the Company (together with Holdings and the Company, each a “</w:t>
      </w:r>
      <w:r>
        <w:rPr>
          <w:rFonts w:ascii="Times New Roman" w:hAnsi="Times New Roman"/>
          <w:sz w:val="20"/>
          <w:u w:val="single"/>
        </w:rPr>
        <w:t>Grantor</w:t>
      </w:r>
      <w:r>
        <w:rPr>
          <w:rFonts w:ascii="Times New Roman" w:hAnsi="Times New Roman"/>
          <w:sz w:val="20"/>
        </w:rPr>
        <w:t xml:space="preserve">”) and each New Representative (as defined below) party hereto. </w:t>
      </w:r>
    </w:p>
    <w:p>
      <w:pPr>
        <w:pStyle w:val="TextBody"/>
        <w:bidi w:val="0"/>
        <w:spacing w:before="240" w:after="0"/>
        <w:jc w:val="left"/>
        <w:rPr>
          <w:rFonts w:ascii="Times New Roman" w:hAnsi="Times New Roman"/>
          <w:sz w:val="20"/>
        </w:rPr>
      </w:pPr>
      <w:r>
        <w:rPr>
          <w:rFonts w:ascii="Times New Roman" w:hAnsi="Times New Roman"/>
          <w:sz w:val="20"/>
        </w:rPr>
        <w:t>A. Capitalized terms used herein but not otherwise defined herein shall have the meanings assigned to such terms in the Junior-Lien Intercreditor Agreement dated as of[</w:t>
      </w:r>
      <w:r>
        <w:rPr>
          <w:rFonts w:ascii="Times New Roman" w:hAnsi="Times New Roman"/>
          <w:sz w:val="20"/>
          <w:u w:val="single"/>
        </w:rPr>
        <w:t>       </w:t>
      </w:r>
      <w:r>
        <w:rPr>
          <w:rFonts w:ascii="Times New Roman" w:hAnsi="Times New Roman"/>
          <w:sz w:val="20"/>
        </w:rPr>
        <w:t>], 20[ ] (as amended, restated, amended and restated, extended, supplemented or otherwise modified from time to time, the “</w:t>
      </w:r>
      <w:r>
        <w:rPr>
          <w:rFonts w:ascii="Times New Roman" w:hAnsi="Times New Roman"/>
          <w:sz w:val="20"/>
          <w:u w:val="single"/>
        </w:rPr>
        <w:t>Junior-Lien Intercreditor Agreement</w:t>
      </w:r>
      <w:r>
        <w:rPr>
          <w:rFonts w:ascii="Times New Roman" w:hAnsi="Times New Roman"/>
          <w:sz w:val="20"/>
        </w:rPr>
        <w:t>”), among Holdings, the Company, each other Grantor from time to time party thereto, [   ], as Credit Agreement Administrative Agent, [  ], as Authorized Representative for the Credit Agreement Secured Parties, [   ], as Initial Additional First-Lien Collateral Agent, [   ], as Initial Additional First-Lien Authorized Representative, [</w:t>
      </w:r>
      <w:r>
        <w:rPr>
          <w:rFonts w:ascii="Times New Roman" w:hAnsi="Times New Roman"/>
          <w:sz w:val="20"/>
          <w:u w:val="single"/>
        </w:rPr>
        <w:t> </w:t>
      </w:r>
      <w:r>
        <w:rPr>
          <w:rFonts w:ascii="Times New Roman" w:hAnsi="Times New Roman"/>
          <w:sz w:val="20"/>
        </w:rPr>
        <w:t xml:space="preserve">], as Initial Junior-Lien Authorized Representative, [ ], as Initial Junior-Lien Collateral Agent, and each additional Authorized Representative and Collateral Agent from time to time a party thereto. 1 </w:t>
      </w:r>
    </w:p>
    <w:p>
      <w:pPr>
        <w:pStyle w:val="TextBody"/>
        <w:bidi w:val="0"/>
        <w:spacing w:before="240" w:after="0"/>
        <w:jc w:val="left"/>
        <w:rPr>
          <w:rFonts w:ascii="Times New Roman" w:hAnsi="Times New Roman"/>
          <w:sz w:val="20"/>
        </w:rPr>
      </w:pPr>
      <w:r>
        <w:rPr>
          <w:rFonts w:ascii="Times New Roman" w:hAnsi="Times New Roman"/>
          <w:sz w:val="20"/>
        </w:rPr>
        <w:t>B. As a condition to the ability of the Company to incur or issue Additional Junior-Lien Debt and to secure such Additional Junior-Lien Debt with the liens and security interests created by the Junior-Lien Collateral Documents for such Additional Junior-Lien Debt, each Additional Junior-Lien Debt Representative in respect of such Additional Junior-Lien Debt is required to become a Junior-Lien Authorized Representative and/or an Additional Junior-Lien Collateral Agent, as applicable, and such Additional Junior-Lien Debt and the Additional Junior-Lien Secured Parties in respect thereof are required to become subject to and bound by the Junior-Lien Intercreditor Agreement. Section 8.8(a) of the Junior-Lien Intercreditor Agreement provides that each such Additional Junior-Lien Debt Representative may become a Junior-Lien Authorized Representative and/or an Additional Junior-Lien Collateral Agent, as applicable, and such Additional Junior-Lien Debt and such Additional Junior-Lien Secured Parties may become subject to and bound by the Junior-Lien Intercreditor Agreement, upon the execution and delivery by each Additional Junior-Lien Debt Representative of an instrument in the form of this Joinder Agreement and the satisfaction of the other conditions set forth in Section 8.8(a) of the Junior-Lien Intercreditor Agreement. Each undersigned Additional Junior-Lien Debt Representative (each, a “</w:t>
      </w:r>
      <w:r>
        <w:rPr>
          <w:rFonts w:ascii="Times New Roman" w:hAnsi="Times New Roman"/>
          <w:sz w:val="20"/>
          <w:u w:val="single"/>
        </w:rPr>
        <w:t>New Representative</w:t>
      </w:r>
      <w:r>
        <w:rPr>
          <w:rFonts w:ascii="Times New Roman" w:hAnsi="Times New Roman"/>
          <w:sz w:val="20"/>
        </w:rPr>
        <w:t xml:space="preserve">”) is executing this Joinder Agreement in accordance with the requirements of the Junior-Lien Intercreditor Agreement and the Junior-Lien Collateral Documents.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modified, as necessary, to properly reflect the Debt Facilities in existence at the time this Agreement is entered into.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Accordingly, each New Representative party hereto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Accession to the Intercreditor Agreement</w:t>
      </w:r>
      <w:r>
        <w:rPr>
          <w:rFonts w:ascii="Times New Roman" w:hAnsi="Times New Roman"/>
          <w:sz w:val="20"/>
        </w:rPr>
        <w:t xml:space="preserve">. In accordance with Section 8.8(a) of the Junior-Lien Intercreditor Agreement, each New Representative by its signature below becomes a Junior-Lien Authorized Representative and/or an Additional Junior-Lien Collateral Agent, as applicable, under, and the related Additional Junior-Lien Debt and Additional Junior-Lien Secured Parties become subject to and bound by, the Junior-Lien Intercreditor Agreement with the same force and effect as if such New Representative had originally been named therein as a Junior-Lien Authorized Representative and/or an Additional Junior-Lien Collateral Agent, as applicable, and each New Representative on its behalf and on behalf of such Additional Junior-Lien Secured Parties, hereby agrees to all the terms and provisions of the Junior-Lien Intercreditor Agreement applicable to it as a Junior-Lien Authorized Representative and/or Additional Junior-Lien Collateral Agent, as applicable, and to the Additional Junior-Lien Secured Parties that it represents as Junior-Lien Secured Parties. Each reference to a “Junior-Lien Authorized Representative” in the Junior-Lien Intercreditor Agreement shall be deemed to include each New Representative executing this Joinder Agreement as a Junior-Lien Authorized Representative and each reference to an “Additional Junior-Lien Collateral Agent” in the Junior-Lien Intercreditor Agreement shall be deemed to include each New Representative executing this Joinder Agreement as an Additional Junior-Lien Collateral Agent. The Junior-Lien Intercreditor Agreement is hereby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Warranties and Acknowledgment of each New Representative</w:t>
      </w:r>
      <w:r>
        <w:rPr>
          <w:rFonts w:ascii="Times New Roman" w:hAnsi="Times New Roman"/>
          <w:sz w:val="20"/>
        </w:rPr>
        <w:t xml:space="preserve">. Each New Representative represents and warrants to each First-Lien Secured Party and each Junior-Lien Secured Party, individually, that (i) it has full power and authority to enter into this Joinder Agreement, in its capacity as [agent] [trustee], (ii) this Joinder Agreement has been duly authorized, executed and delivered by it and constitutes its legal, valid and binding obligation, enforceable against it in accordance with its terms, and (iii) the Junior-Lien Debt Documents relating to such Additional Junior-Lien Debt provide that, upon such New Representative’s entry into this Joinder Agreement, each Additional Junior-Lien Secured Party with respect to such Additional Junior-Lien Debt will be subject to and bound by the provisions of the Junior-Lien Intercreditor Agreement as Additional Junior-Lien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Counterparts</w:t>
      </w:r>
      <w:r>
        <w:rPr>
          <w:rFonts w:ascii="Times New Roman" w:hAnsi="Times New Roman"/>
          <w:sz w:val="20"/>
        </w:rPr>
        <w:t xml:space="preserve">. This Joinder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Joinder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Benefit of Agreement</w:t>
      </w:r>
      <w:r>
        <w:rPr>
          <w:rFonts w:ascii="Times New Roman" w:hAnsi="Times New Roman"/>
          <w:sz w:val="20"/>
        </w:rPr>
        <w:t xml:space="preserve">. The agreements set forth herein or undertaken pursuant hereto are for the benefit of, and may be enforced by, any party to the Junior-Lien Intercreditor Agreement. Except as expressly supplemented hereby, the Junior-Lien Intercreditor Agreement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Governing Law</w:t>
      </w:r>
      <w:r>
        <w:rPr>
          <w:rFonts w:ascii="Times New Roman" w:hAnsi="Times New Roman"/>
          <w:sz w:val="20"/>
        </w:rPr>
        <w:t xml:space="preserve">. THIS JOINDER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Severability</w:t>
      </w:r>
      <w:r>
        <w:rPr>
          <w:rFonts w:ascii="Times New Roman" w:hAnsi="Times New Roman"/>
          <w:sz w:val="20"/>
        </w:rPr>
        <w:t xml:space="preserve">. In case any one or more of the provisions contained in this Joinder Agreement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Junior-Lien Intercreditor Agreement shall not in any way be affected or impaired. The parties hereto shall endeavor in good 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Notices</w:t>
      </w:r>
      <w:r>
        <w:rPr>
          <w:rFonts w:ascii="Times New Roman" w:hAnsi="Times New Roman"/>
          <w:sz w:val="20"/>
        </w:rPr>
        <w:t xml:space="preserve">. All communications and notices hereunder shall be in writing and given as provided in Section 8.10 of the Junior-Lien Intercreditor Agreement. All communications and notices hereunder to each New Representative shall be given to it at its address set forth below its signature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Expenses</w:t>
      </w:r>
      <w:r>
        <w:rPr>
          <w:rFonts w:ascii="Times New Roman" w:hAnsi="Times New Roman"/>
          <w:sz w:val="20"/>
        </w:rPr>
        <w:t xml:space="preserve">. The Company agrees to reimburse each Collateral Agent and each Authorized Representative for its reasonable out-of-pocket expenses in connection with this Joinder Agreement, including the reasonable fees, other charges and disbursements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undersigned New Representative has duly executed this Joinder Agreement to the Junior-Lien Intercreditor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08"/>
        <w:gridCol w:w="109"/>
        <w:gridCol w:w="3365"/>
      </w:tblGrid>
      <w:tr>
        <w:trPr/>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NEW REPRESENTATIVE], as Authorized Representative for the holders of [</w:t>
            </w:r>
            <w:r>
              <w:rPr>
                <w:rFonts w:ascii="Times New Roman" w:hAnsi="Times New Roman"/>
                <w:sz w:val="20"/>
                <w:u w:val="single"/>
              </w:rPr>
              <w:t xml:space="preserve">       </w:t>
            </w:r>
            <w:r>
              <w:rPr>
                <w:rFonts w:ascii="Times New Roman" w:hAnsi="Times New Roman"/>
                <w:sz w:val="20"/>
              </w:rPr>
              <w:t>],</w:t>
            </w:r>
          </w:p>
        </w:tc>
      </w:tr>
      <w:tr>
        <w:trPr>
          <w:trHeight w:val="240" w:hRule="atLeast"/>
        </w:trPr>
        <w:tc>
          <w:tcPr>
            <w:tcW w:w="608" w:type="dxa"/>
            <w:tcBorders/>
            <w:vAlign w:val="center"/>
          </w:tcPr>
          <w:p>
            <w:pPr>
              <w:pStyle w:val="TableContents"/>
              <w:bidi w:val="0"/>
              <w:spacing w:before="0" w:after="283"/>
              <w:jc w:val="left"/>
              <w:rPr>
                <w:sz w:val="4"/>
                <w:szCs w:val="4"/>
              </w:rPr>
            </w:pPr>
            <w:r>
              <w:rPr>
                <w:sz w:val="4"/>
                <w:szCs w:val="4"/>
              </w:rPr>
            </w:r>
          </w:p>
        </w:tc>
        <w:tc>
          <w:tcPr>
            <w:tcW w:w="3474"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283"/>
              <w:jc w:val="left"/>
              <w:rPr/>
            </w:pPr>
            <w:r>
              <w:rPr/>
              <w:t> </w:t>
            </w:r>
          </w:p>
        </w:tc>
      </w:tr>
      <w:tr>
        <w:trPr/>
        <w:tc>
          <w:tcPr>
            <w:tcW w:w="60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Name:</w:t>
            </w:r>
          </w:p>
        </w:tc>
      </w:tr>
      <w:tr>
        <w:trPr/>
        <w:tc>
          <w:tcPr>
            <w:tcW w:w="60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c>
          <w:tcPr>
            <w:tcW w:w="608"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283"/>
              <w:jc w:val="left"/>
              <w:rPr/>
            </w:pPr>
            <w:r>
              <w:rPr/>
              <w:t> </w:t>
            </w:r>
          </w:p>
        </w:tc>
      </w:tr>
      <w:tr>
        <w:trPr/>
        <w:tc>
          <w:tcPr>
            <w:tcW w:w="608"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263"/>
        <w:gridCol w:w="60"/>
        <w:gridCol w:w="2759"/>
      </w:tblGrid>
      <w:tr>
        <w:trPr/>
        <w:tc>
          <w:tcPr>
            <w:tcW w:w="12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1263" w:type="dxa"/>
            <w:tcBorders/>
          </w:tcPr>
          <w:p>
            <w:pPr>
              <w:pStyle w:val="TableContents"/>
              <w:bidi w:val="0"/>
              <w:spacing w:before="0" w:after="283"/>
              <w:jc w:val="left"/>
              <w:rPr/>
            </w:pPr>
            <w:r>
              <w:rPr/>
              <w:t>attention of:</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759" w:type="dxa"/>
            <w:tcBorders>
              <w:bottom w:val="single" w:sz="2" w:space="0" w:color="000000"/>
            </w:tcBorders>
            <w:tcMar>
              <w:bottom w:w="28" w:type="dxa"/>
            </w:tcMar>
          </w:tcPr>
          <w:p>
            <w:pPr>
              <w:pStyle w:val="TableContents"/>
              <w:bidi w:val="0"/>
              <w:spacing w:before="0" w:after="283"/>
              <w:jc w:val="left"/>
              <w:rPr/>
            </w:pPr>
            <w:r>
              <w:rPr/>
              <w:t> </w:t>
            </w:r>
          </w:p>
        </w:tc>
      </w:tr>
      <w:tr>
        <w:trPr/>
        <w:tc>
          <w:tcPr>
            <w:tcW w:w="1263" w:type="dxa"/>
            <w:tcBorders/>
          </w:tcPr>
          <w:p>
            <w:pPr>
              <w:pStyle w:val="TableContents"/>
              <w:bidi w:val="0"/>
              <w:spacing w:before="0" w:after="283"/>
              <w:jc w:val="left"/>
              <w:rPr/>
            </w:pPr>
            <w:r>
              <w:rPr/>
              <w:t>Facsimile: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759"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580"/>
        <w:gridCol w:w="581"/>
        <w:gridCol w:w="2921"/>
      </w:tblGrid>
      <w:tr>
        <w:trPr/>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NEW REPRESENTATIVE], as Additional Junior-Lien Collateral Agent,</w:t>
            </w:r>
          </w:p>
        </w:tc>
      </w:tr>
    </w:tbl>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tbl>
      <w:tblPr>
        <w:tblW w:w="5245" w:type="dxa"/>
        <w:jc w:val="right"/>
        <w:tblInd w:w="0" w:type="dxa"/>
        <w:tblLayout w:type="fixed"/>
        <w:tblCellMar>
          <w:top w:w="0" w:type="dxa"/>
          <w:left w:w="0" w:type="dxa"/>
          <w:bottom w:w="0" w:type="dxa"/>
          <w:right w:w="0" w:type="dxa"/>
        </w:tblCellMar>
      </w:tblPr>
      <w:tblGrid>
        <w:gridCol w:w="1085"/>
        <w:gridCol w:w="60"/>
        <w:gridCol w:w="410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245" w:type="dxa"/>
            <w:gridSpan w:val="3"/>
            <w:tcBorders/>
            <w:vAlign w:val="center"/>
          </w:tcPr>
          <w:p>
            <w:pPr>
              <w:pStyle w:val="TableContents"/>
              <w:bidi w:val="0"/>
              <w:spacing w:before="0" w:after="283"/>
              <w:jc w:val="left"/>
              <w:rPr>
                <w:sz w:val="4"/>
                <w:szCs w:val="4"/>
              </w:rPr>
            </w:pPr>
            <w:r>
              <w:rPr>
                <w:sz w:val="4"/>
                <w:szCs w:val="4"/>
              </w:rPr>
            </w:r>
          </w:p>
        </w:tc>
      </w:tr>
      <w:tr>
        <w:trPr/>
        <w:tc>
          <w:tcPr>
            <w:tcW w:w="5245" w:type="dxa"/>
            <w:gridSpan w:val="3"/>
            <w:tcBorders/>
          </w:tcPr>
          <w:p>
            <w:pPr>
              <w:pStyle w:val="TableContents"/>
              <w:bidi w:val="0"/>
              <w:spacing w:before="0" w:after="283"/>
              <w:jc w:val="left"/>
              <w:rPr/>
            </w:pPr>
            <w:r>
              <w:rPr/>
              <w:t>Address for notices:</w:t>
            </w:r>
          </w:p>
        </w:tc>
      </w:tr>
      <w:tr>
        <w:trPr/>
        <w:tc>
          <w:tcPr>
            <w:tcW w:w="524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5245"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85" w:type="dxa"/>
            <w:tcBorders/>
          </w:tcPr>
          <w:p>
            <w:pPr>
              <w:pStyle w:val="TableContents"/>
              <w:bidi w:val="0"/>
              <w:spacing w:before="0" w:after="283"/>
              <w:jc w:val="left"/>
              <w:rPr/>
            </w:pPr>
            <w:r>
              <w:rPr/>
              <w:t>attention of:</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100" w:type="dxa"/>
            <w:tcBorders>
              <w:bottom w:val="single" w:sz="2" w:space="0" w:color="000000"/>
            </w:tcBorders>
            <w:tcMar>
              <w:bottom w:w="28" w:type="dxa"/>
            </w:tcMar>
          </w:tcPr>
          <w:p>
            <w:pPr>
              <w:pStyle w:val="TableContents"/>
              <w:bidi w:val="0"/>
              <w:spacing w:before="0" w:after="283"/>
              <w:jc w:val="left"/>
              <w:rPr/>
            </w:pPr>
            <w:r>
              <w:rPr/>
              <w:t> </w:t>
            </w:r>
          </w:p>
        </w:tc>
      </w:tr>
      <w:tr>
        <w:trPr/>
        <w:tc>
          <w:tcPr>
            <w:tcW w:w="1085" w:type="dxa"/>
            <w:tcBorders/>
          </w:tcPr>
          <w:p>
            <w:pPr>
              <w:pStyle w:val="TableContents"/>
              <w:bidi w:val="0"/>
              <w:spacing w:before="0" w:after="283"/>
              <w:jc w:val="left"/>
              <w:rPr/>
            </w:pPr>
            <w:r>
              <w:rPr/>
              <w:t>Facsimile:</w:t>
            </w:r>
          </w:p>
        </w:tc>
        <w:tc>
          <w:tcPr>
            <w:tcW w:w="60"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283"/>
              <w:jc w:val="left"/>
              <w:rPr/>
            </w:pPr>
            <w:r>
              <w:rPr>
                <w:u w:val="single"/>
              </w:rPr>
              <w:t>                 </w:t>
            </w:r>
            <w:r>
              <w:rPr/>
              <w:t>1 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signature blocks if the Authorized Representative of the relevant Additional Junior-Lien Debt is a different entity fromthe Additional Junior-Lien Collateral Agent of such Additional Junior-Lien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4340" w:type="dxa"/>
        <w:jc w:val="right"/>
        <w:tblInd w:w="0" w:type="dxa"/>
        <w:tblLayout w:type="fixed"/>
        <w:tblCellMar>
          <w:top w:w="0" w:type="dxa"/>
          <w:left w:w="0" w:type="dxa"/>
          <w:bottom w:w="0" w:type="dxa"/>
          <w:right w:w="0" w:type="dxa"/>
        </w:tblCellMar>
      </w:tblPr>
      <w:tblGrid>
        <w:gridCol w:w="2835"/>
        <w:gridCol w:w="138"/>
        <w:gridCol w:w="1367"/>
      </w:tblGrid>
      <w:tr>
        <w:trPr/>
        <w:tc>
          <w:tcPr>
            <w:tcW w:w="283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4340" w:type="dxa"/>
            <w:gridSpan w:val="3"/>
            <w:tcBorders/>
          </w:tcPr>
          <w:p>
            <w:pPr>
              <w:pStyle w:val="TableContents"/>
              <w:bidi w:val="0"/>
              <w:spacing w:before="0" w:after="283"/>
              <w:jc w:val="left"/>
              <w:rPr/>
            </w:pPr>
            <w:r>
              <w:rPr/>
              <w:t>[[NAME OF NEW REPRESENTATIVE], as Authorized Representative and Additional Junior-Lien Collateral Agent for the holders of [</w:t>
            </w:r>
            <w:r>
              <w:rPr>
                <w:u w:val="single"/>
              </w:rPr>
              <w:t>     </w:t>
            </w:r>
            <w:r>
              <w:rPr/>
              <w:t>],</w:t>
            </w:r>
          </w:p>
        </w:tc>
      </w:tr>
      <w:tr>
        <w:trPr>
          <w:trHeight w:val="240" w:hRule="atLeast"/>
        </w:trPr>
        <w:tc>
          <w:tcPr>
            <w:tcW w:w="2835"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2835" w:type="dxa"/>
            <w:tcBorders/>
          </w:tcPr>
          <w:p>
            <w:pPr>
              <w:pStyle w:val="TableContents"/>
              <w:bidi w:val="0"/>
              <w:spacing w:before="0" w:after="283"/>
              <w:jc w:val="left"/>
              <w:rPr/>
            </w:pPr>
            <w:r>
              <w:rPr/>
              <w:t>By:</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1367" w:type="dxa"/>
            <w:tcBorders>
              <w:bottom w:val="single" w:sz="2" w:space="0" w:color="000000"/>
            </w:tcBorders>
            <w:tcMar>
              <w:bottom w:w="28" w:type="dxa"/>
            </w:tcMar>
          </w:tcPr>
          <w:p>
            <w:pPr>
              <w:pStyle w:val="TableContents"/>
              <w:bidi w:val="0"/>
              <w:spacing w:before="0" w:after="283"/>
              <w:jc w:val="left"/>
              <w:rPr/>
            </w:pPr>
            <w:r>
              <w:rPr/>
              <w:t> </w:t>
            </w:r>
          </w:p>
        </w:tc>
      </w:tr>
      <w:tr>
        <w:trPr/>
        <w:tc>
          <w:tcPr>
            <w:tcW w:w="2835"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367" w:type="dxa"/>
            <w:tcBorders/>
          </w:tcPr>
          <w:p>
            <w:pPr>
              <w:pStyle w:val="TableContents"/>
              <w:bidi w:val="0"/>
              <w:spacing w:before="0" w:after="283"/>
              <w:jc w:val="left"/>
              <w:rPr/>
            </w:pPr>
            <w:r>
              <w:rPr/>
              <w:t>Name:</w:t>
            </w:r>
          </w:p>
        </w:tc>
      </w:tr>
      <w:tr>
        <w:trPr/>
        <w:tc>
          <w:tcPr>
            <w:tcW w:w="2835"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367" w:type="dxa"/>
            <w:tcBorders/>
          </w:tcPr>
          <w:p>
            <w:pPr>
              <w:pStyle w:val="TableContents"/>
              <w:bidi w:val="0"/>
              <w:spacing w:before="0" w:after="283"/>
              <w:jc w:val="left"/>
              <w:rPr/>
            </w:pPr>
            <w:r>
              <w:rPr/>
              <w:t>Title:</w:t>
            </w:r>
          </w:p>
        </w:tc>
      </w:tr>
      <w:tr>
        <w:trPr>
          <w:trHeight w:val="240" w:hRule="atLeast"/>
        </w:trPr>
        <w:tc>
          <w:tcPr>
            <w:tcW w:w="4340" w:type="dxa"/>
            <w:gridSpan w:val="3"/>
            <w:tcBorders/>
            <w:vAlign w:val="center"/>
          </w:tcPr>
          <w:p>
            <w:pPr>
              <w:pStyle w:val="TableContents"/>
              <w:bidi w:val="0"/>
              <w:spacing w:before="0" w:after="283"/>
              <w:jc w:val="left"/>
              <w:rPr>
                <w:sz w:val="4"/>
                <w:szCs w:val="4"/>
              </w:rPr>
            </w:pPr>
            <w:r>
              <w:rPr>
                <w:sz w:val="4"/>
                <w:szCs w:val="4"/>
              </w:rPr>
            </w:r>
          </w:p>
        </w:tc>
      </w:tr>
      <w:tr>
        <w:trPr/>
        <w:tc>
          <w:tcPr>
            <w:tcW w:w="4340" w:type="dxa"/>
            <w:gridSpan w:val="3"/>
            <w:tcBorders/>
          </w:tcPr>
          <w:p>
            <w:pPr>
              <w:pStyle w:val="TableContents"/>
              <w:bidi w:val="0"/>
              <w:spacing w:before="0" w:after="283"/>
              <w:jc w:val="left"/>
              <w:rPr/>
            </w:pPr>
            <w:r>
              <w:rPr/>
              <w:t>Address for notices:</w:t>
            </w:r>
          </w:p>
        </w:tc>
      </w:tr>
      <w:tr>
        <w:trPr/>
        <w:tc>
          <w:tcPr>
            <w:tcW w:w="2835" w:type="dxa"/>
            <w:tcBorders>
              <w:bottom w:val="single" w:sz="2" w:space="0" w:color="000000"/>
            </w:tcBorders>
            <w:tcMar>
              <w:bottom w:w="28" w:type="dxa"/>
            </w:tcMar>
          </w:tcPr>
          <w:p>
            <w:pPr>
              <w:pStyle w:val="TableContents"/>
              <w:bidi w:val="0"/>
              <w:spacing w:before="0" w:after="283"/>
              <w:jc w:val="left"/>
              <w:rPr/>
            </w:pPr>
            <w:r>
              <w:rPr/>
              <w:t> </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1367" w:type="dxa"/>
            <w:tcBorders>
              <w:bottom w:val="single" w:sz="2" w:space="0" w:color="000000"/>
            </w:tcBorders>
            <w:tcMar>
              <w:bottom w:w="28" w:type="dxa"/>
            </w:tcMar>
          </w:tcPr>
          <w:p>
            <w:pPr>
              <w:pStyle w:val="TableContents"/>
              <w:bidi w:val="0"/>
              <w:spacing w:before="0" w:after="283"/>
              <w:jc w:val="left"/>
              <w:rPr/>
            </w:pPr>
            <w:r>
              <w:rPr/>
              <w:t> </w:t>
            </w:r>
          </w:p>
        </w:tc>
      </w:tr>
      <w:tr>
        <w:trPr/>
        <w:tc>
          <w:tcPr>
            <w:tcW w:w="2835" w:type="dxa"/>
            <w:tcBorders>
              <w:bottom w:val="single" w:sz="2" w:space="0" w:color="000000"/>
            </w:tcBorders>
            <w:tcMar>
              <w:bottom w:w="28" w:type="dxa"/>
            </w:tcMar>
          </w:tcPr>
          <w:p>
            <w:pPr>
              <w:pStyle w:val="TableContents"/>
              <w:bidi w:val="0"/>
              <w:spacing w:before="0" w:after="283"/>
              <w:jc w:val="left"/>
              <w:rPr/>
            </w:pPr>
            <w:r>
              <w:rPr/>
              <w:t> </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1367" w:type="dxa"/>
            <w:tcBorders>
              <w:bottom w:val="single" w:sz="2" w:space="0" w:color="000000"/>
            </w:tcBorders>
            <w:tcMar>
              <w:bottom w:w="28" w:type="dxa"/>
            </w:tcMar>
          </w:tcPr>
          <w:p>
            <w:pPr>
              <w:pStyle w:val="TableContents"/>
              <w:bidi w:val="0"/>
              <w:spacing w:before="0" w:after="283"/>
              <w:jc w:val="left"/>
              <w:rPr/>
            </w:pPr>
            <w:r>
              <w:rPr/>
              <w:t> </w:t>
            </w:r>
          </w:p>
        </w:tc>
      </w:tr>
      <w:tr>
        <w:trPr/>
        <w:tc>
          <w:tcPr>
            <w:tcW w:w="4340" w:type="dxa"/>
            <w:gridSpan w:val="3"/>
            <w:tcBorders/>
          </w:tcPr>
          <w:p>
            <w:pPr>
              <w:pStyle w:val="TableContents"/>
              <w:bidi w:val="0"/>
              <w:spacing w:before="0" w:after="283"/>
              <w:jc w:val="left"/>
              <w:rPr/>
            </w:pPr>
            <w:r>
              <w:rPr/>
              <w:t>attention of:</w:t>
            </w:r>
            <w:r>
              <w:rPr>
                <w:u w:val="single"/>
              </w:rPr>
              <w:t>                </w:t>
            </w:r>
          </w:p>
        </w:tc>
      </w:tr>
      <w:tr>
        <w:trPr/>
        <w:tc>
          <w:tcPr>
            <w:tcW w:w="4340" w:type="dxa"/>
            <w:gridSpan w:val="3"/>
            <w:tcBorders/>
          </w:tcPr>
          <w:p>
            <w:pPr>
              <w:pStyle w:val="TableContents"/>
              <w:bidi w:val="0"/>
              <w:spacing w:before="0" w:after="283"/>
              <w:jc w:val="left"/>
              <w:rPr/>
            </w:pPr>
            <w:r>
              <w:rPr/>
              <w:t>Facsimile:</w:t>
            </w:r>
            <w:r>
              <w:rPr>
                <w:u w:val="single"/>
              </w:rPr>
              <w:t>                  </w:t>
            </w:r>
            <w:r>
              <w:rPr/>
              <w:t>2</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signature block if the Authorized Representative of the relevant Additional Junior-Lien Debt is also acting as the Additional Junior-Lien Collateral Agent of such Additional Junior-Lien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4"/>
        <w:gridCol w:w="114"/>
        <w:gridCol w:w="3334"/>
      </w:tblGrid>
      <w:tr>
        <w:trPr/>
        <w:tc>
          <w:tcPr>
            <w:tcW w:w="634"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by: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HOLDINGS CORPORATION, as Holdings</w:t>
            </w:r>
          </w:p>
        </w:tc>
      </w:tr>
      <w:tr>
        <w:trPr>
          <w:trHeight w:val="240" w:hRule="atLeast"/>
        </w:trPr>
        <w:tc>
          <w:tcPr>
            <w:tcW w:w="634" w:type="dxa"/>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634"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 </w:t>
            </w:r>
          </w:p>
        </w:tc>
      </w:tr>
      <w:tr>
        <w:trPr/>
        <w:tc>
          <w:tcPr>
            <w:tcW w:w="634"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Name:</w:t>
            </w:r>
          </w:p>
        </w:tc>
      </w:tr>
      <w:tr>
        <w:trPr/>
        <w:tc>
          <w:tcPr>
            <w:tcW w:w="634"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SABRE GLBL INC., as Company</w:t>
            </w:r>
          </w:p>
        </w:tc>
      </w:tr>
      <w:tr>
        <w:trPr>
          <w:trHeight w:val="240" w:hRule="atLeast"/>
        </w:trPr>
        <w:tc>
          <w:tcPr>
            <w:tcW w:w="634" w:type="dxa"/>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634"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 </w:t>
            </w:r>
          </w:p>
        </w:tc>
      </w:tr>
      <w:tr>
        <w:trPr/>
        <w:tc>
          <w:tcPr>
            <w:tcW w:w="634"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Name:</w:t>
            </w:r>
          </w:p>
        </w:tc>
      </w:tr>
      <w:tr>
        <w:trPr/>
        <w:tc>
          <w:tcPr>
            <w:tcW w:w="634"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OTHER GRANTORS LISTED ON SCHEDULE I HERETO,</w:t>
            </w:r>
          </w:p>
        </w:tc>
      </w:tr>
      <w:tr>
        <w:trPr>
          <w:trHeight w:val="240" w:hRule="atLeast"/>
        </w:trPr>
        <w:tc>
          <w:tcPr>
            <w:tcW w:w="634" w:type="dxa"/>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634"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 </w:t>
            </w:r>
          </w:p>
        </w:tc>
      </w:tr>
      <w:tr>
        <w:trPr/>
        <w:tc>
          <w:tcPr>
            <w:tcW w:w="634"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Name:</w:t>
            </w:r>
          </w:p>
        </w:tc>
      </w:tr>
      <w:tr>
        <w:trPr/>
        <w:tc>
          <w:tcPr>
            <w:tcW w:w="634"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ANNEX III </w:t>
      </w:r>
    </w:p>
    <w:p>
      <w:pPr>
        <w:pStyle w:val="TextBody"/>
        <w:bidi w:val="0"/>
        <w:spacing w:before="0" w:after="0"/>
        <w:jc w:val="center"/>
        <w:rPr>
          <w:rFonts w:ascii="Times New Roman" w:hAnsi="Times New Roman"/>
          <w:sz w:val="20"/>
        </w:rPr>
      </w:pPr>
      <w:r>
        <w:rPr>
          <w:rFonts w:ascii="Times New Roman" w:hAnsi="Times New Roman"/>
          <w:sz w:val="20"/>
        </w:rPr>
        <w:t xml:space="preserve">to the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Junior-Lien Intercreditor Agreement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GRANTORS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IV </w:t>
      </w:r>
    </w:p>
    <w:p>
      <w:pPr>
        <w:pStyle w:val="TextBody"/>
        <w:bidi w:val="0"/>
        <w:spacing w:before="0" w:after="0"/>
        <w:jc w:val="center"/>
        <w:rPr>
          <w:rFonts w:ascii="Times New Roman" w:hAnsi="Times New Roman"/>
          <w:sz w:val="20"/>
        </w:rPr>
      </w:pPr>
      <w:r>
        <w:rPr>
          <w:rFonts w:ascii="Times New Roman" w:hAnsi="Times New Roman"/>
          <w:sz w:val="20"/>
        </w:rPr>
        <w:t xml:space="preserve">to the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Junior-Lien Intercreditor Agreement </w:t>
      </w:r>
    </w:p>
    <w:p>
      <w:pPr>
        <w:pStyle w:val="TextBody"/>
        <w:bidi w:val="0"/>
        <w:spacing w:before="240" w:after="0"/>
        <w:jc w:val="left"/>
        <w:rPr>
          <w:rFonts w:ascii="Times New Roman" w:hAnsi="Times New Roman"/>
          <w:sz w:val="20"/>
        </w:rPr>
      </w:pPr>
      <w:r>
        <w:rPr>
          <w:rFonts w:ascii="Times New Roman" w:hAnsi="Times New Roman"/>
          <w:sz w:val="20"/>
        </w:rPr>
        <w:t>ADDITIONAL FIRST-LIEN DEBT JOINDER AGREEMENT NO. [</w:t>
      </w:r>
      <w:r>
        <w:rPr>
          <w:rFonts w:ascii="Times New Roman" w:hAnsi="Times New Roman"/>
          <w:sz w:val="20"/>
          <w:u w:val="single"/>
        </w:rPr>
        <w:t>    </w:t>
      </w:r>
      <w:r>
        <w:rPr>
          <w:rFonts w:ascii="Times New Roman" w:hAnsi="Times New Roman"/>
          <w:sz w:val="20"/>
        </w:rPr>
        <w:t xml:space="preserve">] TO THE JUNIOR-LIEN INTERCREDITOR AGREEMENT </w:t>
      </w:r>
    </w:p>
    <w:p>
      <w:pPr>
        <w:pStyle w:val="TextBody"/>
        <w:bidi w:val="0"/>
        <w:spacing w:before="240" w:after="0"/>
        <w:jc w:val="left"/>
        <w:rPr>
          <w:rFonts w:ascii="Times New Roman" w:hAnsi="Times New Roman"/>
          <w:sz w:val="20"/>
        </w:rPr>
      </w:pPr>
      <w:r>
        <w:rPr>
          <w:rFonts w:ascii="Times New Roman" w:hAnsi="Times New Roman"/>
          <w:sz w:val="20"/>
        </w:rPr>
        <w:t>The undersigned, [</w:t>
      </w:r>
      <w:r>
        <w:rPr>
          <w:rFonts w:ascii="Times New Roman" w:hAnsi="Times New Roman"/>
          <w:sz w:val="20"/>
          <w:u w:val="single"/>
        </w:rPr>
        <w:t>       </w:t>
      </w:r>
      <w:r>
        <w:rPr>
          <w:rFonts w:ascii="Times New Roman" w:hAnsi="Times New Roman"/>
          <w:sz w:val="20"/>
        </w:rPr>
        <w:t>], hereby agrees to become party as a [First-Lien Authorized Representative][and][First-Lien Collateral Agent] under the Junior-Lien Intercreditor Agreement dated as of [</w:t>
      </w:r>
      <w:r>
        <w:rPr>
          <w:rFonts w:ascii="Times New Roman" w:hAnsi="Times New Roman"/>
          <w:sz w:val="20"/>
          <w:u w:val="single"/>
        </w:rPr>
        <w:t>    </w:t>
      </w:r>
      <w:r>
        <w:rPr>
          <w:rFonts w:ascii="Times New Roman" w:hAnsi="Times New Roman"/>
          <w:sz w:val="20"/>
        </w:rPr>
        <w:t>], 20[ ] (as amended, restated, amended and restated, extended, supplemented or otherwise modified from time to time, the “</w:t>
      </w:r>
      <w:r>
        <w:rPr>
          <w:rFonts w:ascii="Times New Roman" w:hAnsi="Times New Roman"/>
          <w:sz w:val="20"/>
          <w:u w:val="single"/>
        </w:rPr>
        <w:t>Junior-Lien</w:t>
      </w:r>
      <w:r>
        <w:rPr>
          <w:rFonts w:ascii="Times New Roman" w:hAnsi="Times New Roman"/>
          <w:sz w:val="20"/>
        </w:rPr>
        <w:t xml:space="preserve"> </w:t>
      </w:r>
      <w:r>
        <w:rPr>
          <w:rFonts w:ascii="Times New Roman" w:hAnsi="Times New Roman"/>
          <w:sz w:val="20"/>
          <w:u w:val="single"/>
        </w:rPr>
        <w:t>Intercreditor Agreement</w:t>
      </w:r>
      <w:r>
        <w:rPr>
          <w:rFonts w:ascii="Times New Roman" w:hAnsi="Times New Roman"/>
          <w:sz w:val="20"/>
        </w:rPr>
        <w:t>”), among Sabre Holdings Corporation, a Delaware corporation, Sabre GLBL Inc., a Delaware corporation, the other Grantors from time to time party thereto, [    ], as Credit Agreement Administrative Agent, [    ], as Authorized Representative for the Credit Agreement Secured Parties, [   ], as Initial Additional First-Lien Collateral Agent, [    ], as Initial Additional First-Lien Authorized Representative, [</w:t>
      </w:r>
      <w:r>
        <w:rPr>
          <w:rFonts w:ascii="Times New Roman" w:hAnsi="Times New Roman"/>
          <w:sz w:val="20"/>
          <w:u w:val="single"/>
        </w:rPr>
        <w:t>    </w:t>
      </w:r>
      <w:r>
        <w:rPr>
          <w:rFonts w:ascii="Times New Roman" w:hAnsi="Times New Roman"/>
          <w:sz w:val="20"/>
        </w:rPr>
        <w:t xml:space="preserve">], as Initial Junior-Lien Authorized Representative, [ ], as Initial Junior-Lien Collateral Agent and each additional Authorized Representative and Collateral Agent from time to time a party thereto, for all purposes thereof on the terms set forth therein, and to be bound by the terms of the Junior-Lien Intercreditor Agreement as fully as if the undersigned had executed and delivered the Junior-Lien Intercreditor Agreement as of the date thereof. The undersigned is a [“New Credit Agreement Agent”][“Additional Senior Class Debt Representative”] under, and as defined in, the First-Lien Intercreditor Agreement. Capitalized terms used herein but not otherwise defined herein shall have the meanings assigned to such terms in the Junior-Lien Intercreditor Agreement. 1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Article VIII of the Junior-Lien Intercreditor Agreement will apply with like effect to this Assumption Agreement. </w:t>
      </w:r>
    </w:p>
    <w:p>
      <w:pPr>
        <w:pStyle w:val="TextBody"/>
        <w:bidi w:val="0"/>
        <w:spacing w:before="240" w:after="0"/>
        <w:jc w:val="left"/>
        <w:rPr>
          <w:rFonts w:ascii="Times New Roman" w:hAnsi="Times New Roman"/>
          <w:sz w:val="20"/>
        </w:rPr>
      </w:pPr>
      <w:r>
        <w:rPr>
          <w:rFonts w:ascii="Times New Roman" w:hAnsi="Times New Roman"/>
          <w:sz w:val="20"/>
        </w:rPr>
        <w:t>IN WITNESS WHEREOF, the parties hereto have caused this Joinder Agreement to be executed by their respective officers or representatives as of _______, 20</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[Signature page follows]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modified, as necessary, to properly reflect the Debt Facilities in existence at the time this Agreement is entered into.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966"/>
        <w:gridCol w:w="234"/>
        <w:gridCol w:w="1882"/>
      </w:tblGrid>
      <w:tr>
        <w:trPr/>
        <w:tc>
          <w:tcPr>
            <w:tcW w:w="1966"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as a [First-Lien Authorized Representative] [and]</w:t>
            </w:r>
          </w:p>
          <w:p>
            <w:pPr>
              <w:pStyle w:val="TableContents"/>
              <w:bidi w:val="0"/>
              <w:spacing w:before="0" w:after="20"/>
              <w:jc w:val="left"/>
              <w:rPr>
                <w:rFonts w:ascii="Times New Roman" w:hAnsi="Times New Roman"/>
                <w:sz w:val="20"/>
              </w:rPr>
            </w:pPr>
            <w:r>
              <w:rPr>
                <w:rFonts w:ascii="Times New Roman" w:hAnsi="Times New Roman"/>
                <w:sz w:val="20"/>
              </w:rPr>
              <w:t>[First-Lien Collateral Agent] for the holders of [</w:t>
            </w:r>
            <w:r>
              <w:rPr>
                <w:rFonts w:ascii="Times New Roman" w:hAnsi="Times New Roman"/>
                <w:sz w:val="20"/>
                <w:u w:val="single"/>
              </w:rPr>
              <w:t>        </w:t>
            </w:r>
            <w:r>
              <w:rPr>
                <w:rFonts w:ascii="Times New Roman" w:hAnsi="Times New Roman"/>
                <w:sz w:val="20"/>
              </w:rPr>
              <w:t>]</w:t>
            </w:r>
          </w:p>
        </w:tc>
      </w:tr>
      <w:tr>
        <w:trPr>
          <w:trHeight w:val="240" w:hRule="atLeast"/>
        </w:trPr>
        <w:tc>
          <w:tcPr>
            <w:tcW w:w="1966" w:type="dxa"/>
            <w:tcBorders/>
            <w:vAlign w:val="center"/>
          </w:tcPr>
          <w:p>
            <w:pPr>
              <w:pStyle w:val="TableContents"/>
              <w:bidi w:val="0"/>
              <w:spacing w:before="0" w:after="283"/>
              <w:jc w:val="left"/>
              <w:rPr>
                <w:sz w:val="4"/>
                <w:szCs w:val="4"/>
              </w:rPr>
            </w:pPr>
            <w:r>
              <w:rPr>
                <w:sz w:val="4"/>
                <w:szCs w:val="4"/>
              </w:rPr>
            </w:r>
          </w:p>
        </w:tc>
        <w:tc>
          <w:tcPr>
            <w:tcW w:w="2116" w:type="dxa"/>
            <w:gridSpan w:val="2"/>
            <w:tcBorders/>
            <w:vAlign w:val="center"/>
          </w:tcPr>
          <w:p>
            <w:pPr>
              <w:pStyle w:val="TableContents"/>
              <w:bidi w:val="0"/>
              <w:spacing w:before="0" w:after="283"/>
              <w:jc w:val="left"/>
              <w:rPr>
                <w:sz w:val="4"/>
                <w:szCs w:val="4"/>
              </w:rPr>
            </w:pPr>
            <w:r>
              <w:rPr>
                <w:sz w:val="4"/>
                <w:szCs w:val="4"/>
              </w:rPr>
            </w:r>
          </w:p>
        </w:tc>
      </w:tr>
      <w:tr>
        <w:trPr/>
        <w:tc>
          <w:tcPr>
            <w:tcW w:w="1966" w:type="dxa"/>
            <w:tcBorders/>
          </w:tcPr>
          <w:p>
            <w:pPr>
              <w:pStyle w:val="TableContents"/>
              <w:bidi w:val="0"/>
              <w:spacing w:before="0" w:after="283"/>
              <w:jc w:val="left"/>
              <w:rPr/>
            </w:pPr>
            <w:r>
              <w:rPr/>
              <w:t>By:</w:t>
            </w:r>
          </w:p>
        </w:tc>
        <w:tc>
          <w:tcPr>
            <w:tcW w:w="234" w:type="dxa"/>
            <w:tcBorders>
              <w:bottom w:val="single" w:sz="2" w:space="0" w:color="000000"/>
            </w:tcBorders>
            <w:tcMar>
              <w:bottom w:w="28" w:type="dxa"/>
            </w:tcMar>
            <w:vAlign w:val="bottom"/>
          </w:tcPr>
          <w:p>
            <w:pPr>
              <w:pStyle w:val="TableContents"/>
              <w:bidi w:val="0"/>
              <w:spacing w:before="0" w:after="283"/>
              <w:jc w:val="left"/>
              <w:rPr/>
            </w:pPr>
            <w:r>
              <w:rPr/>
              <w:t> </w:t>
            </w:r>
          </w:p>
        </w:tc>
        <w:tc>
          <w:tcPr>
            <w:tcW w:w="1882" w:type="dxa"/>
            <w:tcBorders>
              <w:bottom w:val="single" w:sz="2" w:space="0" w:color="000000"/>
            </w:tcBorders>
            <w:tcMar>
              <w:bottom w:w="28" w:type="dxa"/>
            </w:tcMar>
          </w:tcPr>
          <w:p>
            <w:pPr>
              <w:pStyle w:val="TableContents"/>
              <w:bidi w:val="0"/>
              <w:spacing w:before="0" w:after="283"/>
              <w:jc w:val="left"/>
              <w:rPr/>
            </w:pPr>
            <w:r>
              <w:rPr/>
              <w:t> </w:t>
            </w:r>
          </w:p>
        </w:tc>
      </w:tr>
      <w:tr>
        <w:trPr/>
        <w:tc>
          <w:tcPr>
            <w:tcW w:w="196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34"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283"/>
              <w:jc w:val="left"/>
              <w:rPr>
                <w:sz w:val="4"/>
                <w:szCs w:val="4"/>
              </w:rPr>
            </w:pPr>
            <w:r>
              <w:rPr>
                <w:sz w:val="4"/>
                <w:szCs w:val="4"/>
              </w:rPr>
            </w:r>
          </w:p>
        </w:tc>
      </w:tr>
      <w:tr>
        <w:trPr/>
        <w:tc>
          <w:tcPr>
            <w:tcW w:w="196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34"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283"/>
              <w:jc w:val="left"/>
              <w:rPr>
                <w:sz w:val="4"/>
                <w:szCs w:val="4"/>
              </w:rPr>
            </w:pPr>
            <w:r>
              <w:rPr>
                <w:sz w:val="4"/>
                <w:szCs w:val="4"/>
              </w:rPr>
            </w:r>
          </w:p>
        </w:tc>
      </w:tr>
    </w:tbl>
    <w:tbl>
      <w:tblPr>
        <w:tblW w:w="2000" w:type="pct"/>
        <w:jc w:val="right"/>
        <w:tblInd w:w="0" w:type="dxa"/>
        <w:tblLayout w:type="fixed"/>
        <w:tblCellMar>
          <w:top w:w="0" w:type="dxa"/>
          <w:left w:w="0" w:type="dxa"/>
          <w:bottom w:w="0" w:type="dxa"/>
          <w:right w:w="0" w:type="dxa"/>
        </w:tblCellMar>
      </w:tblPr>
      <w:tblGrid>
        <w:gridCol w:w="1219"/>
        <w:gridCol w:w="60"/>
        <w:gridCol w:w="2803"/>
      </w:tblGrid>
      <w:tr>
        <w:trPr/>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Address for notices:</w:t>
            </w:r>
          </w:p>
        </w:tc>
      </w:tr>
      <w:tr>
        <w:trPr/>
        <w:tc>
          <w:tcPr>
            <w:tcW w:w="4082" w:type="dxa"/>
            <w:gridSpan w:val="3"/>
            <w:tcBorders>
              <w:bottom w:val="single" w:sz="2" w:space="0" w:color="000000"/>
            </w:tcBorders>
            <w:tcMar>
              <w:bottom w:w="28" w:type="dxa"/>
            </w:tcMar>
          </w:tcPr>
          <w:p>
            <w:pPr>
              <w:pStyle w:val="TableContents"/>
              <w:bidi w:val="0"/>
              <w:spacing w:before="0" w:after="0"/>
              <w:jc w:val="left"/>
              <w:rPr/>
            </w:pPr>
            <w:r>
              <w:rPr/>
              <w:t> </w:t>
            </w:r>
          </w:p>
        </w:tc>
      </w:tr>
      <w:tr>
        <w:trPr/>
        <w:tc>
          <w:tcPr>
            <w:tcW w:w="4082" w:type="dxa"/>
            <w:gridSpan w:val="3"/>
            <w:tcBorders>
              <w:bottom w:val="single" w:sz="2" w:space="0" w:color="000000"/>
            </w:tcBorders>
            <w:tcMar>
              <w:bottom w:w="28" w:type="dxa"/>
            </w:tcMar>
          </w:tcPr>
          <w:p>
            <w:pPr>
              <w:pStyle w:val="TableContents"/>
              <w:bidi w:val="0"/>
              <w:spacing w:before="0" w:after="0"/>
              <w:jc w:val="left"/>
              <w:rPr/>
            </w:pPr>
            <w:r>
              <w:rPr/>
              <w:t> </w:t>
            </w:r>
          </w:p>
        </w:tc>
      </w:tr>
      <w:tr>
        <w:trPr/>
        <w:tc>
          <w:tcPr>
            <w:tcW w:w="1219" w:type="dxa"/>
            <w:tcBorders/>
          </w:tcPr>
          <w:p>
            <w:pPr>
              <w:pStyle w:val="TableContents"/>
              <w:bidi w:val="0"/>
              <w:spacing w:before="0" w:after="0"/>
              <w:jc w:val="left"/>
              <w:rPr>
                <w:rFonts w:ascii="Times New Roman" w:hAnsi="Times New Roman"/>
                <w:sz w:val="20"/>
              </w:rPr>
            </w:pPr>
            <w:r>
              <w:rPr>
                <w:rFonts w:ascii="Times New Roman" w:hAnsi="Times New Roman"/>
                <w:sz w:val="20"/>
              </w:rPr>
              <w:t>attention of:</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0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219" w:type="dxa"/>
            <w:tcBorders/>
          </w:tcPr>
          <w:p>
            <w:pPr>
              <w:pStyle w:val="TableContents"/>
              <w:bidi w:val="0"/>
              <w:spacing w:before="0" w:after="0"/>
              <w:jc w:val="left"/>
              <w:rPr>
                <w:rFonts w:ascii="Times New Roman" w:hAnsi="Times New Roman"/>
                <w:sz w:val="20"/>
              </w:rPr>
            </w:pPr>
            <w:r>
              <w:rPr>
                <w:rFonts w:ascii="Times New Roman" w:hAnsi="Times New Roman"/>
                <w:sz w:val="20"/>
              </w:rPr>
              <w:t>Facsimile: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03"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8" w:name="d435567dex991.htm"/>
      <w:bookmarkStart w:id="9" w:name="ksd435567dex991"/>
      <w:bookmarkEnd w:id="8"/>
      <w:bookmarkEnd w:id="9"/>
      <w:r>
        <w:rPr>
          <w:rFonts w:ascii="Times New Roman" w:hAnsi="Times New Roman"/>
          <w:b/>
          <w:sz w:val="20"/>
        </w:rPr>
        <w:t xml:space="preserve">Exhibit 99.1 </w:t>
      </w:r>
      <w:r>
        <w:br w:type="page"/>
      </w:r>
    </w:p>
    <w:p>
      <w:pPr>
        <w:pStyle w:val="TextBody"/>
        <w:bidi w:val="0"/>
        <w:spacing w:before="360" w:after="0"/>
        <w:jc w:val="left"/>
        <w:rPr>
          <w:rFonts w:ascii="Times New Roman" w:hAnsi="Times New Roman"/>
          <w:b/>
          <w:sz w:val="20"/>
        </w:rPr>
      </w:pPr>
      <w:r>
        <w:rPr>
          <w:rFonts w:ascii="Times New Roman" w:hAnsi="Times New Roman"/>
          <w:b/>
          <w:sz w:val="20"/>
        </w:rPr>
        <w:t xml:space="preserve">Sabre Corporation Announces Results of Previously Announced Cash Tender Offers by Sabre GLBL Inc. </w:t>
      </w:r>
    </w:p>
    <w:p>
      <w:pPr>
        <w:pStyle w:val="TextBody"/>
        <w:bidi w:val="0"/>
        <w:spacing w:before="120" w:after="0"/>
        <w:jc w:val="left"/>
        <w:rPr>
          <w:rFonts w:ascii="Times New Roman" w:hAnsi="Times New Roman"/>
          <w:sz w:val="20"/>
        </w:rPr>
      </w:pPr>
      <w:r>
        <w:rPr>
          <w:rFonts w:ascii="Times New Roman" w:hAnsi="Times New Roman"/>
          <w:sz w:val="20"/>
        </w:rPr>
        <w:t xml:space="preserve">SOUTHLAKE, Texas—September 24, 2026—Sabre Corporation (“Sabre”) (Nasdaq: SABR) today announced the results of the previously announced cash tender offers (the “Tender Offers”) by Sabre GLBL Inc. (“Sabre GLBL”), its indirect wholly-owned subsidiary, for Sabre GLBL’s securities set forth in the table below (collectively, the “Securities”). The Tender Offers expired at 5:00 p.m., New York City time, on September 24, 2026 (such date and time,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Offers were made pursuant to the terms and conditions set forth in the offers to purchase, dated September 15, 2026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As of the Expiration Date, according to information provided to D.F. King &amp; Co., Inc., the tender and information agent for the Tender Offers (the “Tender Agent”), the aggregate principal amount of each series of Securities listed in the table below was validly tendered and not validly withdrawn in the Tender Offers. Withdrawal rights for the Securities expired at the Expiration Date and, accordingly, any Securities that were validly tendered may no longer be withdrawn except where additional withdrawal rights are required by law. </w:t>
      </w:r>
    </w:p>
    <w:p>
      <w:pPr>
        <w:pStyle w:val="TextBody"/>
        <w:bidi w:val="0"/>
        <w:spacing w:before="0" w:after="0"/>
        <w:jc w:val="left"/>
        <w:rPr/>
      </w:pPr>
      <w:r>
        <w:rPr/>
        <w:t> </w:t>
      </w:r>
    </w:p>
    <w:tbl>
      <w:tblPr>
        <w:tblW w:w="13630" w:type="dxa"/>
        <w:jc w:val="center"/>
        <w:tblInd w:w="0" w:type="dxa"/>
        <w:tblLayout w:type="fixed"/>
        <w:tblCellMar>
          <w:top w:w="0" w:type="dxa"/>
          <w:left w:w="0" w:type="dxa"/>
          <w:bottom w:w="0" w:type="dxa"/>
          <w:right w:w="0" w:type="dxa"/>
        </w:tblCellMar>
      </w:tblPr>
      <w:tblGrid>
        <w:gridCol w:w="755"/>
        <w:gridCol w:w="120"/>
        <w:gridCol w:w="1445"/>
        <w:gridCol w:w="120"/>
        <w:gridCol w:w="140"/>
        <w:gridCol w:w="1400"/>
        <w:gridCol w:w="60"/>
        <w:gridCol w:w="120"/>
        <w:gridCol w:w="1190"/>
        <w:gridCol w:w="120"/>
        <w:gridCol w:w="140"/>
        <w:gridCol w:w="1520"/>
        <w:gridCol w:w="60"/>
        <w:gridCol w:w="120"/>
        <w:gridCol w:w="123"/>
        <w:gridCol w:w="1157"/>
        <w:gridCol w:w="275"/>
        <w:gridCol w:w="60"/>
        <w:gridCol w:w="164"/>
        <w:gridCol w:w="801"/>
        <w:gridCol w:w="60"/>
        <w:gridCol w:w="120"/>
        <w:gridCol w:w="140"/>
        <w:gridCol w:w="1520"/>
        <w:gridCol w:w="60"/>
        <w:gridCol w:w="120"/>
        <w:gridCol w:w="140"/>
        <w:gridCol w:w="1520"/>
        <w:gridCol w:w="60"/>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w:t>
              <w:br/>
              <w:t>Security</w:t>
            </w:r>
          </w:p>
        </w:tc>
        <w:tc>
          <w:tcPr>
            <w:tcW w:w="120" w:type="dxa"/>
            <w:tcBorders/>
            <w:vAlign w:val="bottom"/>
          </w:tcPr>
          <w:p>
            <w:pPr>
              <w:pStyle w:val="TableContents"/>
              <w:bidi w:val="0"/>
              <w:spacing w:before="0" w:after="283"/>
              <w:jc w:val="left"/>
              <w:rPr/>
            </w:pPr>
            <w:r>
              <w:rPr/>
              <w:t>  </w:t>
            </w:r>
          </w:p>
        </w:tc>
        <w:tc>
          <w:tcPr>
            <w:tcW w:w="144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CUSIP Number</w:t>
            </w:r>
          </w:p>
          <w:p>
            <w:pPr>
              <w:pStyle w:val="TableContents"/>
              <w:bidi w:val="0"/>
              <w:spacing w:before="0" w:after="20"/>
              <w:jc w:val="center"/>
              <w:rPr>
                <w:rFonts w:ascii="Times New Roman" w:hAnsi="Times New Roman"/>
                <w:b/>
                <w:sz w:val="16"/>
              </w:rPr>
            </w:pPr>
            <w:r>
              <w:rPr>
                <w:rFonts w:ascii="Times New Roman" w:hAnsi="Times New Roman"/>
                <w:b/>
                <w:sz w:val="16"/>
              </w:rPr>
              <w:t>/ISIN</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tcBorders>
              <w:bottom w:val="single" w:sz="8" w:space="0" w:color="000000"/>
            </w:tcBorders>
            <w:tcMar>
              <w:bottom w:w="28" w:type="dxa"/>
            </w:tcMar>
            <w:vAlign w:val="bottom"/>
          </w:tcPr>
          <w:p>
            <w:pPr>
              <w:pStyle w:val="TableContents"/>
              <w:bidi w:val="0"/>
              <w:spacing w:before="0" w:after="283"/>
              <w:jc w:val="center"/>
              <w:rPr>
                <w:b/>
              </w:rPr>
            </w:pPr>
            <w:r>
              <w:rPr>
                <w:b/>
              </w:rPr>
              <w:t>Acceptance</w:t>
              <w:br/>
              <w:t>Priority</w:t>
              <w:br/>
              <w:t>Level (1)</w:t>
            </w:r>
          </w:p>
        </w:tc>
        <w:tc>
          <w:tcPr>
            <w:tcW w:w="12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Tendered at</w:t>
            </w:r>
            <w:r>
              <w:rPr/>
              <w:br/>
            </w:r>
            <w:r>
              <w:rPr>
                <w:b/>
              </w:rPr>
              <w:t>Expiration 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Outstanding</w:t>
              <w:br/>
              <w:t>Securities</w:t>
              <w:br/>
              <w:t>Tendered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Purchase</w:t>
              <w:br/>
              <w:t>Price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 Amount</w:t>
              <w:br/>
              <w:t>Expected to be</w:t>
              <w:br/>
              <w:t>Accepted for</w:t>
              <w:br/>
              <w:t>Purchase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 (2)</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10.750% Senior Secured Notes due 2029</w:t>
            </w:r>
          </w:p>
        </w:tc>
        <w:tc>
          <w:tcPr>
            <w:tcW w:w="12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78573NAL6</w:t>
            </w:r>
          </w:p>
          <w:p>
            <w:pPr>
              <w:pStyle w:val="TableContents"/>
              <w:bidi w:val="0"/>
              <w:spacing w:before="0" w:after="0"/>
              <w:jc w:val="left"/>
              <w:rPr>
                <w:rFonts w:ascii="Times New Roman" w:hAnsi="Times New Roman"/>
                <w:sz w:val="20"/>
              </w:rPr>
            </w:pPr>
            <w:r>
              <w:rPr>
                <w:rFonts w:ascii="Times New Roman" w:hAnsi="Times New Roman"/>
                <w:sz w:val="20"/>
              </w:rPr>
              <w:t>U86043AJ2</w:t>
            </w:r>
          </w:p>
          <w:p>
            <w:pPr>
              <w:pStyle w:val="TableContents"/>
              <w:bidi w:val="0"/>
              <w:spacing w:before="0" w:after="0"/>
              <w:jc w:val="left"/>
              <w:rPr>
                <w:rFonts w:ascii="Times New Roman" w:hAnsi="Times New Roman"/>
                <w:sz w:val="20"/>
              </w:rPr>
            </w:pPr>
            <w:r>
              <w:rPr>
                <w:rFonts w:ascii="Times New Roman" w:hAnsi="Times New Roman"/>
                <w:sz w:val="20"/>
              </w:rPr>
              <w:t>US78573NAL64</w:t>
            </w:r>
          </w:p>
          <w:p>
            <w:pPr>
              <w:pStyle w:val="TableContents"/>
              <w:bidi w:val="0"/>
              <w:spacing w:before="0" w:after="20"/>
              <w:jc w:val="left"/>
              <w:rPr>
                <w:rFonts w:ascii="Times New Roman" w:hAnsi="Times New Roman"/>
                <w:sz w:val="20"/>
              </w:rPr>
            </w:pPr>
            <w:r>
              <w:rPr>
                <w:rFonts w:ascii="Times New Roman" w:hAnsi="Times New Roman"/>
                <w:sz w:val="20"/>
              </w:rPr>
              <w:t>USU86043AJ26</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445,715,000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center"/>
              <w:rPr/>
            </w:pPr>
            <w:r>
              <w:rPr/>
              <w:t>1</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299,978,000.00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67.30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992.50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251,888,000.00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250,000,000.00</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10.750% Senior Secured Notes due 2030</w:t>
            </w:r>
          </w:p>
        </w:tc>
        <w:tc>
          <w:tcPr>
            <w:tcW w:w="12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78573NAN2</w:t>
            </w:r>
          </w:p>
          <w:p>
            <w:pPr>
              <w:pStyle w:val="TableContents"/>
              <w:bidi w:val="0"/>
              <w:spacing w:before="0" w:after="0"/>
              <w:jc w:val="left"/>
              <w:rPr>
                <w:rFonts w:ascii="Times New Roman" w:hAnsi="Times New Roman"/>
                <w:sz w:val="20"/>
              </w:rPr>
            </w:pPr>
            <w:r>
              <w:rPr>
                <w:rFonts w:ascii="Times New Roman" w:hAnsi="Times New Roman"/>
                <w:sz w:val="20"/>
              </w:rPr>
              <w:t>U86043AL7</w:t>
            </w:r>
          </w:p>
          <w:p>
            <w:pPr>
              <w:pStyle w:val="TableContents"/>
              <w:bidi w:val="0"/>
              <w:spacing w:before="0" w:after="0"/>
              <w:jc w:val="left"/>
              <w:rPr>
                <w:rFonts w:ascii="Times New Roman" w:hAnsi="Times New Roman"/>
                <w:sz w:val="20"/>
              </w:rPr>
            </w:pPr>
            <w:r>
              <w:rPr>
                <w:rFonts w:ascii="Times New Roman" w:hAnsi="Times New Roman"/>
                <w:sz w:val="20"/>
              </w:rPr>
              <w:t>US78573NAN21</w:t>
            </w:r>
          </w:p>
          <w:p>
            <w:pPr>
              <w:pStyle w:val="TableContents"/>
              <w:bidi w:val="0"/>
              <w:spacing w:before="0" w:after="20"/>
              <w:jc w:val="left"/>
              <w:rPr>
                <w:rFonts w:ascii="Times New Roman" w:hAnsi="Times New Roman"/>
                <w:sz w:val="20"/>
              </w:rPr>
            </w:pPr>
            <w:r>
              <w:rPr>
                <w:rFonts w:ascii="Times New Roman" w:hAnsi="Times New Roman"/>
                <w:sz w:val="20"/>
              </w:rPr>
              <w:t>USU86043AL71</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469,802,000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2</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346,616,000.00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73.78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980.00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11.125% Senior Secured Notes due 2030</w:t>
            </w:r>
          </w:p>
        </w:tc>
        <w:tc>
          <w:tcPr>
            <w:tcW w:w="12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78573NAM4</w:t>
            </w:r>
          </w:p>
          <w:p>
            <w:pPr>
              <w:pStyle w:val="TableContents"/>
              <w:bidi w:val="0"/>
              <w:spacing w:before="0" w:after="0"/>
              <w:jc w:val="left"/>
              <w:rPr>
                <w:rFonts w:ascii="Times New Roman" w:hAnsi="Times New Roman"/>
                <w:sz w:val="20"/>
              </w:rPr>
            </w:pPr>
            <w:r>
              <w:rPr>
                <w:rFonts w:ascii="Times New Roman" w:hAnsi="Times New Roman"/>
                <w:sz w:val="20"/>
              </w:rPr>
              <w:t>U86043AK9</w:t>
            </w:r>
          </w:p>
          <w:p>
            <w:pPr>
              <w:pStyle w:val="TableContents"/>
              <w:bidi w:val="0"/>
              <w:spacing w:before="0" w:after="0"/>
              <w:jc w:val="left"/>
              <w:rPr>
                <w:rFonts w:ascii="Times New Roman" w:hAnsi="Times New Roman"/>
                <w:sz w:val="20"/>
              </w:rPr>
            </w:pPr>
            <w:r>
              <w:rPr>
                <w:rFonts w:ascii="Times New Roman" w:hAnsi="Times New Roman"/>
                <w:sz w:val="20"/>
              </w:rPr>
              <w:t>US78573NAM48</w:t>
            </w:r>
          </w:p>
          <w:p>
            <w:pPr>
              <w:pStyle w:val="TableContents"/>
              <w:bidi w:val="0"/>
              <w:spacing w:before="0" w:after="20"/>
              <w:jc w:val="left"/>
              <w:rPr>
                <w:rFonts w:ascii="Times New Roman" w:hAnsi="Times New Roman"/>
                <w:sz w:val="20"/>
              </w:rPr>
            </w:pPr>
            <w:r>
              <w:rPr>
                <w:rFonts w:ascii="Times New Roman" w:hAnsi="Times New Roman"/>
                <w:sz w:val="20"/>
              </w:rPr>
              <w:t>USU86043AK98</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1,325,000,000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center"/>
              <w:rPr/>
            </w:pPr>
            <w:r>
              <w:rPr/>
              <w:t>3</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894,517,000.00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67.51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975.00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Aggregate Maximum Tender Amount and proration, the principal amount of Securities expected to be accepted for purchase in the Tender Offers has been determined in accordance with the applicable acceptance priority level (in numerical priority order) specified in this column.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Dollars per $1,000 principal amount of Securities validly tendered and accepted for purchase and excludes accrued interest which will be paid on Securities accepted for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Tender Offers remain subject to the satisfaction or waiver of the conditions described in the Offer to Purchase, including the financing for the Tender Offers. Such conditions may be waived by Sabre GLBL in its sole discretion, subject to applicable law. Any waiver of a condition by Sabre GLBL will not constitute a waiver of any other condition. Subject to the satisfaction or waiver of such conditions and as described in the Offer to Purchase, Sabre GLBL is expected to make payment on September 28, 2026 (such date and time, as it may be extended, the “Settlement Date”) for the Securities that (i) were validly tendered and not validly withdrawn at or prior to the Expiration Date and (ii) are accepted for purchase on the Settlement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the Aggregate Purchase Price of all validly tendered and not validly withdrawn 10.750% Senior Secured Notes due 2029 (the “10.750% 2029 Notes”) exceeds $250 million, no validly tendered 10.750% Senior Secured Notes due 2030 or 11.125% Senior Secured Notes due 2030 will be accepted for purchase, and the 10.750% 2029 Notes will be accepted on a pro rata basis and will be subject to a proration factor of approximately 84.0%. Securities tendered and not purchased on the Settlement Date will be returned to holders of Securities (the “Holders”) promptly after the Settlement Date. The consideration to be paid for the 10.750% 2029 Notes accepted for purchase on the Settlement Date per $1,000 principal amount of such Securities is the amount set forth in the table above under the heading “Purchase Price.” All Holders of 10.750% 2029 Notes accepted for purchase will also receive accrued interest from, and including, the most recent interest payment date preceding the Settlement Date to, but not including,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Sabre GLBL expressly reserves the right, in its sole discretion, subject to applicable law, to: (i) terminate any or all of the Tender Offers and not accept for purchase any of the Securities not theretofore accepted for purchase in the terminated Tender Offer or Tender Offers, (ii) waive any and all of the conditions to the Tender Offers on or prior to the time the Securities are accepted for purchase in any or all of the Tender Offers, (iii) extend the Expiration Date to a later date and time, (iv) increase or decrease the maximum Aggregate Purchase Price, or (v) otherwise amend the terms and conditions of the Tender Offers.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that all Holders are entitled to receive for their Securities that are accepted for purchase by Sabre GLBL in the Tender Offers, excluding accrued interest, is referred to as the “Aggregate Purchase Price.” “Aggregate Maximum Tender Amount” refers to the maximum principal amount of Securities that can be purchased for cash in the Tender Offers without resulting in the Aggregate Purchase Price exceeding $250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Relating to the Tender Offers </w:t>
      </w:r>
    </w:p>
    <w:p>
      <w:pPr>
        <w:pStyle w:val="TextBody"/>
        <w:bidi w:val="0"/>
        <w:spacing w:before="120" w:after="0"/>
        <w:jc w:val="left"/>
        <w:rPr>
          <w:rFonts w:ascii="Times New Roman" w:hAnsi="Times New Roman"/>
          <w:sz w:val="20"/>
        </w:rPr>
      </w:pPr>
      <w:r>
        <w:rPr>
          <w:rFonts w:ascii="Times New Roman" w:hAnsi="Times New Roman"/>
          <w:sz w:val="20"/>
        </w:rPr>
        <w:t xml:space="preserve">The complete terms and conditions of the Tender Offers are set forth in the Offer to Purchase. BofA Securities is the Dealer Manager for the Tender Offers. Investors with questions regarding the Tender Offers may contact BofA Securities, collect: (980) 388-3646, toll-free: (888) 292-0070, email: debt_advisory@bofa.com. D.F. King &amp; Co., Inc. is the tender and information agent for the Tender Offers. Copies of the Offer to Purchase and any related offer documents may be obtained by contacting D.F. King &amp; Co., Inc. by phone at (646) 455-1060 (New York) or (866) 356-7814 (toll-free) or by email at sabre@dfking.com. Copies of the Offer to Purchase are available at: </w:t>
      </w:r>
      <w:r>
        <w:rPr>
          <w:rFonts w:ascii="Times New Roman" w:hAnsi="Times New Roman"/>
          <w:sz w:val="20"/>
          <w:u w:val="single"/>
        </w:rPr>
        <w:t>www.dfking.com/sabre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None of Sabre GLBL, Sabre, their affiliates, their respective boards of directors and stockholders, the Dealer Manager, the Tender Agent or Computershare Trust Company, N.A., as trustee and collateral agent for the Securities, are making any recommendation as to whether Holders should tender any Securities in response to the Tender Offers. Holders must make their own decision as to whether to tender any of their Securities, and, if so, the principal amount of Securities to tender.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for informational purposes only and is not an offer to buy or a solicitation of an offer to sell any of the Securities, and the Tender Offers do not constitute offers to buy or the solicitation of offers to sell Securities in any jurisdiction or in any circumstances in which such offers are unlawful. The full details of the Tender Offers, including complete instructions on how to tender Securities, are included in the Offer to Purchase. Holders are strongly encouraged to read carefully the Offer to Purchase because it will contain important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herein are forward-looking statements about trends, future events, uncertainties and our plans and expectations of what may happen in the future. Any statements that are not historical or current facts are forward-looking statements. In many cases, you can identify forward-looking statements by terms such as “expect,” “guidance,” “outlook,” “trend,” “pro forma,” “on course,” “on track,” “target,” “potential,” “benefit,” “goal,” “believe,” “plan,” “confident,” “anticipate,” “indicate,” “trend,” “position,” “optimistic,” “will,” “forecast,” “continue,” “strategy,” “estimate,” “project,” “may,” “should,” “would,” “intend,” or the negative of these terms, where applicable,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More information about potential risks and uncertainties that could materially affect our business and results of operations is included in the “Risk Factors” and “Forward-Looking Statements” sections in our Quarterly Report on Form 10-Q for the quarter ended June 30, 2026, filed with the SEC on August 6, 2026, our Annual Report on Form 10-K for the year ended December 31, 2025, filed with the SEC on February 18, 2026 and in our other filings with the SEC, as well as other risks and uncertainties specified in the “Certain Significant Considerations” section of the Offer to Purchase. We cannot guarantee future events, including financing of the Tender Offers and successful completion of the Tender Offers,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p>
    <w:p>
      <w:pPr>
        <w:pStyle w:val="TextBody"/>
        <w:bidi w:val="0"/>
        <w:spacing w:before="360" w:after="0"/>
        <w:jc w:val="left"/>
        <w:rPr>
          <w:rFonts w:ascii="Times New Roman" w:hAnsi="Times New Roman"/>
          <w:b/>
          <w:sz w:val="20"/>
        </w:rPr>
      </w:pPr>
      <w:r>
        <w:rPr>
          <w:rFonts w:ascii="Times New Roman" w:hAnsi="Times New Roman"/>
          <w:b/>
          <w:sz w:val="20"/>
        </w:rPr>
        <w:t xml:space="preserve">About Sabre </w:t>
      </w:r>
    </w:p>
    <w:p>
      <w:pPr>
        <w:pStyle w:val="TextBody"/>
        <w:bidi w:val="0"/>
        <w:spacing w:before="120" w:after="0"/>
        <w:jc w:val="left"/>
        <w:rPr>
          <w:rFonts w:ascii="Times New Roman" w:hAnsi="Times New Roman"/>
          <w:sz w:val="20"/>
        </w:rPr>
      </w:pPr>
      <w:r>
        <w:rPr>
          <w:rFonts w:ascii="Times New Roman" w:hAnsi="Times New Roman"/>
          <w:b/>
          <w:sz w:val="20"/>
        </w:rPr>
        <w:t>Powering the agentic revolution in travel.</w:t>
      </w:r>
      <w:r>
        <w:rPr>
          <w:rFonts w:ascii="Times New Roman" w:hAnsi="Times New Roman"/>
          <w:sz w:val="20"/>
        </w:rPr>
        <w:t> Sabre is an AI-native technology leader, backed by one of the world’s largest travel 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new disruptors, guiding them to the next age of travel retailing through intelligent, connected, and personalized experiences.</w:t>
      </w:r>
    </w:p>
    <w:p>
      <w:pPr>
        <w:pStyle w:val="TextBody"/>
        <w:bidi w:val="0"/>
        <w:spacing w:before="240" w:after="0"/>
        <w:jc w:val="left"/>
        <w:rPr>
          <w:rFonts w:ascii="Times New Roman" w:hAnsi="Times New Roman"/>
          <w:sz w:val="20"/>
        </w:rPr>
      </w:pPr>
      <w:r>
        <w:rPr>
          <w:rFonts w:ascii="Times New Roman" w:hAnsi="Times New Roman"/>
          <w:sz w:val="20"/>
        </w:rPr>
        <w:t xml:space="preserve">SABR-F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Media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b/>
              </w:rPr>
            </w:pPr>
            <w:r>
              <w:rPr>
                <w:b/>
              </w:rPr>
              <w:t>Investors</w:t>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Cassidy Smith-Broyles</w:t>
            </w:r>
          </w:p>
          <w:p>
            <w:pPr>
              <w:pStyle w:val="TableContents"/>
              <w:bidi w:val="0"/>
              <w:spacing w:before="0" w:after="0"/>
              <w:jc w:val="left"/>
              <w:rPr>
                <w:rFonts w:ascii="Times New Roman" w:hAnsi="Times New Roman"/>
                <w:sz w:val="20"/>
              </w:rPr>
            </w:pPr>
            <w:r>
              <w:rPr>
                <w:rFonts w:ascii="Times New Roman" w:hAnsi="Times New Roman"/>
                <w:sz w:val="20"/>
              </w:rPr>
              <w:t>Cassidy.Smith-Broyles@sabre.com</w:t>
            </w:r>
          </w:p>
          <w:p>
            <w:pPr>
              <w:pStyle w:val="TableContents"/>
              <w:bidi w:val="0"/>
              <w:spacing w:before="0" w:after="20"/>
              <w:jc w:val="left"/>
              <w:rPr>
                <w:rFonts w:ascii="Times New Roman" w:hAnsi="Times New Roman"/>
                <w:sz w:val="20"/>
              </w:rPr>
            </w:pPr>
            <w:r>
              <w:rPr>
                <w:rFonts w:ascii="Times New Roman" w:hAnsi="Times New Roman"/>
                <w:sz w:val="20"/>
              </w:rPr>
              <w:t>sabrenews@sabre.com</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Roushan Zenooz</w:t>
            </w:r>
          </w:p>
          <w:p>
            <w:pPr>
              <w:pStyle w:val="TableContents"/>
              <w:bidi w:val="0"/>
              <w:spacing w:before="0" w:after="0"/>
              <w:jc w:val="left"/>
              <w:rPr>
                <w:rFonts w:ascii="Times New Roman" w:hAnsi="Times New Roman"/>
                <w:sz w:val="20"/>
              </w:rPr>
            </w:pPr>
            <w:r>
              <w:rPr>
                <w:rFonts w:ascii="Times New Roman" w:hAnsi="Times New Roman"/>
                <w:sz w:val="20"/>
              </w:rPr>
              <w:t>Roushan.Zenooz@sabre.com</w:t>
            </w:r>
          </w:p>
          <w:p>
            <w:pPr>
              <w:pStyle w:val="TableContents"/>
              <w:bidi w:val="0"/>
              <w:spacing w:before="0" w:after="20"/>
              <w:jc w:val="left"/>
              <w:rPr>
                <w:rFonts w:ascii="Times New Roman" w:hAnsi="Times New Roman"/>
                <w:sz w:val="20"/>
              </w:rPr>
            </w:pPr>
            <w:r>
              <w:rPr>
                <w:rFonts w:ascii="Times New Roman" w:hAnsi="Times New Roman"/>
                <w:sz w:val="20"/>
              </w:rPr>
              <w:t>sabre.investorrelations@sabre.com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10" w:name="d435567dex992.htm"/>
      <w:bookmarkStart w:id="11" w:name="ksd435567dex992"/>
      <w:bookmarkEnd w:id="10"/>
      <w:bookmarkEnd w:id="11"/>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Sabre Corporation Announces Early Tender Results of Previously Announced Cash Tender Offer and Consent Solicitation by Sabre Financial Borrower, LLC </w:t>
      </w:r>
    </w:p>
    <w:p>
      <w:pPr>
        <w:pStyle w:val="TextBody"/>
        <w:bidi w:val="0"/>
        <w:spacing w:before="240" w:after="0"/>
        <w:jc w:val="left"/>
        <w:rPr>
          <w:rFonts w:ascii="Times New Roman" w:hAnsi="Times New Roman"/>
          <w:sz w:val="20"/>
        </w:rPr>
      </w:pPr>
      <w:r>
        <w:rPr>
          <w:rFonts w:ascii="Times New Roman" w:hAnsi="Times New Roman"/>
          <w:sz w:val="20"/>
        </w:rPr>
        <w:t xml:space="preserve">SOUTHLAKE, Texas—September 25, 2026—Sabre Corporation (“Sabre”) (Nasdaq: SABR) today announced the early tender results of the previously announced cash tender offer (the “Tender Offer”) by Sabre Financial Borrower, LLC (“Sabre Financial”), its indirect wholly-owned subsidiary, for any and all of Sabre Financial’s securities set forth in the table below (the “Securities”) and concurrent solicitation of consents (the “Consent Solicitation”) to certain proposed amendments to the Securities and the Indenture (as defined below). The Tender Offer and Consent Solicitation will expire at 5:00 p.m., New York City time, on October 12, 2026 (unless extended or earlier terminated,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 and Consent Solicitation are being made pursuant to the terms and conditions set forth in the offer to purchase and consent solicitation statement, dated September 14, 2026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As of 5:00 p.m., New York City time, on September 25, 2026 (such date and time, the “Early Tender Deadline” and “Withdrawal Deadline,” as applicable), according to information provided to D.F. King &amp; Co., Inc., the tender and information agent for the Tender Offer and Consent Solicitation, the aggregate principal amount of Securities listed in the table below has been validly tendered and not validly withdrawn in the Tender Offer and Consent Solicitation. Withdrawal rights for the Securities expired at the Early Tender Deadline and, accordingly, any Securities that were validly tendered may no longer be withdrawn except where additional withdrawal rights are required by law. </w:t>
      </w:r>
    </w:p>
    <w:p>
      <w:pPr>
        <w:pStyle w:val="TextBody"/>
        <w:bidi w:val="0"/>
        <w:spacing w:before="0" w:after="0"/>
        <w:jc w:val="left"/>
        <w:rPr/>
      </w:pPr>
      <w:r>
        <w:rPr/>
        <w:t> </w:t>
      </w:r>
    </w:p>
    <w:tbl>
      <w:tblPr>
        <w:tblW w:w="11475" w:type="dxa"/>
        <w:jc w:val="center"/>
        <w:tblInd w:w="0" w:type="dxa"/>
        <w:tblLayout w:type="fixed"/>
        <w:tblCellMar>
          <w:top w:w="0" w:type="dxa"/>
          <w:left w:w="0" w:type="dxa"/>
          <w:bottom w:w="0" w:type="dxa"/>
          <w:right w:w="0" w:type="dxa"/>
        </w:tblCellMar>
      </w:tblPr>
      <w:tblGrid>
        <w:gridCol w:w="1190"/>
        <w:gridCol w:w="120"/>
        <w:gridCol w:w="2285"/>
        <w:gridCol w:w="120"/>
        <w:gridCol w:w="140"/>
        <w:gridCol w:w="1700"/>
        <w:gridCol w:w="60"/>
        <w:gridCol w:w="120"/>
        <w:gridCol w:w="140"/>
        <w:gridCol w:w="1520"/>
        <w:gridCol w:w="60"/>
        <w:gridCol w:w="120"/>
        <w:gridCol w:w="197"/>
        <w:gridCol w:w="1848"/>
        <w:gridCol w:w="275"/>
        <w:gridCol w:w="60"/>
        <w:gridCol w:w="204"/>
        <w:gridCol w:w="1256"/>
        <w:gridCol w:w="60"/>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Security</w:t>
            </w:r>
          </w:p>
        </w:tc>
        <w:tc>
          <w:tcPr>
            <w:tcW w:w="120" w:type="dxa"/>
            <w:tcBorders/>
            <w:vAlign w:val="bottom"/>
          </w:tcPr>
          <w:p>
            <w:pPr>
              <w:pStyle w:val="TableContents"/>
              <w:bidi w:val="0"/>
              <w:spacing w:before="0" w:after="283"/>
              <w:jc w:val="left"/>
              <w:rPr/>
            </w:pPr>
            <w:r>
              <w:rPr/>
              <w:t>  </w:t>
            </w:r>
          </w:p>
        </w:tc>
        <w:tc>
          <w:tcPr>
            <w:tcW w:w="2285" w:type="dxa"/>
            <w:tcBorders>
              <w:bottom w:val="single" w:sz="8" w:space="0" w:color="000000"/>
            </w:tcBorders>
            <w:tcMar>
              <w:bottom w:w="28" w:type="dxa"/>
            </w:tcMar>
            <w:vAlign w:val="bottom"/>
          </w:tcPr>
          <w:p>
            <w:pPr>
              <w:pStyle w:val="TableContents"/>
              <w:bidi w:val="0"/>
              <w:spacing w:before="0" w:after="283"/>
              <w:jc w:val="center"/>
              <w:rPr>
                <w:b/>
              </w:rPr>
            </w:pPr>
            <w:r>
              <w:rPr>
                <w:b/>
              </w:rPr>
              <w:t>CUSIP /ISIN Number</w:t>
            </w:r>
          </w:p>
        </w:tc>
        <w:tc>
          <w:tcPr>
            <w:tcW w:w="120" w:type="dxa"/>
            <w:tcBorders/>
            <w:vAlign w:val="bottom"/>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Tendered at Early</w:t>
              <w:br/>
              <w:t>Tender Deadline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Securities Tendered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Consideration</w:t>
              <w:br/>
              <w:t>(1)(2)</w:t>
            </w:r>
          </w:p>
        </w:tc>
        <w:tc>
          <w:tcPr>
            <w:tcW w:w="6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11.125% Senior Secured Notes due 2029</w:t>
            </w:r>
          </w:p>
        </w:tc>
        <w:tc>
          <w:tcPr>
            <w:tcW w:w="120" w:type="dxa"/>
            <w:tcBorders/>
            <w:shd w:fill="CCEEFF" w:val="clear"/>
            <w:vAlign w:val="bottom"/>
          </w:tcPr>
          <w:p>
            <w:pPr>
              <w:pStyle w:val="TableContents"/>
              <w:bidi w:val="0"/>
              <w:spacing w:before="0" w:after="283"/>
              <w:jc w:val="left"/>
              <w:rPr/>
            </w:pPr>
            <w:r>
              <w:rPr/>
              <w:t>  </w:t>
            </w:r>
          </w:p>
        </w:tc>
        <w:tc>
          <w:tcPr>
            <w:tcW w:w="2285" w:type="dxa"/>
            <w:tcBorders/>
            <w:shd w:fill="CCEEFF" w:val="clear"/>
            <w:vAlign w:val="bottom"/>
          </w:tcPr>
          <w:p>
            <w:pPr>
              <w:pStyle w:val="TableContents"/>
              <w:bidi w:val="0"/>
              <w:jc w:val="center"/>
              <w:rPr/>
            </w:pPr>
            <w:r>
              <w:rPr/>
              <w:t>78573X AA8</w:t>
            </w:r>
          </w:p>
          <w:p>
            <w:pPr>
              <w:pStyle w:val="TableContents"/>
              <w:bidi w:val="0"/>
              <w:spacing w:before="0" w:after="0"/>
              <w:jc w:val="center"/>
              <w:rPr>
                <w:rFonts w:ascii="Times New Roman" w:hAnsi="Times New Roman"/>
                <w:sz w:val="20"/>
              </w:rPr>
            </w:pPr>
            <w:r>
              <w:rPr>
                <w:rFonts w:ascii="Times New Roman" w:hAnsi="Times New Roman"/>
                <w:sz w:val="20"/>
              </w:rPr>
              <w:t>U86042 AA3</w:t>
              <w:br/>
              <w:t>US78573XAA81</w:t>
            </w:r>
          </w:p>
          <w:p>
            <w:pPr>
              <w:pStyle w:val="TableContents"/>
              <w:bidi w:val="0"/>
              <w:spacing w:before="0" w:after="20"/>
              <w:jc w:val="center"/>
              <w:rPr>
                <w:rFonts w:ascii="Times New Roman" w:hAnsi="Times New Roman"/>
                <w:sz w:val="20"/>
              </w:rPr>
            </w:pPr>
            <w:r>
              <w:rPr>
                <w:rFonts w:ascii="Times New Roman" w:hAnsi="Times New Roman"/>
                <w:sz w:val="20"/>
              </w:rPr>
              <w:t>USU86042AA34</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1,000,000,000.00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930,682,000.00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283"/>
              <w:jc w:val="right"/>
              <w:rPr/>
            </w:pPr>
            <w:r>
              <w:rPr/>
              <w:t>93.07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1,092.50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Dollars per $1,000 principal amount of Securities validly tendered and accepted for purchase.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Early Tender Premium (as defined below). Does not include accrued and unpaid interest on the Securities, which will also be payable as provided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Tender Offer and Consent Solicitation remain subject to the satisfaction or waiver of the conditions described in the Offer to Purchase, including the financing for the Tender Offer and Consent Solicitation. Such conditions may be waived by Sabre Financial in its sole discretion, subject to applicable law. Any waiver of a condition by Sabre Financial will not constitute a waiver of any other condition. Subject to the satisfaction or waiver of such conditions and as described in the Offer to Purchase, Sabre Financial is expected to make payment on September 28, 2026 (such date and time, as it may be extended, the “Early Settlement Date”) for the Securities and related consents that (i) were validly tendered and delivered, as applicable, and not validly withdrawn or revoked, as applicable, at or prior to the Early Tender Deadline and (ii) are accepted for purchase on the Early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to be paid for the Securities accepted for purchase on the Early Settlement Date per $1,000 principal amount of Securities is the amount set forth in the table above under the heading “Total Consideration.” The amounts set forth in the table above under “Total Consideration” include an early tender premium of $50 per $1,000 principal amount of Securities accepted for purchase (the “Early Tender Premium”). All Holders of Securities accepted for purchase will also receive accrued and unpaid interest from the most recent interest payment date preceding the Early Settlement Date to, but not including, the Early Settlement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Holder who tenders Securities in the Tender Offer and Consent Solicitation will be deemed to automatically have provided consents, and Securities may not be tendered without delivering consents. Based on the consents received as of the Early Tender Deadline, Sabre Financial has obtained the required consents to effect all of the proposed amendments (the “Proposed Amendments”) as described in the Offer to Purchase. Consequently, as previously announced, Sabre Financial expects to execute a supplemental indenture (the “Supplemental Indenture”) effecting the Proposed Amendments with respect to the indenture dated December 5, 2025 (the “Indenture”), entered into by and among Sabre Financial, the guarantors party thereto, and Wilmington Trust, National Association, as trustee and collateral agent, under which the Securities were issued, and the Securities on or about the Early Settlement Date. The Supplemental Indenture will become effective upon (a) its execution and delivery by each of the parties thereto, and (b) the settlement of the Tender Offer with respect to accepted Securities tendered prior to the Early Tender Deadline on the Early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terms of the Indenture, because more than 90% of the aggregate principal amount of the Securities outstanding has been validly tendered in the Tender Offer, Sabre Financial intends, following its purchase of the tendered Securities, to deliver a notice of redemption to redeem all Securities that remain outstanding after giving effect to the purchase of the Securities on the Early Settlement Date. The redemption price for such Securities will be equal to the Total Consideration set forth in the table above, plus accrued and unpaid interest thereon to, but excluding, the redemption date. The redemption date is expected to be October 13, 2026. Notwithstanding the foregoing, there can be no assurance that any Securities will be redeemed. Nothing herein shall constitute a notice of redemption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Sabre Financial reserves the right, subject to applicable law, in its sole discretion, to waive any of the conditions of the Tender Offer or the Consent Solicitation, in whole or in part, at any time and from time to time. It also reserves the right, subject to applicable law, in its sole discretion, (1) to terminate or withdraw the Tender Offer or the Consent Solicitation at any time; (2) to extend the Early Tender Deadline, the Withdrawal Deadline or the Expiration Date; or (3) otherwise to amend the Tender Offer or Consent Solicitation in any respect. It may extend the Early Tender Deadline without extending the Withdrawal Deadline.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Relating to the Tender Offer and Consent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complete terms and conditions of the Tender Offer and Consent Solicitation are set forth in the Offer to Purchase. BofA Securities is the Dealer Manager and Solicitation Agent for the Tender Offer and Consent Solicitation. Investors with questions regarding the Tender Offer and Consent Solicitation may contact BofA Securities, collect: (980) 388-3646, toll-free: (888) 292-0070, email: debt_advisory@bofa.com. D.F. King &amp; Co., Inc. is the tender and information agent for the Tender Offer and Consent Solicitation. Copies of the Offer to Purchase and any related offer documents may be obtained by contacting D.F. King &amp; Co., Inc. by phone at (646) 455-1060 (New York) or (866) 356-7814 (toll-free) or by email at sabre@dfking.com. </w:t>
      </w:r>
    </w:p>
    <w:p>
      <w:pPr>
        <w:pStyle w:val="TextBody"/>
        <w:bidi w:val="0"/>
        <w:spacing w:before="240" w:after="0"/>
        <w:jc w:val="left"/>
        <w:rPr>
          <w:rFonts w:ascii="Times New Roman" w:hAnsi="Times New Roman"/>
          <w:sz w:val="20"/>
        </w:rPr>
      </w:pPr>
      <w:r>
        <w:rPr>
          <w:rFonts w:ascii="Times New Roman" w:hAnsi="Times New Roman"/>
          <w:sz w:val="20"/>
        </w:rPr>
        <w:t xml:space="preserve">None of Sabre Financial, Sabre, their affiliates, their respective boards of directors and stockholders, the Dealer Manager and Solicitation Agent, the Tender Agent or Wilmington Trust, National Association, as trustee for the Securities, are making any recommendation as to whether Holders should tender any Securities or deliver any Consent in response to the Tender Offer and Consent Solicitation. Holders must make their own decision as to whether to tender any of their Securities and deliver their Consents, and, if so, the principal amount of Securities to tender and Consents to deliver.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for informational purposes only and is not an offer to buy or a solicitation of an offer to sell any of the Securities, and the Tender Offer and Consent Solicitation do not constitute offers to buy or the solicitation of offers to sell Securities in any jurisdiction or in any circumstances in which such offers are unlawful. The full details of the Tender Offer and Consent Solicitation, including complete instructions on how to tender Securities and deliver Consents, are included in the Offer to Purchase. Holders are strongly encouraged to read carefully the Offer to Purchase because it will contain important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herein are forward-looking statements about trends, future events, uncertainties and our plans and expectations of what may happen in the future. Any statements that are not historical or current facts are forward-looking statements. In many cases, you can identify forward-looking statements by terms such as “expect,” “guidance,” “outlook,” “trend,” “pro forma,” “on course,” “on track,” “target,” “potential,” “benefit,” “goal,” “believe,” “plan,” “confident,” “anticipate,” “indicate,” “trend,” “position,” “optimistic,” “will,” “forecast,” “continue,” “strategy,” “estimate,” “project,” “may,” “should,” “would,” “intend,” or the negative of these terms, where applicable, or other comparable terminology.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More information about potential risks and uncertainties that could materially affect our business and results of operations is included in the “Risk Factors” and “Forward-Looking Statements” sections in our Quarterly Report on Form 10-Q for the quarter ended June 30, 2026, filed with the SEC on August 6, 2026, our Annual Report on Form 10-K for the year ended December 31, 2025, filed with the SEC on February 18, 2026 and in our other filings with the SEC, as well as other risks and uncertainties specified in the “Certain Significant Considerations” section of the Offer to Purchase. We cannot guarantee future events, including financing of the Tender Offer and Consent Solicitation and successful completion of the Tender Offer and Consent Solicitation,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 </w:t>
      </w:r>
    </w:p>
    <w:p>
      <w:pPr>
        <w:pStyle w:val="TextBody"/>
        <w:bidi w:val="0"/>
        <w:spacing w:before="360" w:after="0"/>
        <w:jc w:val="left"/>
        <w:rPr>
          <w:rFonts w:ascii="Times New Roman" w:hAnsi="Times New Roman"/>
          <w:b/>
          <w:sz w:val="20"/>
        </w:rPr>
      </w:pPr>
      <w:r>
        <w:rPr>
          <w:rFonts w:ascii="Times New Roman" w:hAnsi="Times New Roman"/>
          <w:b/>
          <w:sz w:val="20"/>
        </w:rPr>
        <w:t xml:space="preserve">About Sabre </w:t>
      </w:r>
    </w:p>
    <w:p>
      <w:pPr>
        <w:pStyle w:val="TextBody"/>
        <w:bidi w:val="0"/>
        <w:spacing w:before="120" w:after="0"/>
        <w:jc w:val="left"/>
        <w:rPr>
          <w:rFonts w:ascii="Times New Roman" w:hAnsi="Times New Roman"/>
          <w:sz w:val="20"/>
        </w:rPr>
      </w:pPr>
      <w:r>
        <w:rPr>
          <w:rFonts w:ascii="Times New Roman" w:hAnsi="Times New Roman"/>
          <w:b/>
          <w:sz w:val="20"/>
        </w:rPr>
        <w:t>Powering the agentic revolution in travel.</w:t>
      </w:r>
      <w:r>
        <w:rPr>
          <w:rFonts w:ascii="Times New Roman" w:hAnsi="Times New Roman"/>
          <w:sz w:val="20"/>
        </w:rPr>
        <w:t> Sabre is an AI-native technology leader, backed by one of the world’s largest travel 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new disruptors, guiding them to the next age of travel retailing through intelligent, connected, and personalized experiences.</w:t>
      </w:r>
    </w:p>
    <w:p>
      <w:pPr>
        <w:pStyle w:val="TextBody"/>
        <w:bidi w:val="0"/>
        <w:spacing w:before="240" w:after="0"/>
        <w:jc w:val="left"/>
        <w:rPr>
          <w:rFonts w:ascii="Times New Roman" w:hAnsi="Times New Roman"/>
          <w:sz w:val="20"/>
        </w:rPr>
      </w:pPr>
      <w:r>
        <w:rPr>
          <w:rFonts w:ascii="Times New Roman" w:hAnsi="Times New Roman"/>
          <w:sz w:val="20"/>
        </w:rPr>
        <w:t xml:space="preserve">SABR-F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1"/>
        <w:gridCol w:w="120"/>
        <w:gridCol w:w="4914"/>
      </w:tblGrid>
      <w:tr>
        <w:trPr/>
        <w:tc>
          <w:tcPr>
            <w:tcW w:w="51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4" w:type="dxa"/>
            <w:tcBorders/>
            <w:vAlign w:val="center"/>
          </w:tcPr>
          <w:p>
            <w:pPr>
              <w:pStyle w:val="TableContents"/>
              <w:bidi w:val="0"/>
              <w:spacing w:before="0" w:after="283"/>
              <w:jc w:val="left"/>
              <w:rPr>
                <w:sz w:val="4"/>
                <w:szCs w:val="4"/>
              </w:rPr>
            </w:pPr>
            <w:r>
              <w:rPr>
                <w:sz w:val="4"/>
                <w:szCs w:val="4"/>
              </w:rPr>
            </w:r>
          </w:p>
        </w:tc>
      </w:tr>
      <w:tr>
        <w:trPr/>
        <w:tc>
          <w:tcPr>
            <w:tcW w:w="5171" w:type="dxa"/>
            <w:tcBorders/>
            <w:vAlign w:val="bottom"/>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4914" w:type="dxa"/>
            <w:tcBorders/>
            <w:vAlign w:val="bottom"/>
          </w:tcPr>
          <w:p>
            <w:pPr>
              <w:pStyle w:val="TableContents"/>
              <w:bidi w:val="0"/>
              <w:spacing w:before="0" w:after="283"/>
              <w:jc w:val="left"/>
              <w:rPr>
                <w:b/>
              </w:rPr>
            </w:pPr>
            <w:r>
              <w:rPr>
                <w:b/>
              </w:rPr>
              <w:t>Investors</w:t>
            </w:r>
          </w:p>
        </w:tc>
      </w:tr>
      <w:tr>
        <w:trPr/>
        <w:tc>
          <w:tcPr>
            <w:tcW w:w="5171" w:type="dxa"/>
            <w:tcBorders/>
          </w:tcPr>
          <w:p>
            <w:pPr>
              <w:pStyle w:val="TableContents"/>
              <w:bidi w:val="0"/>
              <w:spacing w:before="0" w:after="0"/>
              <w:jc w:val="left"/>
              <w:rPr>
                <w:rFonts w:ascii="Times New Roman" w:hAnsi="Times New Roman"/>
                <w:sz w:val="20"/>
              </w:rPr>
            </w:pPr>
            <w:r>
              <w:rPr>
                <w:rFonts w:ascii="Times New Roman" w:hAnsi="Times New Roman"/>
                <w:sz w:val="20"/>
              </w:rPr>
              <w:t>Cassidy Smith-Broyles</w:t>
            </w:r>
          </w:p>
          <w:p>
            <w:pPr>
              <w:pStyle w:val="TableContents"/>
              <w:bidi w:val="0"/>
              <w:spacing w:before="0" w:after="0"/>
              <w:jc w:val="left"/>
              <w:rPr>
                <w:rFonts w:ascii="Times New Roman" w:hAnsi="Times New Roman"/>
                <w:sz w:val="20"/>
              </w:rPr>
            </w:pPr>
            <w:r>
              <w:rPr>
                <w:rFonts w:ascii="Times New Roman" w:hAnsi="Times New Roman"/>
                <w:sz w:val="20"/>
              </w:rPr>
              <w:t>Cassidy.Smith-Broyles@sabre.com</w:t>
            </w:r>
          </w:p>
          <w:p>
            <w:pPr>
              <w:pStyle w:val="TableContents"/>
              <w:bidi w:val="0"/>
              <w:spacing w:before="0" w:after="20"/>
              <w:jc w:val="left"/>
              <w:rPr>
                <w:rFonts w:ascii="Times New Roman" w:hAnsi="Times New Roman"/>
                <w:sz w:val="20"/>
              </w:rPr>
            </w:pPr>
            <w:r>
              <w:rPr>
                <w:rFonts w:ascii="Times New Roman" w:hAnsi="Times New Roman"/>
                <w:sz w:val="20"/>
              </w:rPr>
              <w:t>sabrenews@sabre.com</w:t>
            </w:r>
          </w:p>
        </w:tc>
        <w:tc>
          <w:tcPr>
            <w:tcW w:w="120" w:type="dxa"/>
            <w:tcBorders/>
            <w:vAlign w:val="bottom"/>
          </w:tcPr>
          <w:p>
            <w:pPr>
              <w:pStyle w:val="TableContents"/>
              <w:bidi w:val="0"/>
              <w:spacing w:before="0" w:after="283"/>
              <w:jc w:val="left"/>
              <w:rPr/>
            </w:pPr>
            <w:r>
              <w:rPr/>
              <w:t>  </w:t>
            </w:r>
          </w:p>
        </w:tc>
        <w:tc>
          <w:tcPr>
            <w:tcW w:w="4914" w:type="dxa"/>
            <w:tcBorders/>
          </w:tcPr>
          <w:p>
            <w:pPr>
              <w:pStyle w:val="TableContents"/>
              <w:bidi w:val="0"/>
              <w:spacing w:before="0" w:after="0"/>
              <w:jc w:val="left"/>
              <w:rPr>
                <w:rFonts w:ascii="Times New Roman" w:hAnsi="Times New Roman"/>
                <w:sz w:val="20"/>
              </w:rPr>
            </w:pPr>
            <w:r>
              <w:rPr>
                <w:rFonts w:ascii="Times New Roman" w:hAnsi="Times New Roman"/>
                <w:sz w:val="20"/>
              </w:rPr>
              <w:t>Roushan Zenooz</w:t>
            </w:r>
          </w:p>
          <w:p>
            <w:pPr>
              <w:pStyle w:val="TableContents"/>
              <w:bidi w:val="0"/>
              <w:spacing w:before="0" w:after="20"/>
              <w:jc w:val="left"/>
              <w:rPr>
                <w:rFonts w:ascii="Times New Roman" w:hAnsi="Times New Roman"/>
                <w:sz w:val="20"/>
              </w:rPr>
            </w:pPr>
            <w:r>
              <w:rPr>
                <w:rFonts w:ascii="Times New Roman" w:hAnsi="Times New Roman"/>
                <w:sz w:val="20"/>
              </w:rPr>
              <w:t>Roushan.Zenooz@sabre.com</w:t>
              <w:br/>
              <w:t>sabre.investorrelations@sabre.com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580</Pages>
  <Words>238395</Words>
  <Characters>1277141</Characters>
  <CharactersWithSpaces>1518546</CharactersWithSpaces>
  <Paragraphs>11388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