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SABRE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844" w:type="dxa"/>
        <w:tblCellMar>
          <w:top w:w="0" w:type="dxa"/>
          <w:left w:w="0" w:type="dxa"/>
          <w:bottom w:w="0" w:type="dxa"/>
          <w:right w:w="0" w:type="dxa"/>
        </w:tblCellMar>
      </w:tblPr>
      <w:tr>
        <w:trPr>
          <w:trHeight w:val="214"/>
        </w:trPr>
        <w:tc>
          <w:tcPr>
            <w:tcW w:w="2820" w:type="dxa"/>
            <w:vAlign w:val="bottom"/>
          </w:tcPr>
          <w:p>
            <w:pPr>
              <w:jc w:val="center"/>
              <w:ind w:right="6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0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001-36422</w:t>
            </w:r>
          </w:p>
        </w:tc>
        <w:tc>
          <w:tcPr>
            <w:tcW w:w="2400" w:type="dxa"/>
            <w:vAlign w:val="bottom"/>
          </w:tcPr>
          <w:p>
            <w:pPr>
              <w:jc w:val="center"/>
              <w:ind w:left="901"/>
              <w:spacing w:after="0"/>
              <w:rPr>
                <w:sz w:val="20"/>
                <w:szCs w:val="20"/>
                <w:color w:val="auto"/>
              </w:rPr>
            </w:pPr>
            <w:r>
              <w:rPr>
                <w:rFonts w:ascii="Times New Roman" w:cs="Times New Roman" w:eastAsia="Times New Roman" w:hAnsi="Times New Roman"/>
                <w:sz w:val="18"/>
                <w:szCs w:val="18"/>
                <w:b w:val="1"/>
                <w:bCs w:val="1"/>
                <w:color w:val="auto"/>
                <w:w w:val="98"/>
              </w:rPr>
              <w:t>20-8647322</w:t>
            </w:r>
          </w:p>
        </w:tc>
      </w:tr>
      <w:tr>
        <w:trPr>
          <w:trHeight w:val="148"/>
        </w:trPr>
        <w:tc>
          <w:tcPr>
            <w:tcW w:w="2820" w:type="dxa"/>
            <w:vAlign w:val="bottom"/>
          </w:tcPr>
          <w:p>
            <w:pPr>
              <w:jc w:val="center"/>
              <w:ind w:right="6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900" w:type="dxa"/>
            <w:vAlign w:val="bottom"/>
          </w:tcPr>
          <w:p>
            <w:pPr>
              <w:ind w:left="1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00" w:type="dxa"/>
            <w:vAlign w:val="bottom"/>
          </w:tcPr>
          <w:p>
            <w:pPr>
              <w:jc w:val="center"/>
              <w:ind w:left="9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20" w:type="dxa"/>
            <w:vAlign w:val="bottom"/>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90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00" w:type="dxa"/>
            <w:vAlign w:val="bottom"/>
          </w:tcPr>
          <w:p>
            <w:pPr>
              <w:jc w:val="center"/>
              <w:ind w:left="90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2820" w:type="dxa"/>
            <w:vAlign w:val="bottom"/>
          </w:tcPr>
          <w:p>
            <w:pPr>
              <w:jc w:val="center"/>
              <w:ind w:left="979"/>
              <w:spacing w:after="0"/>
              <w:rPr>
                <w:sz w:val="20"/>
                <w:szCs w:val="20"/>
                <w:color w:val="auto"/>
              </w:rPr>
            </w:pPr>
            <w:r>
              <w:rPr>
                <w:rFonts w:ascii="Times New Roman" w:cs="Times New Roman" w:eastAsia="Times New Roman" w:hAnsi="Times New Roman"/>
                <w:sz w:val="18"/>
                <w:szCs w:val="18"/>
                <w:b w:val="1"/>
                <w:bCs w:val="1"/>
                <w:color w:val="auto"/>
                <w:w w:val="99"/>
              </w:rPr>
              <w:t>3150 Sabre Drive</w:t>
            </w:r>
          </w:p>
        </w:tc>
        <w:tc>
          <w:tcPr>
            <w:tcW w:w="39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27"/>
        </w:trPr>
        <w:tc>
          <w:tcPr>
            <w:tcW w:w="2820" w:type="dxa"/>
            <w:vAlign w:val="bottom"/>
          </w:tcPr>
          <w:p>
            <w:pPr>
              <w:jc w:val="center"/>
              <w:ind w:left="979"/>
              <w:spacing w:after="0"/>
              <w:rPr>
                <w:sz w:val="20"/>
                <w:szCs w:val="20"/>
                <w:color w:val="auto"/>
              </w:rPr>
            </w:pPr>
            <w:r>
              <w:rPr>
                <w:rFonts w:ascii="Times New Roman" w:cs="Times New Roman" w:eastAsia="Times New Roman" w:hAnsi="Times New Roman"/>
                <w:sz w:val="18"/>
                <w:szCs w:val="18"/>
                <w:b w:val="1"/>
                <w:bCs w:val="1"/>
                <w:color w:val="auto"/>
              </w:rPr>
              <w:t>Southlake, TX</w:t>
            </w:r>
          </w:p>
        </w:tc>
        <w:tc>
          <w:tcPr>
            <w:tcW w:w="3900" w:type="dxa"/>
            <w:vAlign w:val="bottom"/>
          </w:tcPr>
          <w:p>
            <w:pPr>
              <w:spacing w:after="0"/>
              <w:rPr>
                <w:sz w:val="19"/>
                <w:szCs w:val="19"/>
                <w:color w:val="auto"/>
              </w:rPr>
            </w:pPr>
          </w:p>
        </w:tc>
        <w:tc>
          <w:tcPr>
            <w:tcW w:w="240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76092</w:t>
            </w:r>
          </w:p>
        </w:tc>
      </w:tr>
      <w:tr>
        <w:trPr>
          <w:trHeight w:val="190"/>
        </w:trPr>
        <w:tc>
          <w:tcPr>
            <w:tcW w:w="6720" w:type="dxa"/>
            <w:vAlign w:val="bottom"/>
            <w:gridSpan w:val="2"/>
          </w:tcPr>
          <w:p>
            <w:pPr>
              <w:jc w:val="center"/>
              <w:ind w:right="27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0" w:type="dxa"/>
            <w:vAlign w:val="bottom"/>
          </w:tcPr>
          <w:p>
            <w:pPr>
              <w:jc w:val="center"/>
              <w:ind w:right="7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0"/>
        </w:trPr>
        <w:tc>
          <w:tcPr>
            <w:tcW w:w="2820" w:type="dxa"/>
            <w:vAlign w:val="bottom"/>
          </w:tcPr>
          <w:p>
            <w:pPr>
              <w:spacing w:after="0"/>
              <w:rPr>
                <w:sz w:val="24"/>
                <w:szCs w:val="24"/>
                <w:color w:val="auto"/>
              </w:rPr>
            </w:pPr>
          </w:p>
        </w:tc>
        <w:tc>
          <w:tcPr>
            <w:tcW w:w="3900" w:type="dxa"/>
            <w:vAlign w:val="bottom"/>
          </w:tcPr>
          <w:p>
            <w:pPr>
              <w:jc w:val="right"/>
              <w:ind w:right="1421"/>
              <w:spacing w:after="0"/>
              <w:rPr>
                <w:sz w:val="20"/>
                <w:szCs w:val="20"/>
                <w:color w:val="auto"/>
              </w:rPr>
            </w:pPr>
            <w:r>
              <w:rPr>
                <w:rFonts w:ascii="Times New Roman" w:cs="Times New Roman" w:eastAsia="Times New Roman" w:hAnsi="Times New Roman"/>
                <w:sz w:val="18"/>
                <w:szCs w:val="18"/>
                <w:b w:val="1"/>
                <w:bCs w:val="1"/>
                <w:color w:val="auto"/>
              </w:rPr>
              <w:t>(682) 605-1000</w:t>
            </w:r>
          </w:p>
        </w:tc>
        <w:tc>
          <w:tcPr>
            <w:tcW w:w="2400" w:type="dxa"/>
            <w:vAlign w:val="bottom"/>
          </w:tcPr>
          <w:p>
            <w:pPr>
              <w:spacing w:after="0"/>
              <w:rPr>
                <w:sz w:val="24"/>
                <w:szCs w:val="24"/>
                <w:color w:val="auto"/>
              </w:rPr>
            </w:pPr>
          </w:p>
        </w:tc>
      </w:tr>
      <w:tr>
        <w:trPr>
          <w:trHeight w:val="190"/>
        </w:trPr>
        <w:tc>
          <w:tcPr>
            <w:tcW w:w="2820" w:type="dxa"/>
            <w:vAlign w:val="bottom"/>
          </w:tcPr>
          <w:p>
            <w:pPr>
              <w:spacing w:after="0"/>
              <w:rPr>
                <w:sz w:val="16"/>
                <w:szCs w:val="16"/>
                <w:color w:val="auto"/>
              </w:rPr>
            </w:pPr>
          </w:p>
        </w:tc>
        <w:tc>
          <w:tcPr>
            <w:tcW w:w="39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203200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SABR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80"/>
          </w:cols>
          <w:pgMar w:left="440" w:top="293" w:right="479" w:bottom="1440" w:gutter="0" w:footer="0" w:header="0"/>
        </w:sect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On May 20, 2026, Sabre Corporation (“Sabre”) designated Scott Hortenstine, currently Vice President of Global Accounting, to be its principal accounting officer and to serve as its Vice President and Controller, effective July 1, 2026. Jami Kindle, Senior Vice President and Chief Accounting Officer, will continue to serve as Sabre’s principal accounting officer through June 30, 2026.</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Mr. Hortenstine joined Sabre in 2015 and has served as its Vice President of Global Accounting since 2023. Prior to that, he held a variety of positions of increasing responsibility with Sabre. Mr. Hortenstine is a Certified Public Accountant and holds a Master’s degree in Accounting from the University of Texas at Austin. Mr. Hortenstine will continue to participate in Sabre’s standard compensation and benefits programs for employees at the Vice President level, which includes a base salary, eligibility to receive an annual incentive under Sabre’s Variable Compensation Plan, and participation in Sabre’s long-term incentive program. Mr. Hortenstine’s appointment as Sabre’s principal accounting officer was not pursuant to any arrangement or understanding between him and any other person. There are no familial relationships or related party transactions with Sabre that would require disclosure under Items 401(d) or 404(a) of Regulation S-K in connection with his appointment.</w:t>
      </w:r>
    </w:p>
    <w:p>
      <w:pPr>
        <w:sectPr>
          <w:pgSz w:w="11900" w:h="16838" w:orient="portrait"/>
          <w:cols w:equalWidth="0" w:num="1">
            <w:col w:w="10980"/>
          </w:cols>
          <w:pgMar w:left="440" w:top="293" w:right="479" w:bottom="1440" w:gutter="0" w:footer="0" w:header="0"/>
          <w:type w:val="continuous"/>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Sabre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Michael Randolfi</w:t>
      </w:r>
    </w:p>
    <w:p>
      <w:pPr>
        <w:spacing w:after="0" w:line="27" w:lineRule="exact"/>
        <w:rPr>
          <w:sz w:val="20"/>
          <w:szCs w:val="20"/>
          <w:color w:val="auto"/>
        </w:rPr>
      </w:pPr>
    </w:p>
    <w:p>
      <w:pPr>
        <w:jc w:val="both"/>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0820"/>
      </w:cols>
      <w:pgMar w:left="440" w:top="293"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2026-05-20T15:06:56Z</dcterms:created>
  <dcterms:modified xsi:type="dcterms:W3CDTF">2026-05-20T15:06:56Z</dcterms:modified>
</cp:coreProperties>
</file>