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151130</wp:posOffset>
            </wp:positionH>
            <wp:positionV relativeFrom="page">
              <wp:posOffset>563880</wp:posOffset>
            </wp:positionV>
            <wp:extent cx="72593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page">
              <wp:posOffset>151130</wp:posOffset>
            </wp:positionH>
            <wp:positionV relativeFrom="page">
              <wp:posOffset>579755</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t>UNITED STATES</w:t>
      </w:r>
    </w:p>
    <w:p>
      <w:pPr>
        <w:spacing w:after="0" w:line="40" w:lineRule="exact"/>
        <w:rPr>
          <w:sz w:val="24"/>
          <w:szCs w:val="24"/>
          <w:color w:val="auto"/>
        </w:rPr>
      </w:pPr>
    </w:p>
    <w:p>
      <w:pPr>
        <w:jc w:val="center"/>
        <w:ind w:right="-1"/>
        <w:spacing w:after="0"/>
        <w:rPr>
          <w:sz w:val="20"/>
          <w:szCs w:val="20"/>
          <w:color w:val="auto"/>
        </w:rPr>
      </w:pPr>
      <w:r>
        <w:rPr>
          <w:rFonts w:ascii="Arial" w:cs="Arial" w:eastAsia="Arial" w:hAnsi="Arial"/>
          <w:sz w:val="26"/>
          <w:szCs w:val="26"/>
          <w:b w:val="1"/>
          <w:bCs w:val="1"/>
          <w:color w:val="auto"/>
        </w:rPr>
        <w:t>SECURITIES AND EXCHANGE COMMISSION</w:t>
      </w:r>
    </w:p>
    <w:p>
      <w:pPr>
        <w:spacing w:after="0" w:line="11"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3100070</wp:posOffset>
            </wp:positionH>
            <wp:positionV relativeFrom="paragraph">
              <wp:posOffset>86360</wp:posOffset>
            </wp:positionV>
            <wp:extent cx="10668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117" w:lineRule="exact"/>
        <w:rPr>
          <w:sz w:val="24"/>
          <w:szCs w:val="24"/>
          <w:color w:val="auto"/>
        </w:rPr>
      </w:pPr>
    </w:p>
    <w:p>
      <w:pPr>
        <w:jc w:val="center"/>
        <w:ind w:right="-1"/>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3100070</wp:posOffset>
            </wp:positionH>
            <wp:positionV relativeFrom="paragraph">
              <wp:posOffset>43180</wp:posOffset>
            </wp:positionV>
            <wp:extent cx="10668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88" w:lineRule="exact"/>
        <w:rPr>
          <w:sz w:val="24"/>
          <w:szCs w:val="24"/>
          <w:color w:val="auto"/>
        </w:rPr>
      </w:pPr>
    </w:p>
    <w:p>
      <w:pPr>
        <w:ind w:left="4162" w:right="3020" w:hanging="4162"/>
        <w:spacing w:after="0" w:line="321" w:lineRule="auto"/>
        <w:tabs>
          <w:tab w:leader="none" w:pos="33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5"/>
          <w:szCs w:val="15"/>
          <w:color w:val="auto"/>
        </w:rPr>
        <w:t>For the fiscal year ended December 31, 2016</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or</w:t>
      </w:r>
    </w:p>
    <w:p>
      <w:pPr>
        <w:spacing w:after="0" w:line="34" w:lineRule="exact"/>
        <w:rPr>
          <w:sz w:val="24"/>
          <w:szCs w:val="24"/>
          <w:color w:val="auto"/>
        </w:rPr>
      </w:pPr>
    </w:p>
    <w:p>
      <w:pPr>
        <w:ind w:left="322" w:hanging="322"/>
        <w:spacing w:after="0"/>
        <w:tabs>
          <w:tab w:leader="none" w:pos="32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Sabre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3100070</wp:posOffset>
            </wp:positionH>
            <wp:positionV relativeFrom="paragraph">
              <wp:posOffset>-252095</wp:posOffset>
            </wp:positionV>
            <wp:extent cx="10668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18"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81280</wp:posOffset>
            </wp:positionV>
            <wp:extent cx="10439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spacing w:after="0" w:line="232" w:lineRule="exact"/>
        <w:rPr>
          <w:sz w:val="24"/>
          <w:szCs w:val="24"/>
          <w:color w:val="auto"/>
        </w:rPr>
      </w:pPr>
    </w:p>
    <w:tbl>
      <w:tblPr>
        <w:tblLayout w:type="fixed"/>
        <w:tblInd w:w="2" w:type="dxa"/>
        <w:tblCellMar>
          <w:top w:w="0" w:type="dxa"/>
          <w:left w:w="0" w:type="dxa"/>
          <w:bottom w:w="0" w:type="dxa"/>
          <w:right w:w="0" w:type="dxa"/>
        </w:tblCellMar>
      </w:tblPr>
      <w:tr>
        <w:trPr>
          <w:trHeight w:val="205"/>
        </w:trPr>
        <w:tc>
          <w:tcPr>
            <w:tcW w:w="4900" w:type="dxa"/>
            <w:vAlign w:val="bottom"/>
            <w:gridSpan w:val="2"/>
          </w:tcPr>
          <w:p>
            <w:pPr>
              <w:jc w:val="center"/>
              <w:ind w:left="1469"/>
              <w:spacing w:after="0"/>
              <w:rPr>
                <w:sz w:val="20"/>
                <w:szCs w:val="20"/>
                <w:color w:val="auto"/>
              </w:rPr>
            </w:pPr>
            <w:r>
              <w:rPr>
                <w:rFonts w:ascii="Arial" w:cs="Arial" w:eastAsia="Arial" w:hAnsi="Arial"/>
                <w:sz w:val="16"/>
                <w:szCs w:val="16"/>
                <w:b w:val="1"/>
                <w:bCs w:val="1"/>
                <w:color w:val="auto"/>
                <w:w w:val="96"/>
              </w:rPr>
              <w:t>Delaware</w:t>
            </w:r>
          </w:p>
        </w:tc>
        <w:tc>
          <w:tcPr>
            <w:tcW w:w="1640" w:type="dxa"/>
            <w:vAlign w:val="bottom"/>
          </w:tcPr>
          <w:p>
            <w:pPr>
              <w:jc w:val="right"/>
              <w:ind w:right="386"/>
              <w:spacing w:after="0"/>
              <w:rPr>
                <w:sz w:val="20"/>
                <w:szCs w:val="20"/>
                <w:color w:val="auto"/>
              </w:rPr>
            </w:pPr>
            <w:r>
              <w:rPr>
                <w:rFonts w:ascii="Arial" w:cs="Arial" w:eastAsia="Arial" w:hAnsi="Arial"/>
                <w:sz w:val="16"/>
                <w:szCs w:val="16"/>
                <w:b w:val="1"/>
                <w:bCs w:val="1"/>
                <w:color w:val="auto"/>
              </w:rPr>
              <w:t>001-36422</w:t>
            </w:r>
          </w:p>
        </w:tc>
        <w:tc>
          <w:tcPr>
            <w:tcW w:w="2520" w:type="dxa"/>
            <w:vAlign w:val="bottom"/>
            <w:gridSpan w:val="2"/>
          </w:tcPr>
          <w:p>
            <w:pPr>
              <w:jc w:val="center"/>
              <w:ind w:left="733"/>
              <w:spacing w:after="0"/>
              <w:rPr>
                <w:sz w:val="20"/>
                <w:szCs w:val="20"/>
                <w:color w:val="auto"/>
              </w:rPr>
            </w:pPr>
            <w:r>
              <w:rPr>
                <w:rFonts w:ascii="Arial" w:cs="Arial" w:eastAsia="Arial" w:hAnsi="Arial"/>
                <w:sz w:val="16"/>
                <w:szCs w:val="16"/>
                <w:b w:val="1"/>
                <w:bCs w:val="1"/>
                <w:color w:val="auto"/>
                <w:w w:val="98"/>
              </w:rPr>
              <w:t>20-8647322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00" w:type="dxa"/>
            <w:vAlign w:val="bottom"/>
            <w:gridSpan w:val="2"/>
          </w:tcPr>
          <w:p>
            <w:pPr>
              <w:jc w:val="center"/>
              <w:ind w:left="1469"/>
              <w:spacing w:after="0"/>
              <w:rPr>
                <w:sz w:val="20"/>
                <w:szCs w:val="20"/>
                <w:color w:val="auto"/>
              </w:rPr>
            </w:pPr>
            <w:r>
              <w:rPr>
                <w:rFonts w:ascii="Arial" w:cs="Arial" w:eastAsia="Arial" w:hAnsi="Arial"/>
                <w:sz w:val="11"/>
                <w:szCs w:val="11"/>
                <w:b w:val="1"/>
                <w:bCs w:val="1"/>
                <w:color w:val="auto"/>
              </w:rPr>
              <w:t>(State or other jurisdiction</w:t>
            </w:r>
          </w:p>
        </w:tc>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(Commission File Number)</w:t>
            </w:r>
          </w:p>
        </w:tc>
        <w:tc>
          <w:tcPr>
            <w:tcW w:w="2520" w:type="dxa"/>
            <w:vAlign w:val="bottom"/>
            <w:gridSpan w:val="2"/>
          </w:tcPr>
          <w:p>
            <w:pPr>
              <w:jc w:val="center"/>
              <w:ind w:left="733"/>
              <w:spacing w:after="0"/>
              <w:rPr>
                <w:sz w:val="20"/>
                <w:szCs w:val="20"/>
                <w:color w:val="auto"/>
              </w:rPr>
            </w:pPr>
            <w:r>
              <w:rPr>
                <w:rFonts w:ascii="Arial" w:cs="Arial" w:eastAsia="Arial" w:hAnsi="Arial"/>
                <w:sz w:val="11"/>
                <w:szCs w:val="11"/>
                <w:b w:val="1"/>
                <w:bCs w:val="1"/>
                <w:color w:val="auto"/>
              </w:rPr>
              <w:t>(I.R.S. Employer</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900" w:type="dxa"/>
            <w:vAlign w:val="bottom"/>
            <w:gridSpan w:val="2"/>
          </w:tcPr>
          <w:p>
            <w:pPr>
              <w:jc w:val="center"/>
              <w:ind w:left="1469"/>
              <w:spacing w:after="0"/>
              <w:rPr>
                <w:sz w:val="20"/>
                <w:szCs w:val="20"/>
                <w:color w:val="auto"/>
              </w:rPr>
            </w:pPr>
            <w:r>
              <w:rPr>
                <w:rFonts w:ascii="Arial" w:cs="Arial" w:eastAsia="Arial" w:hAnsi="Arial"/>
                <w:sz w:val="11"/>
                <w:szCs w:val="11"/>
                <w:b w:val="1"/>
                <w:bCs w:val="1"/>
                <w:color w:val="auto"/>
              </w:rPr>
              <w:t>of incorporation or organization)</w:t>
            </w:r>
          </w:p>
        </w:tc>
        <w:tc>
          <w:tcPr>
            <w:tcW w:w="1640" w:type="dxa"/>
            <w:vAlign w:val="bottom"/>
          </w:tcPr>
          <w:p>
            <w:pPr>
              <w:spacing w:after="0"/>
              <w:rPr>
                <w:sz w:val="13"/>
                <w:szCs w:val="13"/>
                <w:color w:val="auto"/>
              </w:rPr>
            </w:pPr>
          </w:p>
        </w:tc>
        <w:tc>
          <w:tcPr>
            <w:tcW w:w="2520" w:type="dxa"/>
            <w:vAlign w:val="bottom"/>
            <w:gridSpan w:val="2"/>
          </w:tcPr>
          <w:p>
            <w:pPr>
              <w:jc w:val="center"/>
              <w:ind w:left="733"/>
              <w:spacing w:after="0"/>
              <w:rPr>
                <w:sz w:val="20"/>
                <w:szCs w:val="20"/>
                <w:color w:val="auto"/>
              </w:rPr>
            </w:pPr>
            <w:r>
              <w:rPr>
                <w:rFonts w:ascii="Arial" w:cs="Arial" w:eastAsia="Arial" w:hAnsi="Arial"/>
                <w:sz w:val="11"/>
                <w:szCs w:val="11"/>
                <w:b w:val="1"/>
                <w:bCs w:val="1"/>
                <w:color w:val="auto"/>
              </w:rPr>
              <w:t>Identification No.)</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7"/>
              </w:rPr>
              <w:t>3150 Sabre Drive</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6"/>
              </w:rPr>
              <w:t>Southlake, TX 76092</w:t>
            </w: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140" w:type="dxa"/>
            <w:vAlign w:val="bottom"/>
            <w:gridSpan w:val="4"/>
          </w:tcPr>
          <w:p>
            <w:pPr>
              <w:jc w:val="center"/>
              <w:ind w:left="3209"/>
              <w:spacing w:after="0"/>
              <w:rPr>
                <w:sz w:val="20"/>
                <w:szCs w:val="20"/>
                <w:color w:val="auto"/>
              </w:rPr>
            </w:pPr>
            <w:r>
              <w:rPr>
                <w:rFonts w:ascii="Arial" w:cs="Arial" w:eastAsia="Arial" w:hAnsi="Arial"/>
                <w:sz w:val="13"/>
                <w:szCs w:val="13"/>
                <w:b w:val="1"/>
                <w:bCs w:val="1"/>
                <w:i w:val="1"/>
                <w:iCs w:val="1"/>
                <w:color w:val="auto"/>
              </w:rPr>
              <w:t>(Address, including zip code, of principal executive offices)</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jc w:val="right"/>
              <w:ind w:right="226"/>
              <w:spacing w:after="0"/>
              <w:rPr>
                <w:sz w:val="20"/>
                <w:szCs w:val="20"/>
                <w:color w:val="auto"/>
              </w:rPr>
            </w:pPr>
            <w:r>
              <w:rPr>
                <w:rFonts w:ascii="Arial" w:cs="Arial" w:eastAsia="Arial" w:hAnsi="Arial"/>
                <w:sz w:val="16"/>
                <w:szCs w:val="16"/>
                <w:b w:val="1"/>
                <w:bCs w:val="1"/>
                <w:color w:val="auto"/>
              </w:rPr>
              <w:t>(682) 605-1000</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140" w:type="dxa"/>
            <w:vAlign w:val="bottom"/>
            <w:gridSpan w:val="4"/>
          </w:tcPr>
          <w:p>
            <w:pPr>
              <w:jc w:val="center"/>
              <w:ind w:left="3209"/>
              <w:spacing w:after="0"/>
              <w:rPr>
                <w:sz w:val="20"/>
                <w:szCs w:val="20"/>
                <w:color w:val="auto"/>
              </w:rPr>
            </w:pPr>
            <w:r>
              <w:rPr>
                <w:rFonts w:ascii="Arial" w:cs="Arial" w:eastAsia="Arial" w:hAnsi="Arial"/>
                <w:sz w:val="13"/>
                <w:szCs w:val="13"/>
                <w:b w:val="1"/>
                <w:bCs w:val="1"/>
                <w:i w:val="1"/>
                <w:iCs w:val="1"/>
                <w:color w:val="auto"/>
              </w:rPr>
              <w:t>(Registrant's telephone number, including area code)</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880" w:type="dxa"/>
            <w:vAlign w:val="bottom"/>
          </w:tcPr>
          <w:p>
            <w:pPr>
              <w:spacing w:after="0"/>
              <w:rPr>
                <w:sz w:val="5"/>
                <w:szCs w:val="5"/>
                <w:color w:val="auto"/>
              </w:rPr>
            </w:pPr>
          </w:p>
        </w:tc>
        <w:tc>
          <w:tcPr>
            <w:tcW w:w="1660" w:type="dxa"/>
            <w:vAlign w:val="bottom"/>
            <w:tcBorders>
              <w:bottom w:val="single" w:sz="8" w:color="auto"/>
            </w:tcBorders>
            <w:gridSpan w:val="2"/>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140" w:type="dxa"/>
            <w:vAlign w:val="bottom"/>
            <w:gridSpan w:val="4"/>
          </w:tcPr>
          <w:p>
            <w:pPr>
              <w:jc w:val="center"/>
              <w:ind w:left="3209"/>
              <w:spacing w:after="0"/>
              <w:rPr>
                <w:sz w:val="20"/>
                <w:szCs w:val="20"/>
                <w:color w:val="auto"/>
              </w:rPr>
            </w:pPr>
            <w:r>
              <w:rPr>
                <w:rFonts w:ascii="Arial" w:cs="Arial" w:eastAsia="Arial" w:hAnsi="Arial"/>
                <w:sz w:val="16"/>
                <w:szCs w:val="16"/>
                <w:b w:val="1"/>
                <w:bCs w:val="1"/>
                <w:color w:val="auto"/>
                <w:w w:val="96"/>
              </w:rPr>
              <w:t>Securities registered pursuant to Section 12(b) of the Act:</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900" w:type="dxa"/>
            <w:vAlign w:val="bottom"/>
            <w:gridSpan w:val="2"/>
          </w:tcPr>
          <w:p>
            <w:pPr>
              <w:jc w:val="center"/>
              <w:ind w:left="1449"/>
              <w:spacing w:after="0"/>
              <w:rPr>
                <w:sz w:val="20"/>
                <w:szCs w:val="20"/>
                <w:color w:val="auto"/>
              </w:rPr>
            </w:pPr>
            <w:r>
              <w:rPr>
                <w:rFonts w:ascii="Arial" w:cs="Arial" w:eastAsia="Arial" w:hAnsi="Arial"/>
                <w:sz w:val="16"/>
                <w:szCs w:val="16"/>
                <w:b w:val="1"/>
                <w:bCs w:val="1"/>
                <w:color w:val="auto"/>
                <w:w w:val="97"/>
              </w:rPr>
              <w:t>Common Stock, $0.01 par value</w:t>
            </w:r>
          </w:p>
        </w:tc>
        <w:tc>
          <w:tcPr>
            <w:tcW w:w="1640" w:type="dxa"/>
            <w:vAlign w:val="bottom"/>
          </w:tcPr>
          <w:p>
            <w:pPr>
              <w:spacing w:after="0"/>
              <w:rPr>
                <w:sz w:val="22"/>
                <w:szCs w:val="22"/>
                <w:color w:val="auto"/>
              </w:rPr>
            </w:pPr>
          </w:p>
        </w:tc>
        <w:tc>
          <w:tcPr>
            <w:tcW w:w="292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6"/>
              </w:rPr>
              <w:t>The NASDAQ Stock Market LLC</w:t>
            </w:r>
          </w:p>
        </w:tc>
        <w:tc>
          <w:tcPr>
            <w:tcW w:w="0" w:type="dxa"/>
            <w:vAlign w:val="bottom"/>
          </w:tcPr>
          <w:p>
            <w:pPr>
              <w:spacing w:after="0"/>
              <w:rPr>
                <w:sz w:val="1"/>
                <w:szCs w:val="1"/>
                <w:color w:val="auto"/>
              </w:rPr>
            </w:pPr>
          </w:p>
        </w:tc>
      </w:tr>
      <w:tr>
        <w:trPr>
          <w:trHeight w:val="201"/>
        </w:trPr>
        <w:tc>
          <w:tcPr>
            <w:tcW w:w="4900" w:type="dxa"/>
            <w:vAlign w:val="bottom"/>
            <w:gridSpan w:val="2"/>
          </w:tcPr>
          <w:p>
            <w:pPr>
              <w:jc w:val="center"/>
              <w:ind w:left="1469"/>
              <w:spacing w:after="0"/>
              <w:rPr>
                <w:sz w:val="20"/>
                <w:szCs w:val="20"/>
                <w:color w:val="auto"/>
              </w:rPr>
            </w:pPr>
            <w:r>
              <w:rPr>
                <w:rFonts w:ascii="Arial" w:cs="Arial" w:eastAsia="Arial" w:hAnsi="Arial"/>
                <w:sz w:val="13"/>
                <w:szCs w:val="13"/>
                <w:b w:val="1"/>
                <w:bCs w:val="1"/>
                <w:color w:val="auto"/>
              </w:rPr>
              <w:t>(Title of class)</w:t>
            </w:r>
          </w:p>
        </w:tc>
        <w:tc>
          <w:tcPr>
            <w:tcW w:w="1640" w:type="dxa"/>
            <w:vAlign w:val="bottom"/>
          </w:tcPr>
          <w:p>
            <w:pPr>
              <w:spacing w:after="0"/>
              <w:rPr>
                <w:sz w:val="17"/>
                <w:szCs w:val="17"/>
                <w:color w:val="auto"/>
              </w:rPr>
            </w:pPr>
          </w:p>
        </w:tc>
        <w:tc>
          <w:tcPr>
            <w:tcW w:w="2920" w:type="dxa"/>
            <w:vAlign w:val="bottom"/>
            <w:gridSpan w:val="3"/>
          </w:tcPr>
          <w:p>
            <w:pPr>
              <w:jc w:val="center"/>
              <w:ind w:left="333"/>
              <w:spacing w:after="0"/>
              <w:rPr>
                <w:sz w:val="20"/>
                <w:szCs w:val="20"/>
                <w:color w:val="auto"/>
              </w:rPr>
            </w:pPr>
            <w:r>
              <w:rPr>
                <w:rFonts w:ascii="Arial" w:cs="Arial" w:eastAsia="Arial" w:hAnsi="Arial"/>
                <w:sz w:val="13"/>
                <w:szCs w:val="13"/>
                <w:b w:val="1"/>
                <w:bCs w:val="1"/>
                <w:color w:val="auto"/>
              </w:rPr>
              <w:t>(Name of exchange on which registered)</w:t>
            </w:r>
          </w:p>
        </w:tc>
        <w:tc>
          <w:tcPr>
            <w:tcW w:w="0" w:type="dxa"/>
            <w:vAlign w:val="bottom"/>
          </w:tcPr>
          <w:p>
            <w:pPr>
              <w:spacing w:after="0"/>
              <w:rPr>
                <w:sz w:val="1"/>
                <w:szCs w:val="1"/>
                <w:color w:val="auto"/>
              </w:rPr>
            </w:pPr>
          </w:p>
        </w:tc>
      </w:tr>
      <w:tr>
        <w:trPr>
          <w:trHeight w:val="278"/>
        </w:trPr>
        <w:tc>
          <w:tcPr>
            <w:tcW w:w="8140" w:type="dxa"/>
            <w:vAlign w:val="bottom"/>
            <w:gridSpan w:val="4"/>
          </w:tcPr>
          <w:p>
            <w:pPr>
              <w:jc w:val="center"/>
              <w:ind w:left="3209"/>
              <w:spacing w:after="0"/>
              <w:rPr>
                <w:sz w:val="20"/>
                <w:szCs w:val="20"/>
                <w:color w:val="auto"/>
              </w:rPr>
            </w:pPr>
            <w:r>
              <w:rPr>
                <w:rFonts w:ascii="Arial" w:cs="Arial" w:eastAsia="Arial" w:hAnsi="Arial"/>
                <w:sz w:val="16"/>
                <w:szCs w:val="16"/>
                <w:b w:val="1"/>
                <w:bCs w:val="1"/>
                <w:color w:val="auto"/>
                <w:w w:val="96"/>
              </w:rPr>
              <w:t>Securities registered pursuant to Section 12(g) of the Act:</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4"/>
              </w:rPr>
              <w:t>None</w:t>
            </w:r>
          </w:p>
        </w:tc>
        <w:tc>
          <w:tcPr>
            <w:tcW w:w="1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vMerge w:val="restart"/>
          </w:tcPr>
          <w:p>
            <w:pPr>
              <w:ind w:left="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40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51"/>
        </w:trPr>
        <w:tc>
          <w:tcPr>
            <w:tcW w:w="8140" w:type="dxa"/>
            <w:vAlign w:val="bottom"/>
            <w:gridSpan w:val="4"/>
          </w:tcPr>
          <w:p>
            <w:pPr>
              <w:spacing w:after="0"/>
              <w:rPr>
                <w:sz w:val="20"/>
                <w:szCs w:val="20"/>
                <w:color w:val="auto"/>
              </w:rPr>
            </w:pPr>
            <w:r>
              <w:rPr>
                <w:rFonts w:ascii="Arial" w:cs="Arial" w:eastAsia="Arial" w:hAnsi="Arial"/>
                <w:sz w:val="16"/>
                <w:szCs w:val="16"/>
                <w:color w:val="auto"/>
                <w:w w:val="98"/>
              </w:rPr>
              <w:t>Indicate by check mark if the registrant is a well-known seasoned issuer, as defined in Rule 405 of the Securities Act.</w:t>
            </w:r>
          </w:p>
        </w:tc>
        <w:tc>
          <w:tcPr>
            <w:tcW w:w="92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140" w:type="dxa"/>
            <w:vAlign w:val="bottom"/>
            <w:gridSpan w:val="4"/>
          </w:tcPr>
          <w:p>
            <w:pPr>
              <w:spacing w:after="0"/>
              <w:rPr>
                <w:sz w:val="20"/>
                <w:szCs w:val="20"/>
                <w:color w:val="auto"/>
              </w:rPr>
            </w:pPr>
            <w:r>
              <w:rPr>
                <w:rFonts w:ascii="Arial" w:cs="Arial" w:eastAsia="Arial" w:hAnsi="Arial"/>
                <w:sz w:val="16"/>
                <w:szCs w:val="16"/>
                <w:color w:val="auto"/>
                <w:w w:val="97"/>
              </w:rPr>
              <w:t>Indicate by check mark if the registrant is not required to file reports pursuant to Section 13 or Section 15(d) of the Act.</w:t>
            </w:r>
          </w:p>
        </w:tc>
        <w:tc>
          <w:tcPr>
            <w:tcW w:w="92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4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jc w:val="both"/>
        <w:ind w:left="2"/>
        <w:spacing w:after="0" w:line="19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left="2"/>
        <w:spacing w:after="0" w:line="19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left="2"/>
        <w:spacing w:after="0" w:line="19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left="2"/>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2"/>
          </w:cols>
          <w:pgMar w:left="238" w:top="950" w:right="239" w:bottom="1440" w:gutter="0" w:footer="0" w:header="0"/>
        </w:sectPr>
      </w:pPr>
    </w:p>
    <w:p>
      <w:pPr>
        <w:spacing w:after="0" w:line="167" w:lineRule="exact"/>
        <w:rPr>
          <w:sz w:val="24"/>
          <w:szCs w:val="24"/>
          <w:color w:val="auto"/>
        </w:rPr>
      </w:pPr>
    </w:p>
    <w:p>
      <w:pPr>
        <w:ind w:left="22"/>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4">
            <w:col w:w="1562" w:space="640"/>
            <w:col w:w="5460" w:space="720"/>
            <w:col w:w="1900" w:space="720"/>
            <w:col w:w="420"/>
          </w:cols>
          <w:pgMar w:left="238" w:top="950" w:right="239" w:bottom="1440" w:gutter="0" w:footer="0" w:header="0"/>
          <w:type w:val="continuous"/>
        </w:sectPr>
      </w:pPr>
    </w:p>
    <w:p>
      <w:pPr>
        <w:spacing w:after="0" w:line="52" w:lineRule="exact"/>
        <w:rPr>
          <w:sz w:val="24"/>
          <w:szCs w:val="24"/>
          <w:color w:val="auto"/>
        </w:rPr>
      </w:pPr>
    </w:p>
    <w:p>
      <w:pPr>
        <w:ind w:left="22"/>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5">
            <w:col w:w="1482" w:space="720"/>
            <w:col w:w="140" w:space="200"/>
            <w:col w:w="5120" w:space="720"/>
            <w:col w:w="1900" w:space="720"/>
            <w:col w:w="420"/>
          </w:cols>
          <w:pgMar w:left="238" w:top="950" w:right="239" w:bottom="1440" w:gutter="0" w:footer="0" w:header="0"/>
          <w:type w:val="continuous"/>
        </w:sectPr>
      </w:pPr>
    </w:p>
    <w:p>
      <w:pPr>
        <w:spacing w:after="0" w:line="40" w:lineRule="exact"/>
        <w:rPr>
          <w:sz w:val="24"/>
          <w:szCs w:val="24"/>
          <w:color w:val="auto"/>
        </w:rPr>
      </w:pPr>
    </w:p>
    <w:p>
      <w:pPr>
        <w:ind w:left="2"/>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4">
            <w:col w:w="7762" w:space="160"/>
            <w:col w:w="260" w:space="80"/>
            <w:col w:w="140" w:space="140"/>
            <w:col w:w="2880"/>
          </w:cols>
          <w:pgMar w:left="238" w:top="950" w:right="239" w:bottom="1440" w:gutter="0" w:footer="0" w:header="0"/>
          <w:type w:val="continuous"/>
        </w:sectPr>
      </w:pPr>
    </w:p>
    <w:p>
      <w:pPr>
        <w:ind w:left="2"/>
        <w:spacing w:after="0" w:line="243" w:lineRule="auto"/>
        <w:rPr>
          <w:sz w:val="20"/>
          <w:szCs w:val="20"/>
          <w:color w:val="auto"/>
        </w:rPr>
      </w:pPr>
      <w:r>
        <w:rPr>
          <w:rFonts w:ascii="Arial" w:cs="Arial" w:eastAsia="Arial" w:hAnsi="Arial"/>
          <w:sz w:val="16"/>
          <w:szCs w:val="16"/>
          <w:color w:val="auto"/>
        </w:rPr>
        <w:t>The aggregate market value of the registrant’s common stock held by non-affiliates, as of June 30, 2016, was $5,557,932,591. As of February 13, 2017, there were 277,129,005 shares of the registrant’s common stock outstanding.</w:t>
      </w:r>
    </w:p>
    <w:p>
      <w:pPr>
        <w:spacing w:after="0" w:line="176"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left="2" w:right="100"/>
        <w:spacing w:after="0" w:line="243" w:lineRule="auto"/>
        <w:rPr>
          <w:sz w:val="20"/>
          <w:szCs w:val="20"/>
          <w:color w:val="auto"/>
        </w:rPr>
      </w:pPr>
      <w:r>
        <w:rPr>
          <w:rFonts w:ascii="Arial" w:cs="Arial" w:eastAsia="Arial" w:hAnsi="Arial"/>
          <w:sz w:val="16"/>
          <w:szCs w:val="16"/>
          <w:color w:val="auto"/>
        </w:rPr>
        <w:t>Portions of the registrant’s definitive proxy statement relating to its 2017 annual meeting of stockholders to be held on May 24, 2017,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593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2593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ectPr>
          <w:pgSz w:w="11900" w:h="16838" w:orient="portrait"/>
          <w:cols w:equalWidth="0" w:num="1">
            <w:col w:w="11422"/>
          </w:cols>
          <w:pgMar w:left="238" w:top="95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gridSpan w:val="8"/>
          </w:tcPr>
          <w:p>
            <w:pPr>
              <w:ind w:left="580"/>
              <w:spacing w:after="0"/>
              <w:rPr>
                <w:sz w:val="20"/>
                <w:szCs w:val="20"/>
                <w:color w:val="auto"/>
              </w:rPr>
            </w:pPr>
            <w:r>
              <w:rPr>
                <w:rFonts w:ascii="Arial" w:cs="Arial" w:eastAsia="Arial" w:hAnsi="Arial"/>
                <w:sz w:val="16"/>
                <w:szCs w:val="16"/>
                <w:b w:val="1"/>
                <w:bCs w:val="1"/>
                <w:color w:val="auto"/>
              </w:rPr>
              <w:t>Table of Contents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08"/>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b w:val="1"/>
                <w:bCs w:val="1"/>
                <w:color w:val="auto"/>
              </w:rPr>
              <w:t>Page</w:t>
            </w:r>
          </w:p>
        </w:tc>
      </w:tr>
      <w:tr>
        <w:trPr>
          <w:trHeight w:val="159"/>
        </w:trPr>
        <w:tc>
          <w:tcPr>
            <w:tcW w:w="480" w:type="dxa"/>
            <w:vAlign w:val="bottom"/>
            <w:tcBorders>
              <w:bottom w:val="single" w:sz="8" w:color="0000EE"/>
            </w:tcBorders>
          </w:tcPr>
          <w:p>
            <w:pPr>
              <w:spacing w:after="0" w:line="159" w:lineRule="exact"/>
              <w:rPr>
                <w:rFonts w:ascii="Arial" w:cs="Arial" w:eastAsia="Arial" w:hAnsi="Arial"/>
                <w:sz w:val="15"/>
                <w:szCs w:val="15"/>
                <w:b w:val="1"/>
                <w:bCs w:val="1"/>
                <w:color w:val="0000EE"/>
                <w:w w:val="93"/>
              </w:rPr>
            </w:pPr>
            <w:hyperlink w:anchor="page3">
              <w:r>
                <w:rPr>
                  <w:rFonts w:ascii="Arial" w:cs="Arial" w:eastAsia="Arial" w:hAnsi="Arial"/>
                  <w:sz w:val="15"/>
                  <w:szCs w:val="15"/>
                  <w:b w:val="1"/>
                  <w:bCs w:val="1"/>
                  <w:color w:val="0000EE"/>
                  <w:w w:val="93"/>
                </w:rPr>
                <w:t>PART I</w:t>
              </w:r>
            </w:hyperlink>
          </w:p>
        </w:tc>
        <w:tc>
          <w:tcPr>
            <w:tcW w:w="900" w:type="dxa"/>
            <w:vAlign w:val="bottom"/>
            <w:gridSpan w:val="4"/>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3"/>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w:t>
            </w:r>
          </w:p>
        </w:tc>
        <w:tc>
          <w:tcPr>
            <w:tcW w:w="600" w:type="dxa"/>
            <w:vAlign w:val="bottom"/>
          </w:tcPr>
          <w:p>
            <w:pPr>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Business</w:t>
              </w:r>
            </w:hyperlink>
          </w:p>
        </w:tc>
        <w:tc>
          <w:tcPr>
            <w:tcW w:w="8760" w:type="dxa"/>
            <w:vAlign w:val="bottom"/>
            <w:gridSpan w:val="20"/>
          </w:tcPr>
          <w:p>
            <w:pPr>
              <w:spacing w:after="0"/>
              <w:rPr>
                <w:sz w:val="18"/>
                <w:szCs w:val="18"/>
                <w:color w:val="auto"/>
              </w:rPr>
            </w:pPr>
          </w:p>
        </w:tc>
        <w:tc>
          <w:tcPr>
            <w:tcW w:w="560" w:type="dxa"/>
            <w:vAlign w:val="bottom"/>
            <w:gridSpan w:val="3"/>
          </w:tcPr>
          <w:p>
            <w:pPr>
              <w:spacing w:after="0"/>
              <w:rPr>
                <w:sz w:val="18"/>
                <w:szCs w:val="18"/>
                <w:color w:val="auto"/>
              </w:rPr>
            </w:pPr>
          </w:p>
        </w:tc>
        <w:tc>
          <w:tcPr>
            <w:tcW w:w="100" w:type="dxa"/>
            <w:vAlign w:val="bottom"/>
            <w:gridSpan w:val="2"/>
          </w:tcPr>
          <w:p>
            <w:pPr>
              <w:jc w:val="right"/>
              <w:ind w:right="20"/>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1</w:t>
              </w:r>
            </w:hyperlink>
          </w:p>
        </w:tc>
      </w:tr>
      <w:tr>
        <w:trPr>
          <w:trHeight w:val="20"/>
        </w:trPr>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1A.</w:t>
            </w:r>
          </w:p>
        </w:tc>
        <w:tc>
          <w:tcPr>
            <w:tcW w:w="820" w:type="dxa"/>
            <w:vAlign w:val="bottom"/>
            <w:gridSpan w:val="3"/>
          </w:tcPr>
          <w:p>
            <w:pPr>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Risk Factors</w:t>
              </w:r>
            </w:hyperlink>
          </w:p>
        </w:tc>
        <w:tc>
          <w:tcPr>
            <w:tcW w:w="8540" w:type="dxa"/>
            <w:vAlign w:val="bottom"/>
            <w:gridSpan w:val="18"/>
          </w:tcPr>
          <w:p>
            <w:pPr>
              <w:spacing w:after="0"/>
              <w:rPr>
                <w:sz w:val="17"/>
                <w:szCs w:val="17"/>
                <w:color w:val="auto"/>
              </w:rPr>
            </w:pPr>
          </w:p>
        </w:tc>
        <w:tc>
          <w:tcPr>
            <w:tcW w:w="560" w:type="dxa"/>
            <w:vAlign w:val="bottom"/>
            <w:gridSpan w:val="3"/>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4</w:t>
              </w:r>
            </w:hyperlink>
          </w:p>
        </w:tc>
      </w:tr>
      <w:tr>
        <w:trPr>
          <w:trHeight w:val="20"/>
        </w:trPr>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1B.</w:t>
            </w:r>
          </w:p>
        </w:tc>
        <w:tc>
          <w:tcPr>
            <w:tcW w:w="1840" w:type="dxa"/>
            <w:vAlign w:val="bottom"/>
            <w:gridSpan w:val="10"/>
          </w:tcPr>
          <w:p>
            <w:pPr>
              <w:spacing w:after="0"/>
              <w:rPr>
                <w:rFonts w:ascii="Arial" w:cs="Arial" w:eastAsia="Arial" w:hAnsi="Arial"/>
                <w:sz w:val="15"/>
                <w:szCs w:val="15"/>
                <w:color w:val="0000EE"/>
                <w:w w:val="97"/>
              </w:rPr>
            </w:pPr>
            <w:hyperlink w:anchor="page23">
              <w:r>
                <w:rPr>
                  <w:rFonts w:ascii="Arial" w:cs="Arial" w:eastAsia="Arial" w:hAnsi="Arial"/>
                  <w:sz w:val="15"/>
                  <w:szCs w:val="15"/>
                  <w:color w:val="0000EE"/>
                  <w:w w:val="97"/>
                </w:rPr>
                <w:t>Unresolved Staff Comments</w:t>
              </w:r>
            </w:hyperlink>
          </w:p>
        </w:tc>
        <w:tc>
          <w:tcPr>
            <w:tcW w:w="7520" w:type="dxa"/>
            <w:vAlign w:val="bottom"/>
            <w:gridSpan w:val="11"/>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5"/>
                <w:szCs w:val="15"/>
                <w:color w:val="0000EE"/>
                <w:w w:val="83"/>
              </w:rPr>
            </w:pPr>
            <w:hyperlink w:anchor="page23">
              <w:r>
                <w:rPr>
                  <w:rFonts w:ascii="Arial" w:cs="Arial" w:eastAsia="Arial" w:hAnsi="Arial"/>
                  <w:sz w:val="15"/>
                  <w:szCs w:val="15"/>
                  <w:color w:val="0000EE"/>
                  <w:w w:val="83"/>
                </w:rPr>
                <w:t>21</w:t>
              </w:r>
            </w:hyperlink>
          </w:p>
        </w:tc>
      </w:tr>
      <w:tr>
        <w:trPr>
          <w:trHeight w:val="20"/>
        </w:trPr>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2.</w:t>
            </w:r>
          </w:p>
        </w:tc>
        <w:tc>
          <w:tcPr>
            <w:tcW w:w="1840" w:type="dxa"/>
            <w:vAlign w:val="bottom"/>
            <w:gridSpan w:val="10"/>
          </w:tcPr>
          <w:p>
            <w:pPr>
              <w:spacing w:after="0"/>
              <w:rPr>
                <w:rFonts w:ascii="Arial" w:cs="Arial" w:eastAsia="Arial" w:hAnsi="Arial"/>
                <w:sz w:val="15"/>
                <w:szCs w:val="15"/>
                <w:color w:val="0000EE"/>
              </w:rPr>
            </w:pPr>
            <w:hyperlink w:anchor="page23">
              <w:r>
                <w:rPr>
                  <w:rFonts w:ascii="Arial" w:cs="Arial" w:eastAsia="Arial" w:hAnsi="Arial"/>
                  <w:sz w:val="15"/>
                  <w:szCs w:val="15"/>
                  <w:color w:val="0000EE"/>
                </w:rPr>
                <w:t>Properties</w:t>
              </w:r>
            </w:hyperlink>
          </w:p>
        </w:tc>
        <w:tc>
          <w:tcPr>
            <w:tcW w:w="7520" w:type="dxa"/>
            <w:vAlign w:val="bottom"/>
            <w:gridSpan w:val="11"/>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5"/>
                <w:szCs w:val="15"/>
                <w:color w:val="0000EE"/>
                <w:w w:val="83"/>
              </w:rPr>
            </w:pPr>
            <w:hyperlink w:anchor="page23">
              <w:r>
                <w:rPr>
                  <w:rFonts w:ascii="Arial" w:cs="Arial" w:eastAsia="Arial" w:hAnsi="Arial"/>
                  <w:sz w:val="15"/>
                  <w:szCs w:val="15"/>
                  <w:color w:val="0000EE"/>
                  <w:w w:val="83"/>
                </w:rPr>
                <w:t>21</w:t>
              </w:r>
            </w:hyperlink>
          </w:p>
        </w:tc>
      </w:tr>
      <w:tr>
        <w:trPr>
          <w:trHeight w:val="20"/>
        </w:trPr>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3.</w:t>
            </w:r>
          </w:p>
        </w:tc>
        <w:tc>
          <w:tcPr>
            <w:tcW w:w="1220" w:type="dxa"/>
            <w:vAlign w:val="bottom"/>
            <w:gridSpan w:val="5"/>
          </w:tcPr>
          <w:p>
            <w:pPr>
              <w:spacing w:after="0"/>
              <w:rPr>
                <w:rFonts w:ascii="Arial" w:cs="Arial" w:eastAsia="Arial" w:hAnsi="Arial"/>
                <w:sz w:val="15"/>
                <w:szCs w:val="15"/>
                <w:color w:val="0000EE"/>
                <w:w w:val="96"/>
              </w:rPr>
            </w:pPr>
            <w:hyperlink w:anchor="page23">
              <w:r>
                <w:rPr>
                  <w:rFonts w:ascii="Arial" w:cs="Arial" w:eastAsia="Arial" w:hAnsi="Arial"/>
                  <w:sz w:val="15"/>
                  <w:szCs w:val="15"/>
                  <w:color w:val="0000EE"/>
                  <w:w w:val="96"/>
                </w:rPr>
                <w:t>Legal Proceedings</w:t>
              </w:r>
            </w:hyperlink>
          </w:p>
        </w:tc>
        <w:tc>
          <w:tcPr>
            <w:tcW w:w="8140" w:type="dxa"/>
            <w:vAlign w:val="bottom"/>
            <w:gridSpan w:val="1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5"/>
                <w:szCs w:val="15"/>
                <w:color w:val="0000EE"/>
                <w:w w:val="83"/>
              </w:rPr>
            </w:pPr>
            <w:hyperlink w:anchor="page23">
              <w:r>
                <w:rPr>
                  <w:rFonts w:ascii="Arial" w:cs="Arial" w:eastAsia="Arial" w:hAnsi="Arial"/>
                  <w:sz w:val="15"/>
                  <w:szCs w:val="15"/>
                  <w:color w:val="0000EE"/>
                  <w:w w:val="83"/>
                </w:rPr>
                <w:t>21</w:t>
              </w:r>
            </w:hyperlink>
          </w:p>
        </w:tc>
      </w:tr>
      <w:tr>
        <w:trPr>
          <w:trHeight w:val="20"/>
        </w:trPr>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4.</w:t>
            </w:r>
          </w:p>
        </w:tc>
        <w:tc>
          <w:tcPr>
            <w:tcW w:w="9360" w:type="dxa"/>
            <w:vAlign w:val="bottom"/>
            <w:gridSpan w:val="21"/>
          </w:tcPr>
          <w:p>
            <w:pPr>
              <w:spacing w:after="0"/>
              <w:rPr>
                <w:rFonts w:ascii="Arial" w:cs="Arial" w:eastAsia="Arial" w:hAnsi="Arial"/>
                <w:sz w:val="15"/>
                <w:szCs w:val="15"/>
                <w:color w:val="0000EE"/>
              </w:rPr>
            </w:pPr>
            <w:hyperlink w:anchor="page26">
              <w:r>
                <w:rPr>
                  <w:rFonts w:ascii="Arial" w:cs="Arial" w:eastAsia="Arial" w:hAnsi="Arial"/>
                  <w:sz w:val="15"/>
                  <w:szCs w:val="15"/>
                  <w:color w:val="0000EE"/>
                </w:rPr>
                <w:t>Mine Safety Disclosures</w:t>
              </w:r>
            </w:hyperlink>
          </w:p>
        </w:tc>
        <w:tc>
          <w:tcPr>
            <w:tcW w:w="660" w:type="dxa"/>
            <w:vAlign w:val="bottom"/>
            <w:gridSpan w:val="5"/>
          </w:tcPr>
          <w:p>
            <w:pPr>
              <w:jc w:val="right"/>
              <w:ind w:right="20"/>
              <w:spacing w:after="0"/>
              <w:rPr>
                <w:rFonts w:ascii="Arial" w:cs="Arial" w:eastAsia="Arial" w:hAnsi="Arial"/>
                <w:sz w:val="15"/>
                <w:szCs w:val="15"/>
                <w:color w:val="0000EE"/>
              </w:rPr>
            </w:pPr>
            <w:hyperlink w:anchor="page26">
              <w:r>
                <w:rPr>
                  <w:rFonts w:ascii="Arial" w:cs="Arial" w:eastAsia="Arial" w:hAnsi="Arial"/>
                  <w:sz w:val="15"/>
                  <w:szCs w:val="15"/>
                  <w:color w:val="0000EE"/>
                </w:rPr>
                <w:t>24</w:t>
              </w:r>
            </w:hyperlink>
          </w:p>
        </w:tc>
      </w:tr>
      <w:tr>
        <w:trPr>
          <w:trHeight w:val="422"/>
        </w:trPr>
        <w:tc>
          <w:tcPr>
            <w:tcW w:w="520" w:type="dxa"/>
            <w:vAlign w:val="bottom"/>
            <w:tcBorders>
              <w:bottom w:val="single" w:sz="8" w:color="0000EE"/>
            </w:tcBorders>
            <w:gridSpan w:val="2"/>
          </w:tcPr>
          <w:p>
            <w:pPr>
              <w:spacing w:after="0"/>
              <w:rPr>
                <w:rFonts w:ascii="Arial" w:cs="Arial" w:eastAsia="Arial" w:hAnsi="Arial"/>
                <w:sz w:val="15"/>
                <w:szCs w:val="15"/>
                <w:b w:val="1"/>
                <w:bCs w:val="1"/>
                <w:color w:val="0000EE"/>
                <w:w w:val="93"/>
              </w:rPr>
            </w:pPr>
            <w:hyperlink w:anchor="page29">
              <w:r>
                <w:rPr>
                  <w:rFonts w:ascii="Arial" w:cs="Arial" w:eastAsia="Arial" w:hAnsi="Arial"/>
                  <w:sz w:val="15"/>
                  <w:szCs w:val="15"/>
                  <w:b w:val="1"/>
                  <w:bCs w:val="1"/>
                  <w:color w:val="0000EE"/>
                  <w:w w:val="93"/>
                </w:rPr>
                <w:t>PART II</w:t>
              </w:r>
            </w:hyperlink>
          </w:p>
        </w:tc>
        <w:tc>
          <w:tcPr>
            <w:tcW w:w="860" w:type="dxa"/>
            <w:vAlign w:val="bottom"/>
            <w:gridSpan w:val="3"/>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5.</w:t>
            </w:r>
          </w:p>
        </w:tc>
        <w:tc>
          <w:tcPr>
            <w:tcW w:w="7260" w:type="dxa"/>
            <w:vAlign w:val="bottom"/>
            <w:gridSpan w:val="20"/>
          </w:tcPr>
          <w:p>
            <w:pPr>
              <w:spacing w:after="0"/>
              <w:rPr>
                <w:rFonts w:ascii="Arial" w:cs="Arial" w:eastAsia="Arial" w:hAnsi="Arial"/>
                <w:sz w:val="15"/>
                <w:szCs w:val="15"/>
                <w:color w:val="0000EE"/>
                <w:w w:val="97"/>
              </w:rPr>
            </w:pPr>
            <w:hyperlink w:anchor="page29">
              <w:r>
                <w:rPr>
                  <w:rFonts w:ascii="Arial" w:cs="Arial" w:eastAsia="Arial" w:hAnsi="Arial"/>
                  <w:sz w:val="15"/>
                  <w:szCs w:val="15"/>
                  <w:color w:val="0000EE"/>
                  <w:w w:val="97"/>
                </w:rPr>
                <w:t>Market for Registrant’s Common Equity, Related Stockholder Matters and Issuer Purchases of Equity Securities</w:t>
              </w:r>
            </w:hyperlink>
          </w:p>
        </w:tc>
        <w:tc>
          <w:tcPr>
            <w:tcW w:w="21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5"/>
                <w:szCs w:val="15"/>
                <w:color w:val="0000EE"/>
                <w:w w:val="83"/>
              </w:rPr>
            </w:pPr>
            <w:hyperlink w:anchor="page29">
              <w:r>
                <w:rPr>
                  <w:rFonts w:ascii="Arial" w:cs="Arial" w:eastAsia="Arial" w:hAnsi="Arial"/>
                  <w:sz w:val="15"/>
                  <w:szCs w:val="15"/>
                  <w:color w:val="0000EE"/>
                  <w:w w:val="83"/>
                </w:rPr>
                <w:t>27</w:t>
              </w:r>
            </w:hyperlink>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6.</w:t>
            </w:r>
          </w:p>
        </w:tc>
        <w:tc>
          <w:tcPr>
            <w:tcW w:w="1560" w:type="dxa"/>
            <w:vAlign w:val="bottom"/>
            <w:gridSpan w:val="7"/>
          </w:tcPr>
          <w:p>
            <w:pPr>
              <w:spacing w:after="0"/>
              <w:rPr>
                <w:rFonts w:ascii="Arial" w:cs="Arial" w:eastAsia="Arial" w:hAnsi="Arial"/>
                <w:sz w:val="15"/>
                <w:szCs w:val="15"/>
                <w:color w:val="0000EE"/>
                <w:w w:val="97"/>
              </w:rPr>
            </w:pPr>
            <w:hyperlink w:anchor="page31">
              <w:r>
                <w:rPr>
                  <w:rFonts w:ascii="Arial" w:cs="Arial" w:eastAsia="Arial" w:hAnsi="Arial"/>
                  <w:sz w:val="15"/>
                  <w:szCs w:val="15"/>
                  <w:color w:val="0000EE"/>
                  <w:w w:val="97"/>
                </w:rPr>
                <w:t>Selected Financial Data</w:t>
              </w:r>
            </w:hyperlink>
          </w:p>
        </w:tc>
        <w:tc>
          <w:tcPr>
            <w:tcW w:w="5700" w:type="dxa"/>
            <w:vAlign w:val="bottom"/>
            <w:gridSpan w:val="13"/>
          </w:tcPr>
          <w:p>
            <w:pPr>
              <w:spacing w:after="0"/>
              <w:rPr>
                <w:sz w:val="17"/>
                <w:szCs w:val="17"/>
                <w:color w:val="auto"/>
              </w:rPr>
            </w:pPr>
          </w:p>
        </w:tc>
        <w:tc>
          <w:tcPr>
            <w:tcW w:w="21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5"/>
                <w:szCs w:val="15"/>
                <w:color w:val="0000EE"/>
                <w:w w:val="83"/>
              </w:rPr>
            </w:pPr>
            <w:hyperlink w:anchor="page31">
              <w:r>
                <w:rPr>
                  <w:rFonts w:ascii="Arial" w:cs="Arial" w:eastAsia="Arial" w:hAnsi="Arial"/>
                  <w:sz w:val="15"/>
                  <w:szCs w:val="15"/>
                  <w:color w:val="0000EE"/>
                  <w:w w:val="83"/>
                </w:rPr>
                <w:t>29</w:t>
              </w:r>
            </w:hyperlink>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7.</w:t>
            </w:r>
          </w:p>
        </w:tc>
        <w:tc>
          <w:tcPr>
            <w:tcW w:w="9360" w:type="dxa"/>
            <w:vAlign w:val="bottom"/>
            <w:gridSpan w:val="21"/>
          </w:tcPr>
          <w:p>
            <w:pPr>
              <w:spacing w:after="0"/>
              <w:rPr>
                <w:rFonts w:ascii="Arial" w:cs="Arial" w:eastAsia="Arial" w:hAnsi="Arial"/>
                <w:sz w:val="15"/>
                <w:szCs w:val="15"/>
                <w:color w:val="0000EE"/>
              </w:rPr>
            </w:pPr>
            <w:hyperlink w:anchor="page38">
              <w:r>
                <w:rPr>
                  <w:rFonts w:ascii="Arial" w:cs="Arial" w:eastAsia="Arial" w:hAnsi="Arial"/>
                  <w:sz w:val="15"/>
                  <w:szCs w:val="15"/>
                  <w:color w:val="0000EE"/>
                </w:rPr>
                <w:t>Management’s Discussion and Analysis of Financial Condition and Results of Operations</w:t>
              </w:r>
            </w:hyperlink>
          </w:p>
        </w:tc>
        <w:tc>
          <w:tcPr>
            <w:tcW w:w="660" w:type="dxa"/>
            <w:vAlign w:val="bottom"/>
            <w:gridSpan w:val="5"/>
          </w:tcPr>
          <w:p>
            <w:pPr>
              <w:jc w:val="right"/>
              <w:ind w:right="20"/>
              <w:spacing w:after="0"/>
              <w:rPr>
                <w:rFonts w:ascii="Arial" w:cs="Arial" w:eastAsia="Arial" w:hAnsi="Arial"/>
                <w:sz w:val="15"/>
                <w:szCs w:val="15"/>
                <w:color w:val="0000EE"/>
              </w:rPr>
            </w:pPr>
            <w:hyperlink w:anchor="page38">
              <w:r>
                <w:rPr>
                  <w:rFonts w:ascii="Arial" w:cs="Arial" w:eastAsia="Arial" w:hAnsi="Arial"/>
                  <w:sz w:val="15"/>
                  <w:szCs w:val="15"/>
                  <w:color w:val="0000EE"/>
                </w:rPr>
                <w:t>36</w:t>
              </w:r>
            </w:hyperlink>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7A.</w:t>
            </w:r>
          </w:p>
        </w:tc>
        <w:tc>
          <w:tcPr>
            <w:tcW w:w="5780" w:type="dxa"/>
            <w:vAlign w:val="bottom"/>
            <w:gridSpan w:val="17"/>
          </w:tcPr>
          <w:p>
            <w:pPr>
              <w:spacing w:after="0"/>
              <w:rPr>
                <w:rFonts w:ascii="Arial" w:cs="Arial" w:eastAsia="Arial" w:hAnsi="Arial"/>
                <w:sz w:val="15"/>
                <w:szCs w:val="15"/>
                <w:color w:val="0000EE"/>
              </w:rPr>
            </w:pPr>
            <w:hyperlink w:anchor="page58">
              <w:r>
                <w:rPr>
                  <w:rFonts w:ascii="Arial" w:cs="Arial" w:eastAsia="Arial" w:hAnsi="Arial"/>
                  <w:sz w:val="15"/>
                  <w:szCs w:val="15"/>
                  <w:color w:val="0000EE"/>
                </w:rPr>
                <w:t>Quantitative and Qualitative Disclosures About Market Risk</w:t>
              </w:r>
            </w:hyperlink>
          </w:p>
        </w:tc>
        <w:tc>
          <w:tcPr>
            <w:tcW w:w="3580" w:type="dxa"/>
            <w:vAlign w:val="bottom"/>
            <w:gridSpan w:val="4"/>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5"/>
                <w:szCs w:val="15"/>
                <w:color w:val="0000EE"/>
                <w:w w:val="83"/>
              </w:rPr>
            </w:pPr>
            <w:hyperlink w:anchor="page58">
              <w:r>
                <w:rPr>
                  <w:rFonts w:ascii="Arial" w:cs="Arial" w:eastAsia="Arial" w:hAnsi="Arial"/>
                  <w:sz w:val="15"/>
                  <w:szCs w:val="15"/>
                  <w:color w:val="0000EE"/>
                  <w:w w:val="83"/>
                </w:rPr>
                <w:t>56</w:t>
              </w:r>
            </w:hyperlink>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8.</w:t>
            </w:r>
          </w:p>
        </w:tc>
        <w:tc>
          <w:tcPr>
            <w:tcW w:w="3040" w:type="dxa"/>
            <w:vAlign w:val="bottom"/>
            <w:gridSpan w:val="13"/>
          </w:tcPr>
          <w:p>
            <w:pPr>
              <w:spacing w:after="0"/>
              <w:rPr>
                <w:rFonts w:ascii="Arial" w:cs="Arial" w:eastAsia="Arial" w:hAnsi="Arial"/>
                <w:sz w:val="15"/>
                <w:szCs w:val="15"/>
                <w:color w:val="0000EE"/>
                <w:w w:val="97"/>
              </w:rPr>
            </w:pPr>
            <w:hyperlink w:anchor="page59">
              <w:r>
                <w:rPr>
                  <w:rFonts w:ascii="Arial" w:cs="Arial" w:eastAsia="Arial" w:hAnsi="Arial"/>
                  <w:sz w:val="15"/>
                  <w:szCs w:val="15"/>
                  <w:color w:val="0000EE"/>
                  <w:w w:val="97"/>
                </w:rPr>
                <w:t>Financial Statements and Supplementary Data</w:t>
              </w:r>
            </w:hyperlink>
          </w:p>
        </w:tc>
        <w:tc>
          <w:tcPr>
            <w:tcW w:w="800" w:type="dxa"/>
            <w:vAlign w:val="bottom"/>
            <w:gridSpan w:val="2"/>
          </w:tcPr>
          <w:p>
            <w:pPr>
              <w:spacing w:after="0"/>
              <w:rPr>
                <w:sz w:val="17"/>
                <w:szCs w:val="17"/>
                <w:color w:val="auto"/>
              </w:rPr>
            </w:pPr>
          </w:p>
        </w:tc>
        <w:tc>
          <w:tcPr>
            <w:tcW w:w="5520" w:type="dxa"/>
            <w:vAlign w:val="bottom"/>
            <w:gridSpan w:val="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5"/>
                <w:szCs w:val="15"/>
                <w:color w:val="0000EE"/>
                <w:w w:val="83"/>
              </w:rPr>
            </w:pPr>
            <w:hyperlink w:anchor="page59">
              <w:r>
                <w:rPr>
                  <w:rFonts w:ascii="Arial" w:cs="Arial" w:eastAsia="Arial" w:hAnsi="Arial"/>
                  <w:sz w:val="15"/>
                  <w:szCs w:val="15"/>
                  <w:color w:val="0000EE"/>
                  <w:w w:val="83"/>
                </w:rPr>
                <w:t>57</w:t>
              </w:r>
            </w:hyperlink>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9.</w:t>
            </w:r>
          </w:p>
        </w:tc>
        <w:tc>
          <w:tcPr>
            <w:tcW w:w="9360" w:type="dxa"/>
            <w:vAlign w:val="bottom"/>
            <w:gridSpan w:val="21"/>
          </w:tcPr>
          <w:p>
            <w:pPr>
              <w:spacing w:after="0"/>
              <w:rPr>
                <w:rFonts w:ascii="Arial" w:cs="Arial" w:eastAsia="Arial" w:hAnsi="Arial"/>
                <w:sz w:val="15"/>
                <w:szCs w:val="15"/>
                <w:color w:val="0000EE"/>
              </w:rPr>
            </w:pPr>
            <w:hyperlink w:anchor="page105">
              <w:r>
                <w:rPr>
                  <w:rFonts w:ascii="Arial" w:cs="Arial" w:eastAsia="Arial" w:hAnsi="Arial"/>
                  <w:sz w:val="15"/>
                  <w:szCs w:val="15"/>
                  <w:color w:val="0000EE"/>
                </w:rPr>
                <w:t>Changes in and Disagreements With Accountants on Accounting and Financial Disclosure</w:t>
              </w:r>
            </w:hyperlink>
          </w:p>
        </w:tc>
        <w:tc>
          <w:tcPr>
            <w:tcW w:w="660" w:type="dxa"/>
            <w:vAlign w:val="bottom"/>
            <w:gridSpan w:val="5"/>
          </w:tcPr>
          <w:p>
            <w:pPr>
              <w:jc w:val="right"/>
              <w:ind w:right="20"/>
              <w:spacing w:after="0"/>
              <w:rPr>
                <w:rFonts w:ascii="Arial" w:cs="Arial" w:eastAsia="Arial" w:hAnsi="Arial"/>
                <w:sz w:val="15"/>
                <w:szCs w:val="15"/>
                <w:color w:val="0000EE"/>
              </w:rPr>
            </w:pPr>
            <w:hyperlink w:anchor="page105">
              <w:r>
                <w:rPr>
                  <w:rFonts w:ascii="Arial" w:cs="Arial" w:eastAsia="Arial" w:hAnsi="Arial"/>
                  <w:sz w:val="15"/>
                  <w:szCs w:val="15"/>
                  <w:color w:val="0000EE"/>
                </w:rPr>
                <w:t>103</w:t>
              </w:r>
            </w:hyperlink>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9A.</w:t>
            </w:r>
          </w:p>
        </w:tc>
        <w:tc>
          <w:tcPr>
            <w:tcW w:w="5860" w:type="dxa"/>
            <w:vAlign w:val="bottom"/>
            <w:gridSpan w:val="18"/>
          </w:tcPr>
          <w:p>
            <w:pPr>
              <w:spacing w:after="0"/>
              <w:rPr>
                <w:rFonts w:ascii="Arial" w:cs="Arial" w:eastAsia="Arial" w:hAnsi="Arial"/>
                <w:sz w:val="15"/>
                <w:szCs w:val="15"/>
                <w:color w:val="0000EE"/>
              </w:rPr>
            </w:pPr>
            <w:hyperlink w:anchor="page105">
              <w:r>
                <w:rPr>
                  <w:rFonts w:ascii="Arial" w:cs="Arial" w:eastAsia="Arial" w:hAnsi="Arial"/>
                  <w:sz w:val="15"/>
                  <w:szCs w:val="15"/>
                  <w:color w:val="0000EE"/>
                </w:rPr>
                <w:t>Controls and Procedures</w:t>
              </w:r>
            </w:hyperlink>
          </w:p>
        </w:tc>
        <w:tc>
          <w:tcPr>
            <w:tcW w:w="3500" w:type="dxa"/>
            <w:vAlign w:val="bottom"/>
            <w:gridSpan w:val="3"/>
          </w:tcPr>
          <w:p>
            <w:pPr>
              <w:spacing w:after="0"/>
              <w:rPr>
                <w:sz w:val="17"/>
                <w:szCs w:val="17"/>
                <w:color w:val="auto"/>
              </w:rPr>
            </w:pPr>
          </w:p>
        </w:tc>
        <w:tc>
          <w:tcPr>
            <w:tcW w:w="660" w:type="dxa"/>
            <w:vAlign w:val="bottom"/>
            <w:gridSpan w:val="5"/>
          </w:tcPr>
          <w:p>
            <w:pPr>
              <w:jc w:val="right"/>
              <w:ind w:right="20"/>
              <w:spacing w:after="0"/>
              <w:rPr>
                <w:rFonts w:ascii="Arial" w:cs="Arial" w:eastAsia="Arial" w:hAnsi="Arial"/>
                <w:sz w:val="15"/>
                <w:szCs w:val="15"/>
                <w:color w:val="0000EE"/>
              </w:rPr>
            </w:pPr>
            <w:hyperlink w:anchor="page105">
              <w:r>
                <w:rPr>
                  <w:rFonts w:ascii="Arial" w:cs="Arial" w:eastAsia="Arial" w:hAnsi="Arial"/>
                  <w:sz w:val="15"/>
                  <w:szCs w:val="15"/>
                  <w:color w:val="0000EE"/>
                </w:rPr>
                <w:t>103</w:t>
              </w:r>
            </w:hyperlink>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9B.</w:t>
            </w:r>
          </w:p>
        </w:tc>
        <w:tc>
          <w:tcPr>
            <w:tcW w:w="1620" w:type="dxa"/>
            <w:vAlign w:val="bottom"/>
            <w:gridSpan w:val="9"/>
          </w:tcPr>
          <w:p>
            <w:pPr>
              <w:spacing w:after="0"/>
              <w:rPr>
                <w:rFonts w:ascii="Arial" w:cs="Arial" w:eastAsia="Arial" w:hAnsi="Arial"/>
                <w:sz w:val="15"/>
                <w:szCs w:val="15"/>
                <w:color w:val="0000EE"/>
              </w:rPr>
            </w:pPr>
            <w:hyperlink w:anchor="page106">
              <w:r>
                <w:rPr>
                  <w:rFonts w:ascii="Arial" w:cs="Arial" w:eastAsia="Arial" w:hAnsi="Arial"/>
                  <w:sz w:val="15"/>
                  <w:szCs w:val="15"/>
                  <w:color w:val="0000EE"/>
                </w:rPr>
                <w:t>Other Information</w:t>
              </w:r>
            </w:hyperlink>
          </w:p>
        </w:tc>
        <w:tc>
          <w:tcPr>
            <w:tcW w:w="7740" w:type="dxa"/>
            <w:vAlign w:val="bottom"/>
            <w:gridSpan w:val="12"/>
          </w:tcPr>
          <w:p>
            <w:pPr>
              <w:spacing w:after="0"/>
              <w:rPr>
                <w:sz w:val="17"/>
                <w:szCs w:val="17"/>
                <w:color w:val="auto"/>
              </w:rPr>
            </w:pPr>
          </w:p>
        </w:tc>
        <w:tc>
          <w:tcPr>
            <w:tcW w:w="660" w:type="dxa"/>
            <w:vAlign w:val="bottom"/>
            <w:gridSpan w:val="5"/>
          </w:tcPr>
          <w:p>
            <w:pPr>
              <w:jc w:val="right"/>
              <w:ind w:right="20"/>
              <w:spacing w:after="0"/>
              <w:rPr>
                <w:rFonts w:ascii="Arial" w:cs="Arial" w:eastAsia="Arial" w:hAnsi="Arial"/>
                <w:sz w:val="15"/>
                <w:szCs w:val="15"/>
                <w:color w:val="0000EE"/>
              </w:rPr>
            </w:pPr>
            <w:hyperlink w:anchor="page106">
              <w:r>
                <w:rPr>
                  <w:rFonts w:ascii="Arial" w:cs="Arial" w:eastAsia="Arial" w:hAnsi="Arial"/>
                  <w:sz w:val="15"/>
                  <w:szCs w:val="15"/>
                  <w:color w:val="0000EE"/>
                </w:rPr>
                <w:t>104</w:t>
              </w:r>
            </w:hyperlink>
          </w:p>
        </w:tc>
      </w:tr>
      <w:tr>
        <w:trPr>
          <w:trHeight w:val="422"/>
        </w:trPr>
        <w:tc>
          <w:tcPr>
            <w:tcW w:w="560" w:type="dxa"/>
            <w:vAlign w:val="bottom"/>
            <w:tcBorders>
              <w:bottom w:val="single" w:sz="8" w:color="0000EE"/>
            </w:tcBorders>
            <w:gridSpan w:val="3"/>
          </w:tcPr>
          <w:p>
            <w:pPr>
              <w:spacing w:after="0"/>
              <w:rPr>
                <w:rFonts w:ascii="Arial" w:cs="Arial" w:eastAsia="Arial" w:hAnsi="Arial"/>
                <w:sz w:val="15"/>
                <w:szCs w:val="15"/>
                <w:b w:val="1"/>
                <w:bCs w:val="1"/>
                <w:color w:val="0000EE"/>
                <w:w w:val="93"/>
              </w:rPr>
            </w:pPr>
            <w:hyperlink w:anchor="page106">
              <w:r>
                <w:rPr>
                  <w:rFonts w:ascii="Arial" w:cs="Arial" w:eastAsia="Arial" w:hAnsi="Arial"/>
                  <w:sz w:val="15"/>
                  <w:szCs w:val="15"/>
                  <w:b w:val="1"/>
                  <w:bCs w:val="1"/>
                  <w:color w:val="0000EE"/>
                  <w:w w:val="93"/>
                </w:rPr>
                <w:t>PART III</w:t>
              </w:r>
            </w:hyperlink>
          </w:p>
        </w:tc>
        <w:tc>
          <w:tcPr>
            <w:tcW w:w="82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10.</w:t>
            </w:r>
          </w:p>
        </w:tc>
        <w:tc>
          <w:tcPr>
            <w:tcW w:w="3680" w:type="dxa"/>
            <w:vAlign w:val="bottom"/>
            <w:gridSpan w:val="14"/>
          </w:tcPr>
          <w:p>
            <w:pPr>
              <w:spacing w:after="0"/>
              <w:rPr>
                <w:rFonts w:ascii="Arial" w:cs="Arial" w:eastAsia="Arial" w:hAnsi="Arial"/>
                <w:sz w:val="15"/>
                <w:szCs w:val="15"/>
                <w:color w:val="0000EE"/>
                <w:w w:val="97"/>
              </w:rPr>
            </w:pPr>
            <w:hyperlink w:anchor="page106">
              <w:r>
                <w:rPr>
                  <w:rFonts w:ascii="Arial" w:cs="Arial" w:eastAsia="Arial" w:hAnsi="Arial"/>
                  <w:sz w:val="15"/>
                  <w:szCs w:val="15"/>
                  <w:color w:val="0000EE"/>
                  <w:w w:val="97"/>
                </w:rPr>
                <w:t>Directors, Executive Officers and Corporate Governance</w:t>
              </w:r>
            </w:hyperlink>
          </w:p>
        </w:tc>
        <w:tc>
          <w:tcPr>
            <w:tcW w:w="5680" w:type="dxa"/>
            <w:vAlign w:val="bottom"/>
            <w:gridSpan w:val="7"/>
          </w:tcPr>
          <w:p>
            <w:pPr>
              <w:spacing w:after="0"/>
              <w:rPr>
                <w:sz w:val="17"/>
                <w:szCs w:val="17"/>
                <w:color w:val="auto"/>
              </w:rPr>
            </w:pPr>
          </w:p>
        </w:tc>
        <w:tc>
          <w:tcPr>
            <w:tcW w:w="660" w:type="dxa"/>
            <w:vAlign w:val="bottom"/>
            <w:gridSpan w:val="5"/>
          </w:tcPr>
          <w:p>
            <w:pPr>
              <w:jc w:val="right"/>
              <w:ind w:right="20"/>
              <w:spacing w:after="0"/>
              <w:rPr>
                <w:rFonts w:ascii="Arial" w:cs="Arial" w:eastAsia="Arial" w:hAnsi="Arial"/>
                <w:sz w:val="15"/>
                <w:szCs w:val="15"/>
                <w:color w:val="0000EE"/>
              </w:rPr>
            </w:pPr>
            <w:hyperlink w:anchor="page106">
              <w:r>
                <w:rPr>
                  <w:rFonts w:ascii="Arial" w:cs="Arial" w:eastAsia="Arial" w:hAnsi="Arial"/>
                  <w:sz w:val="15"/>
                  <w:szCs w:val="15"/>
                  <w:color w:val="0000EE"/>
                </w:rPr>
                <w:t>104</w:t>
              </w:r>
            </w:hyperlink>
          </w:p>
        </w:tc>
      </w:tr>
      <w:tr>
        <w:trPr>
          <w:trHeight w:val="20"/>
        </w:trPr>
        <w:tc>
          <w:tcPr>
            <w:tcW w:w="5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11.</w:t>
            </w:r>
          </w:p>
        </w:tc>
        <w:tc>
          <w:tcPr>
            <w:tcW w:w="3680" w:type="dxa"/>
            <w:vAlign w:val="bottom"/>
            <w:gridSpan w:val="14"/>
          </w:tcPr>
          <w:p>
            <w:pPr>
              <w:spacing w:after="0"/>
              <w:rPr>
                <w:rFonts w:ascii="Arial" w:cs="Arial" w:eastAsia="Arial" w:hAnsi="Arial"/>
                <w:sz w:val="15"/>
                <w:szCs w:val="15"/>
                <w:color w:val="0000EE"/>
              </w:rPr>
            </w:pPr>
            <w:hyperlink w:anchor="page106">
              <w:r>
                <w:rPr>
                  <w:rFonts w:ascii="Arial" w:cs="Arial" w:eastAsia="Arial" w:hAnsi="Arial"/>
                  <w:sz w:val="15"/>
                  <w:szCs w:val="15"/>
                  <w:color w:val="0000EE"/>
                </w:rPr>
                <w:t>Executive Compensation</w:t>
              </w:r>
            </w:hyperlink>
          </w:p>
        </w:tc>
        <w:tc>
          <w:tcPr>
            <w:tcW w:w="5680" w:type="dxa"/>
            <w:vAlign w:val="bottom"/>
            <w:gridSpan w:val="7"/>
          </w:tcPr>
          <w:p>
            <w:pPr>
              <w:spacing w:after="0"/>
              <w:rPr>
                <w:sz w:val="17"/>
                <w:szCs w:val="17"/>
                <w:color w:val="auto"/>
              </w:rPr>
            </w:pPr>
          </w:p>
        </w:tc>
        <w:tc>
          <w:tcPr>
            <w:tcW w:w="660" w:type="dxa"/>
            <w:vAlign w:val="bottom"/>
            <w:gridSpan w:val="5"/>
          </w:tcPr>
          <w:p>
            <w:pPr>
              <w:jc w:val="right"/>
              <w:ind w:right="20"/>
              <w:spacing w:after="0"/>
              <w:rPr>
                <w:rFonts w:ascii="Arial" w:cs="Arial" w:eastAsia="Arial" w:hAnsi="Arial"/>
                <w:sz w:val="15"/>
                <w:szCs w:val="15"/>
                <w:color w:val="0000EE"/>
              </w:rPr>
            </w:pPr>
            <w:hyperlink w:anchor="page106">
              <w:r>
                <w:rPr>
                  <w:rFonts w:ascii="Arial" w:cs="Arial" w:eastAsia="Arial" w:hAnsi="Arial"/>
                  <w:sz w:val="15"/>
                  <w:szCs w:val="15"/>
                  <w:color w:val="0000EE"/>
                </w:rPr>
                <w:t>104</w:t>
              </w:r>
            </w:hyperlink>
          </w:p>
        </w:tc>
      </w:tr>
      <w:tr>
        <w:trPr>
          <w:trHeight w:val="20"/>
        </w:trPr>
        <w:tc>
          <w:tcPr>
            <w:tcW w:w="5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12.</w:t>
            </w:r>
          </w:p>
        </w:tc>
        <w:tc>
          <w:tcPr>
            <w:tcW w:w="9360" w:type="dxa"/>
            <w:vAlign w:val="bottom"/>
            <w:gridSpan w:val="21"/>
          </w:tcPr>
          <w:p>
            <w:pPr>
              <w:spacing w:after="0"/>
              <w:rPr>
                <w:rFonts w:ascii="Arial" w:cs="Arial" w:eastAsia="Arial" w:hAnsi="Arial"/>
                <w:sz w:val="15"/>
                <w:szCs w:val="15"/>
                <w:color w:val="0000EE"/>
              </w:rPr>
            </w:pPr>
            <w:hyperlink w:anchor="page107">
              <w:r>
                <w:rPr>
                  <w:rFonts w:ascii="Arial" w:cs="Arial" w:eastAsia="Arial" w:hAnsi="Arial"/>
                  <w:sz w:val="15"/>
                  <w:szCs w:val="15"/>
                  <w:color w:val="0000EE"/>
                </w:rPr>
                <w:t>Security Ownership of Certain Beneficial Owners and Management and Related Stockholder Matters</w:t>
              </w:r>
            </w:hyperlink>
          </w:p>
        </w:tc>
        <w:tc>
          <w:tcPr>
            <w:tcW w:w="660" w:type="dxa"/>
            <w:vAlign w:val="bottom"/>
            <w:gridSpan w:val="5"/>
          </w:tcPr>
          <w:p>
            <w:pPr>
              <w:jc w:val="right"/>
              <w:ind w:right="20"/>
              <w:spacing w:after="0"/>
              <w:rPr>
                <w:rFonts w:ascii="Arial" w:cs="Arial" w:eastAsia="Arial" w:hAnsi="Arial"/>
                <w:sz w:val="15"/>
                <w:szCs w:val="15"/>
                <w:color w:val="0000EE"/>
              </w:rPr>
            </w:pPr>
            <w:hyperlink w:anchor="page107">
              <w:r>
                <w:rPr>
                  <w:rFonts w:ascii="Arial" w:cs="Arial" w:eastAsia="Arial" w:hAnsi="Arial"/>
                  <w:sz w:val="15"/>
                  <w:szCs w:val="15"/>
                  <w:color w:val="0000EE"/>
                </w:rPr>
                <w:t>105</w:t>
              </w:r>
            </w:hyperlink>
          </w:p>
        </w:tc>
      </w:tr>
      <w:tr>
        <w:trPr>
          <w:trHeight w:val="20"/>
        </w:trPr>
        <w:tc>
          <w:tcPr>
            <w:tcW w:w="5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13.</w:t>
            </w:r>
          </w:p>
        </w:tc>
        <w:tc>
          <w:tcPr>
            <w:tcW w:w="6540" w:type="dxa"/>
            <w:vAlign w:val="bottom"/>
            <w:gridSpan w:val="19"/>
          </w:tcPr>
          <w:p>
            <w:pPr>
              <w:spacing w:after="0"/>
              <w:rPr>
                <w:rFonts w:ascii="Arial" w:cs="Arial" w:eastAsia="Arial" w:hAnsi="Arial"/>
                <w:sz w:val="15"/>
                <w:szCs w:val="15"/>
                <w:color w:val="0000EE"/>
              </w:rPr>
            </w:pPr>
            <w:hyperlink w:anchor="page107">
              <w:r>
                <w:rPr>
                  <w:rFonts w:ascii="Arial" w:cs="Arial" w:eastAsia="Arial" w:hAnsi="Arial"/>
                  <w:sz w:val="15"/>
                  <w:szCs w:val="15"/>
                  <w:color w:val="0000EE"/>
                </w:rPr>
                <w:t>Certain Relationships and Related Transactions, and Director Independence</w:t>
              </w:r>
            </w:hyperlink>
          </w:p>
        </w:tc>
        <w:tc>
          <w:tcPr>
            <w:tcW w:w="2820" w:type="dxa"/>
            <w:vAlign w:val="bottom"/>
            <w:gridSpan w:val="2"/>
          </w:tcPr>
          <w:p>
            <w:pPr>
              <w:spacing w:after="0"/>
              <w:rPr>
                <w:sz w:val="17"/>
                <w:szCs w:val="17"/>
                <w:color w:val="auto"/>
              </w:rPr>
            </w:pPr>
          </w:p>
        </w:tc>
        <w:tc>
          <w:tcPr>
            <w:tcW w:w="660" w:type="dxa"/>
            <w:vAlign w:val="bottom"/>
            <w:gridSpan w:val="5"/>
          </w:tcPr>
          <w:p>
            <w:pPr>
              <w:jc w:val="right"/>
              <w:ind w:right="20"/>
              <w:spacing w:after="0"/>
              <w:rPr>
                <w:rFonts w:ascii="Arial" w:cs="Arial" w:eastAsia="Arial" w:hAnsi="Arial"/>
                <w:sz w:val="15"/>
                <w:szCs w:val="15"/>
                <w:color w:val="0000EE"/>
              </w:rPr>
            </w:pPr>
            <w:hyperlink w:anchor="page107">
              <w:r>
                <w:rPr>
                  <w:rFonts w:ascii="Arial" w:cs="Arial" w:eastAsia="Arial" w:hAnsi="Arial"/>
                  <w:sz w:val="15"/>
                  <w:szCs w:val="15"/>
                  <w:color w:val="0000EE"/>
                </w:rPr>
                <w:t>105</w:t>
              </w:r>
            </w:hyperlink>
          </w:p>
        </w:tc>
      </w:tr>
      <w:tr>
        <w:trPr>
          <w:trHeight w:val="20"/>
        </w:trPr>
        <w:tc>
          <w:tcPr>
            <w:tcW w:w="5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14.</w:t>
            </w:r>
          </w:p>
        </w:tc>
        <w:tc>
          <w:tcPr>
            <w:tcW w:w="4960" w:type="dxa"/>
            <w:vAlign w:val="bottom"/>
            <w:gridSpan w:val="16"/>
          </w:tcPr>
          <w:p>
            <w:pPr>
              <w:spacing w:after="0"/>
              <w:rPr>
                <w:rFonts w:ascii="Arial" w:cs="Arial" w:eastAsia="Arial" w:hAnsi="Arial"/>
                <w:sz w:val="15"/>
                <w:szCs w:val="15"/>
                <w:color w:val="0000EE"/>
              </w:rPr>
            </w:pPr>
            <w:hyperlink w:anchor="page107">
              <w:r>
                <w:rPr>
                  <w:rFonts w:ascii="Arial" w:cs="Arial" w:eastAsia="Arial" w:hAnsi="Arial"/>
                  <w:sz w:val="15"/>
                  <w:szCs w:val="15"/>
                  <w:color w:val="0000EE"/>
                </w:rPr>
                <w:t>Principal Accounting Fees and Services</w:t>
              </w:r>
            </w:hyperlink>
          </w:p>
        </w:tc>
        <w:tc>
          <w:tcPr>
            <w:tcW w:w="4400" w:type="dxa"/>
            <w:vAlign w:val="bottom"/>
            <w:gridSpan w:val="5"/>
          </w:tcPr>
          <w:p>
            <w:pPr>
              <w:spacing w:after="0"/>
              <w:rPr>
                <w:sz w:val="17"/>
                <w:szCs w:val="17"/>
                <w:color w:val="auto"/>
              </w:rPr>
            </w:pPr>
          </w:p>
        </w:tc>
        <w:tc>
          <w:tcPr>
            <w:tcW w:w="660" w:type="dxa"/>
            <w:vAlign w:val="bottom"/>
            <w:gridSpan w:val="5"/>
          </w:tcPr>
          <w:p>
            <w:pPr>
              <w:jc w:val="right"/>
              <w:ind w:right="20"/>
              <w:spacing w:after="0"/>
              <w:rPr>
                <w:rFonts w:ascii="Arial" w:cs="Arial" w:eastAsia="Arial" w:hAnsi="Arial"/>
                <w:sz w:val="15"/>
                <w:szCs w:val="15"/>
                <w:color w:val="0000EE"/>
              </w:rPr>
            </w:pPr>
            <w:hyperlink w:anchor="page107">
              <w:r>
                <w:rPr>
                  <w:rFonts w:ascii="Arial" w:cs="Arial" w:eastAsia="Arial" w:hAnsi="Arial"/>
                  <w:sz w:val="15"/>
                  <w:szCs w:val="15"/>
                  <w:color w:val="0000EE"/>
                </w:rPr>
                <w:t>105</w:t>
              </w:r>
            </w:hyperlink>
          </w:p>
        </w:tc>
      </w:tr>
      <w:tr>
        <w:trPr>
          <w:trHeight w:val="422"/>
        </w:trPr>
        <w:tc>
          <w:tcPr>
            <w:tcW w:w="580" w:type="dxa"/>
            <w:vAlign w:val="bottom"/>
            <w:tcBorders>
              <w:bottom w:val="single" w:sz="8" w:color="0000EE"/>
            </w:tcBorders>
            <w:gridSpan w:val="4"/>
          </w:tcPr>
          <w:p>
            <w:pPr>
              <w:spacing w:after="0"/>
              <w:rPr>
                <w:rFonts w:ascii="Arial" w:cs="Arial" w:eastAsia="Arial" w:hAnsi="Arial"/>
                <w:sz w:val="15"/>
                <w:szCs w:val="15"/>
                <w:b w:val="1"/>
                <w:bCs w:val="1"/>
                <w:color w:val="0000EE"/>
                <w:w w:val="94"/>
              </w:rPr>
            </w:pPr>
            <w:hyperlink w:anchor="page108">
              <w:r>
                <w:rPr>
                  <w:rFonts w:ascii="Arial" w:cs="Arial" w:eastAsia="Arial" w:hAnsi="Arial"/>
                  <w:sz w:val="15"/>
                  <w:szCs w:val="15"/>
                  <w:b w:val="1"/>
                  <w:bCs w:val="1"/>
                  <w:color w:val="0000EE"/>
                  <w:w w:val="94"/>
                </w:rPr>
                <w:t>PART IV</w:t>
              </w:r>
            </w:hyperlink>
          </w:p>
        </w:tc>
        <w:tc>
          <w:tcPr>
            <w:tcW w:w="8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15.</w:t>
            </w:r>
          </w:p>
        </w:tc>
        <w:tc>
          <w:tcPr>
            <w:tcW w:w="9360" w:type="dxa"/>
            <w:vAlign w:val="bottom"/>
            <w:gridSpan w:val="21"/>
          </w:tcPr>
          <w:p>
            <w:pPr>
              <w:spacing w:after="0"/>
              <w:rPr>
                <w:rFonts w:ascii="Arial" w:cs="Arial" w:eastAsia="Arial" w:hAnsi="Arial"/>
                <w:sz w:val="15"/>
                <w:szCs w:val="15"/>
                <w:color w:val="0000EE"/>
              </w:rPr>
            </w:pPr>
            <w:hyperlink w:anchor="page108">
              <w:r>
                <w:rPr>
                  <w:rFonts w:ascii="Arial" w:cs="Arial" w:eastAsia="Arial" w:hAnsi="Arial"/>
                  <w:sz w:val="15"/>
                  <w:szCs w:val="15"/>
                  <w:color w:val="0000EE"/>
                </w:rPr>
                <w:t>Exhibits, Financial Statement Schedules</w:t>
              </w:r>
            </w:hyperlink>
          </w:p>
        </w:tc>
        <w:tc>
          <w:tcPr>
            <w:tcW w:w="660" w:type="dxa"/>
            <w:vAlign w:val="bottom"/>
            <w:gridSpan w:val="5"/>
          </w:tcPr>
          <w:p>
            <w:pPr>
              <w:jc w:val="right"/>
              <w:ind w:right="20"/>
              <w:spacing w:after="0"/>
              <w:rPr>
                <w:rFonts w:ascii="Arial" w:cs="Arial" w:eastAsia="Arial" w:hAnsi="Arial"/>
                <w:sz w:val="15"/>
                <w:szCs w:val="15"/>
                <w:color w:val="0000EE"/>
              </w:rPr>
            </w:pPr>
            <w:hyperlink w:anchor="page108">
              <w:r>
                <w:rPr>
                  <w:rFonts w:ascii="Arial" w:cs="Arial" w:eastAsia="Arial" w:hAnsi="Arial"/>
                  <w:sz w:val="15"/>
                  <w:szCs w:val="15"/>
                  <w:color w:val="0000EE"/>
                </w:rPr>
                <w:t>106</w:t>
              </w:r>
            </w:hyperlink>
          </w:p>
        </w:tc>
      </w:tr>
      <w:tr>
        <w:trPr>
          <w:trHeight w:val="20"/>
        </w:trPr>
        <w:tc>
          <w:tcPr>
            <w:tcW w:w="1380" w:type="dxa"/>
            <w:vAlign w:val="bottom"/>
            <w:gridSpan w:val="5"/>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380" w:type="dxa"/>
            <w:vAlign w:val="bottom"/>
            <w:gridSpan w:val="5"/>
          </w:tcPr>
          <w:p>
            <w:pPr>
              <w:ind w:left="120"/>
              <w:spacing w:after="0"/>
              <w:rPr>
                <w:sz w:val="20"/>
                <w:szCs w:val="20"/>
                <w:color w:val="auto"/>
              </w:rPr>
            </w:pPr>
            <w:r>
              <w:rPr>
                <w:rFonts w:ascii="Arial" w:cs="Arial" w:eastAsia="Arial" w:hAnsi="Arial"/>
                <w:sz w:val="15"/>
                <w:szCs w:val="15"/>
                <w:color w:val="auto"/>
              </w:rPr>
              <w:t>Item 16.</w:t>
            </w:r>
          </w:p>
        </w:tc>
        <w:tc>
          <w:tcPr>
            <w:tcW w:w="2620" w:type="dxa"/>
            <w:vAlign w:val="bottom"/>
            <w:gridSpan w:val="12"/>
          </w:tcPr>
          <w:p>
            <w:pPr>
              <w:spacing w:after="0"/>
              <w:rPr>
                <w:rFonts w:ascii="Arial" w:cs="Arial" w:eastAsia="Arial" w:hAnsi="Arial"/>
                <w:sz w:val="15"/>
                <w:szCs w:val="15"/>
                <w:color w:val="0000EE"/>
              </w:rPr>
            </w:pPr>
            <w:hyperlink w:anchor="page112">
              <w:r>
                <w:rPr>
                  <w:rFonts w:ascii="Arial" w:cs="Arial" w:eastAsia="Arial" w:hAnsi="Arial"/>
                  <w:sz w:val="15"/>
                  <w:szCs w:val="15"/>
                  <w:color w:val="0000EE"/>
                </w:rPr>
                <w:t>Form 10-K Summary</w:t>
              </w:r>
            </w:hyperlink>
          </w:p>
        </w:tc>
        <w:tc>
          <w:tcPr>
            <w:tcW w:w="6740" w:type="dxa"/>
            <w:vAlign w:val="bottom"/>
            <w:gridSpan w:val="9"/>
          </w:tcPr>
          <w:p>
            <w:pPr>
              <w:spacing w:after="0"/>
              <w:rPr>
                <w:sz w:val="17"/>
                <w:szCs w:val="17"/>
                <w:color w:val="auto"/>
              </w:rPr>
            </w:pPr>
          </w:p>
        </w:tc>
        <w:tc>
          <w:tcPr>
            <w:tcW w:w="660" w:type="dxa"/>
            <w:vAlign w:val="bottom"/>
            <w:gridSpan w:val="5"/>
          </w:tcPr>
          <w:p>
            <w:pPr>
              <w:jc w:val="right"/>
              <w:ind w:right="20"/>
              <w:spacing w:after="0"/>
              <w:rPr>
                <w:rFonts w:ascii="Arial" w:cs="Arial" w:eastAsia="Arial" w:hAnsi="Arial"/>
                <w:sz w:val="15"/>
                <w:szCs w:val="15"/>
                <w:color w:val="0000EE"/>
              </w:rPr>
            </w:pPr>
            <w:hyperlink w:anchor="page112">
              <w:r>
                <w:rPr>
                  <w:rFonts w:ascii="Arial" w:cs="Arial" w:eastAsia="Arial" w:hAnsi="Arial"/>
                  <w:sz w:val="15"/>
                  <w:szCs w:val="15"/>
                  <w:color w:val="0000EE"/>
                </w:rPr>
                <w:t>110</w:t>
              </w:r>
            </w:hyperlink>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00"/>
          </w:cols>
          <w:pgMar w:left="260" w:top="53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197"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i w:val="1"/>
          <w:iCs w:val="1"/>
          <w:color w:val="auto"/>
        </w:rPr>
        <w:t>This Annual Report on Form 10-K, including the section “Management’s Discussion and Analysis of Financial Condition and Results of Operations” in Part II, Item 7, contains information that may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marketing and branding strategies. In many cases, you can identify forward-looking statements by terms such as “expects,” "outlook," “believes,” “may,” "intend," “will,” “predicts,” “potential,” “anticipates,” “estimates,” should,” “plans” or the negative of these terms or other comparable terminology. The forward-looking statements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You are cautioned not to place undue reliance on these forward-looking statements. Unless required by law, we undertake no obligation to publicly update or revise any forward-looking statements to reflect circumstances or events after the date they are made. A number of important factors could cause actual results to differ materially from those indicated by the forward-looking statements, including, but not limited to, those factors described in Part I, Item 1A, “Risk Factors,” in Part I, Item 7 “Management's Discussion and Analysis of Financial Condition and Results of Operations—Factors Affecting Our Results” and elsewhere in this Annual Report.</w:t>
      </w:r>
    </w:p>
    <w:p>
      <w:pPr>
        <w:spacing w:after="0" w:line="177"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5"/>
          <w:szCs w:val="15"/>
          <w:i w:val="1"/>
          <w:iCs w:val="1"/>
          <w:color w:val="auto"/>
        </w:rPr>
        <w:t>In this Annual Report on Form 10-K, references to “Sabre,” the “Company,” “we,” “our,” “ours” and “us” refer to Sabre Corporation and its consolidated subsidiaries unless otherwise stated or the context otherwise requires.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195"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Sabre Corporation is a Delaware corporation formed in December 2006. On March 30, 2007, Sabre Corporation acquired Sabre Holdings Corporation (“Sabre Holdings”), which is the sole subsidiary of Sabre Corporation. Sabre GLBL Inc. (“Sabre GLBL”) is the principal operating subsidiary and sole direct subsidiary of Sabre Holdings. Sabre GLBL or its direct or indirect subsidiaries conduct all of our businesses. Our principal executive offices are located at 3150 Sabre Drive, Southlake, Texas 76092.</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are a leading technology solutions provider to the global travel and tourism industry. We span the breadth of the global travel ecosystem, providing key software and services to a broad range of travel suppliers and travel buyers. We connect the world’s leading travel suppliers, including airlines, hotels, car rental brands, rail carriers, cruise lines and tour operators, with travel buyers in a comprehensive travel marketplace. We also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enhanced travel experiences.</w:t>
      </w: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Segments</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We operate through two business segments: Travel Network and Airline and Hospitality Solutions. Financial information about our business segments and geographic areas is provided in Note 16, Segment Information, to our consolidated financial statements in Part II, Item 8 in this Annual Report on Form 10-K.</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Travel Network</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Travel Network is our global business-to-business travel marketplace and consists primarily of our global distribution system (“GDS”) and a broad set of solutions that integrate with our GDS to add value for travel suppliers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travel agencies (“OTAs”), offline travel agencies, travel management companies (“TMCs”) and corporate travel departments.</w:t>
      </w:r>
    </w:p>
    <w:p>
      <w:pPr>
        <w:spacing w:after="0" w:line="190"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During 2015, we expanded Travel Network's presence in the Asia Pacific (“APAC”) region through the acquisition of the remaining 65% interest in Abacus International Pte Ltd, which is now named Sabre Asia Pacific Pte Ltd ("SAPPL"). SAPPL is a Singapore-based business-to-business travel e-commerce provider that serves APAC. Prior to the acquisition, SAPPL was 65% owned by a consortium of 11 airlines and the remaining 35% was owned by 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20"/>
          </w:cols>
          <w:pgMar w:left="240" w:top="540" w:right="239" w:bottom="1440" w:gutter="0" w:footer="0" w:header="0"/>
        </w:sectPr>
      </w:pPr>
    </w:p>
    <w:bookmarkStart w:id="3" w:name="page4"/>
    <w:bookmarkEnd w:id="3"/>
    <w:p>
      <w:pPr>
        <w:ind w:left="460"/>
        <w:spacing w:after="0"/>
        <w:rPr>
          <w:sz w:val="20"/>
          <w:szCs w:val="20"/>
          <w:color w:val="auto"/>
        </w:rPr>
      </w:pPr>
      <w:r>
        <w:rPr>
          <w:rFonts w:ascii="Arial" w:cs="Arial" w:eastAsia="Arial" w:hAnsi="Arial"/>
          <w:sz w:val="15"/>
          <w:szCs w:val="15"/>
          <w:b w:val="1"/>
          <w:bCs w:val="1"/>
          <w:i w:val="1"/>
          <w:iCs w:val="1"/>
          <w:color w:val="auto"/>
        </w:rPr>
        <w:t>Airline and Hospitality Solutions</w:t>
      </w:r>
    </w:p>
    <w:p>
      <w:pPr>
        <w:spacing w:after="0" w:line="115" w:lineRule="exact"/>
        <w:rPr>
          <w:sz w:val="20"/>
          <w:szCs w:val="20"/>
          <w:color w:val="auto"/>
        </w:rPr>
      </w:pPr>
    </w:p>
    <w:p>
      <w:pPr>
        <w:jc w:val="both"/>
        <w:ind w:firstLine="454"/>
        <w:spacing w:after="0" w:line="280" w:lineRule="auto"/>
        <w:rPr>
          <w:sz w:val="20"/>
          <w:szCs w:val="20"/>
          <w:color w:val="auto"/>
        </w:rPr>
      </w:pPr>
      <w:r>
        <w:rPr>
          <w:rFonts w:ascii="Arial" w:cs="Arial" w:eastAsia="Arial" w:hAnsi="Arial"/>
          <w:sz w:val="14"/>
          <w:szCs w:val="14"/>
          <w:color w:val="auto"/>
        </w:rPr>
        <w:t>Our Airline and Hospitality Solutions business offers a broad portfolio of software technology products and solutions, through software-as-a-service (“SaaS”) and hosted delivery model, to airlines, hoteliers and other travel suppliers. Airline and Hospitality Solutions aggregates our Airline Solutions and Hospitality Solutions operating segments.</w:t>
      </w:r>
    </w:p>
    <w:p>
      <w:pPr>
        <w:spacing w:after="0" w:line="148" w:lineRule="exact"/>
        <w:rPr>
          <w:sz w:val="20"/>
          <w:szCs w:val="20"/>
          <w:color w:val="auto"/>
        </w:rPr>
      </w:pPr>
    </w:p>
    <w:p>
      <w:pPr>
        <w:jc w:val="both"/>
        <w:ind w:firstLine="454"/>
        <w:spacing w:after="0" w:line="244" w:lineRule="auto"/>
        <w:rPr>
          <w:sz w:val="20"/>
          <w:szCs w:val="20"/>
          <w:color w:val="auto"/>
        </w:rPr>
      </w:pPr>
      <w:r>
        <w:rPr>
          <w:rFonts w:ascii="Arial" w:cs="Arial" w:eastAsia="Arial" w:hAnsi="Arial"/>
          <w:sz w:val="15"/>
          <w:szCs w:val="15"/>
          <w:i w:val="1"/>
          <w:iCs w:val="1"/>
          <w:color w:val="auto"/>
        </w:rPr>
        <w:t>Airline Solutions</w:t>
      </w:r>
      <w:r>
        <w:rPr>
          <w:rFonts w:ascii="Arial" w:cs="Arial" w:eastAsia="Arial" w:hAnsi="Arial"/>
          <w:sz w:val="15"/>
          <w:szCs w:val="15"/>
          <w:color w:val="auto"/>
        </w:rPr>
        <w:t>—Our Airline Solutions business provides industry-leading and comprehensive software solutions that help our airline customers better market, sell,</w:t>
      </w:r>
      <w:r>
        <w:rPr>
          <w:rFonts w:ascii="Arial" w:cs="Arial" w:eastAsia="Arial" w:hAnsi="Arial"/>
          <w:sz w:val="15"/>
          <w:szCs w:val="15"/>
          <w:i w:val="1"/>
          <w:iCs w:val="1"/>
          <w:color w:val="auto"/>
        </w:rPr>
        <w:t xml:space="preserve"> </w:t>
      </w:r>
      <w:r>
        <w:rPr>
          <w:rFonts w:ascii="Arial" w:cs="Arial" w:eastAsia="Arial" w:hAnsi="Arial"/>
          <w:sz w:val="15"/>
          <w:szCs w:val="15"/>
          <w:color w:val="auto"/>
        </w:rPr>
        <w:t>serve and operate. We offer airline software solutions in three functional suites: our reservation system, SabreSonic Customer Sales &amp; Service (“SabreSonic”); and our commercial solutions, Sabre AirVision Marketing &amp; Planning; and Sabre AirCentre Enterprise Operations. SabreSonic provides comprehensive capabilities around managing sales and customer service across an airline’s diverse touch points. Sabre AirVision Marketing &amp; Planning is a set of strategic airline commercial planning solutions that focuses on helping our customers improve profitability and develop their brand. Sabre AirCentre Enterprise Operations is a set of strategic solutions that drive operational effectiveness through holistic planning and management of airline, airport and customer operations.</w:t>
      </w:r>
    </w:p>
    <w:p>
      <w:pPr>
        <w:spacing w:after="0" w:line="174"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5"/>
          <w:szCs w:val="15"/>
          <w:i w:val="1"/>
          <w:iCs w:val="1"/>
          <w:color w:val="auto"/>
        </w:rPr>
        <w:t xml:space="preserve">Hospitality Solutions </w:t>
      </w:r>
      <w:r>
        <w:rPr>
          <w:rFonts w:ascii="Arial" w:cs="Arial" w:eastAsia="Arial" w:hAnsi="Arial"/>
          <w:sz w:val="15"/>
          <w:szCs w:val="15"/>
          <w:color w:val="auto"/>
        </w:rPr>
        <w:t>—Our Hospitality Solutions business provides software and solutions to hoteliers around the world. Our offerings include distribution through our</w:t>
      </w:r>
      <w:r>
        <w:rPr>
          <w:rFonts w:ascii="Arial" w:cs="Arial" w:eastAsia="Arial" w:hAnsi="Arial"/>
          <w:sz w:val="15"/>
          <w:szCs w:val="15"/>
          <w:i w:val="1"/>
          <w:iCs w:val="1"/>
          <w:color w:val="auto"/>
        </w:rPr>
        <w:t xml:space="preserve"> </w:t>
      </w:r>
      <w:r>
        <w:rPr>
          <w:rFonts w:ascii="Arial" w:cs="Arial" w:eastAsia="Arial" w:hAnsi="Arial"/>
          <w:sz w:val="15"/>
          <w:szCs w:val="15"/>
          <w:color w:val="auto"/>
        </w:rPr>
        <w:t>SynXis central reservation system (“CRS”), property management through SynXis Property Manager Solution (“PMS”), marketing services and professional services that optimize distribution and marketing.</w:t>
      </w:r>
    </w:p>
    <w:p>
      <w:pPr>
        <w:spacing w:after="0" w:line="182"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In January 2016, we completed the acquisition of the Trust Group of Companies (“Trust Group”), a central reservation, revenue management and hotel marketing provider with a significant presence in Europe, the Middle East and Africa (“EMEA”) and in APAC. Inclusive of this acquisition, we provide our software and solutions to over 33,000 hotel properties around the world.</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provide innovative technology and solutions to help our travel industry customers succeed and grow. The key elements of our strategy include:</w:t>
      </w:r>
    </w:p>
    <w:p>
      <w:pPr>
        <w:spacing w:after="0" w:line="97" w:lineRule="exact"/>
        <w:rPr>
          <w:sz w:val="20"/>
          <w:szCs w:val="20"/>
          <w:color w:val="auto"/>
        </w:rPr>
      </w:pPr>
    </w:p>
    <w:p>
      <w:pPr>
        <w:ind w:left="740" w:hanging="300"/>
        <w:spacing w:after="0" w:line="245" w:lineRule="auto"/>
        <w:tabs>
          <w:tab w:leader="none" w:pos="74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Commitment to develop innovative technology products through investment of significant resources in solutions that address key customer needs which include retailing solutions, mobile capabilities, data analytics and business intelligence and workflow optimization.</w:t>
      </w:r>
    </w:p>
    <w:p>
      <w:pPr>
        <w:spacing w:after="0" w:line="89"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3"/>
        </w:numPr>
        <w:rPr>
          <w:rFonts w:ascii="Arial" w:cs="Arial" w:eastAsia="Arial" w:hAnsi="Arial"/>
          <w:sz w:val="15"/>
          <w:szCs w:val="15"/>
          <w:color w:val="auto"/>
        </w:rPr>
      </w:pPr>
      <w:r>
        <w:rPr>
          <w:rFonts w:ascii="Arial" w:cs="Arial" w:eastAsia="Arial" w:hAnsi="Arial"/>
          <w:sz w:val="15"/>
          <w:szCs w:val="15"/>
          <w:color w:val="auto"/>
        </w:rPr>
        <w:t>Geographic expansion beyond our traditional strengths by seeking to deepen our presence in high-growth geographies in Europe, including high-growth APAC, Eastern European markets and Latin America.</w:t>
      </w:r>
    </w:p>
    <w:p>
      <w:pPr>
        <w:spacing w:after="0" w:line="89"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3"/>
        </w:numPr>
        <w:rPr>
          <w:rFonts w:ascii="Arial" w:cs="Arial" w:eastAsia="Arial" w:hAnsi="Arial"/>
          <w:sz w:val="15"/>
          <w:szCs w:val="15"/>
          <w:color w:val="auto"/>
        </w:rPr>
      </w:pPr>
      <w:r>
        <w:rPr>
          <w:rFonts w:ascii="Arial" w:cs="Arial" w:eastAsia="Arial" w:hAnsi="Arial"/>
          <w:sz w:val="15"/>
          <w:szCs w:val="15"/>
          <w:color w:val="auto"/>
        </w:rPr>
        <w:t>Pursuit of new customers and marketplace content through seeking to actively add new travel supplier content to Travel Network and continuing to pursue new customers for our Airline and Hospitality Solutions business.</w:t>
      </w:r>
    </w:p>
    <w:p>
      <w:pPr>
        <w:spacing w:after="0" w:line="89" w:lineRule="exact"/>
        <w:rPr>
          <w:rFonts w:ascii="Arial" w:cs="Arial" w:eastAsia="Arial" w:hAnsi="Arial"/>
          <w:sz w:val="15"/>
          <w:szCs w:val="15"/>
          <w:color w:val="auto"/>
        </w:rPr>
      </w:pPr>
    </w:p>
    <w:p>
      <w:pPr>
        <w:ind w:left="740" w:hanging="300"/>
        <w:spacing w:after="0"/>
        <w:tabs>
          <w:tab w:leader="none" w:pos="74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Strengthen relationships with existing customers, including promoting the adoption of our products within and across our existing customers.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Travel Network customers consist of travel suppliers, including airlines, hotels, car rental brands, rail carriers, cruise lines, tour operators, attractions and services; a large network of travel buyers, including OTAs, offline travel agencies, TMCs and corporate travel departments; and travelers and other sellers of travel and consumers of travel information. Airline Solutions serves airlines of all sizes and in every region of the world, including hybrid carriers and low-cost carriers (collectively, “LCC/hybrids”), global network carriers and regional network carriers; and other customers such as airports, corporate aviation fleets, governments and tourism boards. Hospitality Solutions has a global customer base of over 33,000 hotel properties of all sizes.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individual customer accounted for more than 10% of our consolidated revenues for the years ended December 31, 2016</w:t>
      </w:r>
      <w:r>
        <w:rPr>
          <w:rFonts w:ascii="Arial" w:cs="Arial" w:eastAsia="Arial" w:hAnsi="Arial"/>
          <w:sz w:val="16"/>
          <w:szCs w:val="16"/>
          <w:color w:val="auto"/>
        </w:rPr>
        <w:t>,</w:t>
      </w:r>
      <w:r>
        <w:rPr>
          <w:rFonts w:ascii="Arial" w:cs="Arial" w:eastAsia="Arial" w:hAnsi="Arial"/>
          <w:sz w:val="15"/>
          <w:szCs w:val="15"/>
          <w:color w:val="auto"/>
        </w:rPr>
        <w:t xml:space="preserve"> 2015 and 2014.</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Sources of Revenue</w:t>
      </w:r>
    </w:p>
    <w:p>
      <w:pPr>
        <w:spacing w:after="0" w:line="99" w:lineRule="exact"/>
        <w:rPr>
          <w:sz w:val="20"/>
          <w:szCs w:val="20"/>
          <w:color w:val="auto"/>
        </w:rPr>
      </w:pPr>
    </w:p>
    <w:p>
      <w:pPr>
        <w:jc w:val="both"/>
        <w:ind w:firstLine="454"/>
        <w:spacing w:after="0" w:line="246" w:lineRule="auto"/>
        <w:rPr>
          <w:sz w:val="20"/>
          <w:szCs w:val="20"/>
          <w:color w:val="auto"/>
        </w:rPr>
      </w:pPr>
      <w:r>
        <w:rPr>
          <w:rFonts w:ascii="Arial" w:cs="Arial" w:eastAsia="Arial" w:hAnsi="Arial"/>
          <w:sz w:val="15"/>
          <w:szCs w:val="15"/>
          <w:i w:val="1"/>
          <w:iCs w:val="1"/>
          <w:color w:val="auto"/>
        </w:rPr>
        <w:t>Transactions</w:t>
      </w:r>
      <w:r>
        <w:rPr>
          <w:rFonts w:ascii="Arial" w:cs="Arial" w:eastAsia="Arial" w:hAnsi="Arial"/>
          <w:sz w:val="15"/>
          <w:szCs w:val="15"/>
          <w:color w:val="auto"/>
        </w:rPr>
        <w:t>—Bookings that generate fees directly to Travel Network (“Direct Billable Booking”) include bookings made through our GDS (e.g., air, car and hotel</w:t>
      </w:r>
      <w:r>
        <w:rPr>
          <w:rFonts w:ascii="Arial" w:cs="Arial" w:eastAsia="Arial" w:hAnsi="Arial"/>
          <w:sz w:val="15"/>
          <w:szCs w:val="15"/>
          <w:i w:val="1"/>
          <w:iCs w:val="1"/>
          <w:color w:val="auto"/>
        </w:rPr>
        <w:t xml:space="preserve"> </w:t>
      </w:r>
      <w:r>
        <w:rPr>
          <w:rFonts w:ascii="Arial" w:cs="Arial" w:eastAsia="Arial" w:hAnsi="Arial"/>
          <w:sz w:val="15"/>
          <w:szCs w:val="15"/>
          <w:color w:val="auto"/>
        </w:rPr>
        <w:t>bookings) and through our joint venture partners in cases where we are paid directly by the travel supplier. A transaction occurs when a travel agency or corporate travel department books or reserves a travel supplier’s product on our GDS, for which we receive a fee. Transaction fees include, but are not limited to transaction fees paid by travel suppliers for selling their inventory through our GDS and fees paid by travel agency subscribers related to their use of certain solutions integrated with our GDS. We receive revenue from the travel supplier and the travel agency according to the commercial arrangement with each.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835" w:right="239" w:bottom="1440" w:gutter="0" w:footer="0" w:header="0"/>
        </w:sectPr>
      </w:pPr>
    </w:p>
    <w:bookmarkStart w:id="4" w:name="page5"/>
    <w:bookmarkEnd w:id="4"/>
    <w:p>
      <w:pPr>
        <w:jc w:val="both"/>
        <w:ind w:firstLine="454"/>
        <w:spacing w:after="0" w:line="248" w:lineRule="auto"/>
        <w:rPr>
          <w:sz w:val="20"/>
          <w:szCs w:val="20"/>
          <w:color w:val="auto"/>
        </w:rPr>
      </w:pPr>
      <w:r>
        <w:rPr>
          <w:rFonts w:ascii="Arial" w:cs="Arial" w:eastAsia="Arial" w:hAnsi="Arial"/>
          <w:sz w:val="15"/>
          <w:szCs w:val="15"/>
          <w:i w:val="1"/>
          <w:iCs w:val="1"/>
          <w:color w:val="auto"/>
        </w:rPr>
        <w:t>SaaS and Hosted</w:t>
      </w:r>
      <w:r>
        <w:rPr>
          <w:rFonts w:ascii="Arial" w:cs="Arial" w:eastAsia="Arial" w:hAnsi="Arial"/>
          <w:sz w:val="15"/>
          <w:szCs w:val="15"/>
          <w:color w:val="auto"/>
        </w:rPr>
        <w:t>—Airline and Hospitality Solutions generates revenue through upfront solution fees and recurring usage-based fees for the use of our software</w:t>
      </w:r>
      <w:r>
        <w:rPr>
          <w:rFonts w:ascii="Arial" w:cs="Arial" w:eastAsia="Arial" w:hAnsi="Arial"/>
          <w:sz w:val="15"/>
          <w:szCs w:val="15"/>
          <w:i w:val="1"/>
          <w:iCs w:val="1"/>
          <w:color w:val="auto"/>
        </w:rPr>
        <w:t xml:space="preserve"> </w:t>
      </w:r>
      <w:r>
        <w:rPr>
          <w:rFonts w:ascii="Arial" w:cs="Arial" w:eastAsia="Arial" w:hAnsi="Arial"/>
          <w:sz w:val="15"/>
          <w:szCs w:val="15"/>
          <w:color w:val="auto"/>
        </w:rPr>
        <w:t>solutions hosted on secure platforms or deployed via SaaS. We maintain our SaaS and hosted software and manage the related infrastructure. We collect the implementation fees and recurring usage-based fees pursuant to contracts with terms that typically range between three and ten years and generally include minimum annual volume requirements.</w:t>
      </w:r>
    </w:p>
    <w:p>
      <w:pPr>
        <w:spacing w:after="0" w:line="17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5"/>
          <w:szCs w:val="15"/>
          <w:i w:val="1"/>
          <w:iCs w:val="1"/>
          <w:color w:val="auto"/>
        </w:rPr>
        <w:t>Professional Service Fees</w:t>
      </w:r>
      <w:r>
        <w:rPr>
          <w:rFonts w:ascii="Arial" w:cs="Arial" w:eastAsia="Arial" w:hAnsi="Arial"/>
          <w:sz w:val="15"/>
          <w:szCs w:val="15"/>
          <w:color w:val="auto"/>
        </w:rPr>
        <w:t>—Airline and Hospitality Solutions offerings that utilize the SaaS and hosted revenue model are sometimes sold as part of multiple-element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 for which we also provide professional services, including consulting services. Our professional services are primarily focused on helping customers achieve better utilization of and return on their software investment. Often, we provide these services during the implementation phase of our SaaS solutions.</w:t>
      </w:r>
    </w:p>
    <w:p>
      <w:pPr>
        <w:spacing w:after="0" w:line="166"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5"/>
          <w:szCs w:val="15"/>
          <w:i w:val="1"/>
          <w:iCs w:val="1"/>
          <w:color w:val="auto"/>
        </w:rPr>
        <w:t>Software Licensing</w:t>
      </w:r>
      <w:r>
        <w:rPr>
          <w:rFonts w:ascii="Arial" w:cs="Arial" w:eastAsia="Arial" w:hAnsi="Arial"/>
          <w:sz w:val="15"/>
          <w:szCs w:val="15"/>
          <w:color w:val="auto"/>
        </w:rPr>
        <w:t>—Airline and Hospitality Solutions generates revenue from fees for the installation and use of our software products. Some contracts under this</w:t>
      </w:r>
      <w:r>
        <w:rPr>
          <w:rFonts w:ascii="Arial" w:cs="Arial" w:eastAsia="Arial" w:hAnsi="Arial"/>
          <w:sz w:val="15"/>
          <w:szCs w:val="15"/>
          <w:i w:val="1"/>
          <w:iCs w:val="1"/>
          <w:color w:val="auto"/>
        </w:rPr>
        <w:t xml:space="preserve"> </w:t>
      </w:r>
      <w:r>
        <w:rPr>
          <w:rFonts w:ascii="Arial" w:cs="Arial" w:eastAsia="Arial" w:hAnsi="Arial"/>
          <w:sz w:val="15"/>
          <w:szCs w:val="15"/>
          <w:color w:val="auto"/>
        </w:rPr>
        <w:t>model generate additional revenue for the maintenance of the software product.</w:t>
      </w:r>
    </w:p>
    <w:p>
      <w:pPr>
        <w:spacing w:after="0" w:line="156" w:lineRule="exact"/>
        <w:rPr>
          <w:sz w:val="20"/>
          <w:szCs w:val="20"/>
          <w:color w:val="auto"/>
        </w:rPr>
      </w:pPr>
    </w:p>
    <w:p>
      <w:pPr>
        <w:jc w:val="both"/>
        <w:ind w:firstLine="454"/>
        <w:spacing w:after="0" w:line="248" w:lineRule="auto"/>
        <w:rPr>
          <w:sz w:val="20"/>
          <w:szCs w:val="20"/>
          <w:color w:val="auto"/>
        </w:rPr>
      </w:pPr>
      <w:r>
        <w:rPr>
          <w:rFonts w:ascii="Arial" w:cs="Arial" w:eastAsia="Arial" w:hAnsi="Arial"/>
          <w:sz w:val="15"/>
          <w:szCs w:val="15"/>
          <w:i w:val="1"/>
          <w:iCs w:val="1"/>
          <w:color w:val="auto"/>
        </w:rPr>
        <w:t>Media</w:t>
      </w:r>
      <w:r>
        <w:rPr>
          <w:rFonts w:ascii="Arial" w:cs="Arial" w:eastAsia="Arial" w:hAnsi="Arial"/>
          <w:sz w:val="15"/>
          <w:szCs w:val="15"/>
          <w:color w:val="auto"/>
        </w:rPr>
        <w:t>—Advertising revenue is generated by Travel Network from customers that advertise products on our GDS. Advertisers use two types of advertising metrics: (i)</w:t>
      </w:r>
      <w:r>
        <w:rPr>
          <w:rFonts w:ascii="Arial" w:cs="Arial" w:eastAsia="Arial" w:hAnsi="Arial"/>
          <w:sz w:val="15"/>
          <w:szCs w:val="15"/>
          <w:i w:val="1"/>
          <w:iCs w:val="1"/>
          <w:color w:val="auto"/>
        </w:rPr>
        <w:t xml:space="preserve"> </w:t>
      </w:r>
      <w:r>
        <w:rPr>
          <w:rFonts w:ascii="Arial" w:cs="Arial" w:eastAsia="Arial" w:hAnsi="Arial"/>
          <w:sz w:val="15"/>
          <w:szCs w:val="15"/>
          <w:color w:val="auto"/>
        </w:rPr>
        <w:t>display advertising and (ii) action advertising. In display advertising, advertisers generally pay based on the number of customers who view the advertisement, and are charged based on cost-per-thousand impressions. In action advertising, advertisers generally pay based on the number of customers who perform a specific action, such as click on the advertisement, and are charged based on the cost per action.</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operate in highly competitive markets. Travel Network competes with several other regional and global travel marketplace providers, including other GDSs, local distribution systems and travel marketplace providers primarily owned by airlines or government entities and direct distribution by travel suppliers. In addition to other GDSs and direct distributors, there are a number of other competitors in the travel distribution marketplace, including new entrants in the travel space that offer metasearch capabilities that direct shoppers to supplier websites and/or OTAs, third party aggregators and peer-to-peer options for travel services. Airline Solutions operates in an industry that is very competitive, which includes other providers of reservations systems and software applications solutions and airlines that develop their own software applications and reservations systems in-house. Primary competitors of Hospitality Solutions are in the hospitality CRS and PMS fields and hotels that develop their own software applications and CRSs in house, including global hotel chains.</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Technology and Operations</w:t>
      </w:r>
    </w:p>
    <w:p>
      <w:pPr>
        <w:spacing w:after="0" w:line="213"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Our technology strategy is based on achieving company-wide stability and performance at the most efficient price point. Significant investment has gone into building a centralized middleware environment with an emphasis on simplicity, security, and scalability. We invest heavily in software development, delivery and operational support capabilities and strive to provide best in class products for our customers. We operate standardized infrastructure in our data center environments across hardware, operating systems, databases, and other key enabling technologies to minimize costs on non-differentiators. We expect to continue to make significant investments in our information technology infrastructure to modernize, drive efficiency in development and ongoing technology costs, further enhance the stability and security of our network, and to accelerate our shift to open source and cloud-based solutions.</w:t>
      </w:r>
    </w:p>
    <w:p>
      <w:pPr>
        <w:spacing w:after="0" w:line="192"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Our architecture has evolved from a mainframe centric transaction processing environment to a secure processing platform that is one of the world’s most heavily used and resilient service oriented architecture (“SOA”) environments. A variety of products and services run on this technology infrastructure: high volume air shopping systems; desktop access applications providing continuous, real-time data access to travel agents; airline operations and decision support systems; an array of customized applications available through the Sabre Red App Centre; and web based services that provide an automated interface between us and our travel suppliers and customers. The flexibility and scale of our standardized SOA based technology infrastructure allow us to quickly deliver a broad variety of SaaS and hosted solutions.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 law protection of our trademarks.</w:t>
      </w:r>
    </w:p>
    <w:p>
      <w:pPr>
        <w:spacing w:after="0" w:line="192"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739"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5"/>
          <w:szCs w:val="15"/>
          <w:b w:val="1"/>
          <w:bCs w:val="1"/>
          <w:color w:val="auto"/>
        </w:rPr>
        <w:t>Government Regulation</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We are subject to or affected by international, federal, state and local laws, regulations and policies, which are constantly subject to change. These laws, regulations and policies include GDS regulation in the European Union (“EU”), Canada, the United States and other locations.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subject to the application of data protection and privacy regulations in many of the countries in which we operate.</w:t>
      </w:r>
    </w:p>
    <w:p>
      <w:pPr>
        <w:spacing w:after="0" w:line="19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We are also subject to prohibitions administered by the Office of Foreign Assets Control (the “OFAC rules”), which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w:t>
      </w:r>
    </w:p>
    <w:p>
      <w:pPr>
        <w:spacing w:after="0" w:line="190"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Our businesses may also be subject to regulations affecting issues such as: trade sanctions, exports of technology, telecommunications, and e-commerce. These regulations may vary among jurisdictions.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See “Risk Factors—Any failure to comply with regulations or any changes in such regulations governing our businesses could adversely affect us.”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The travel industry is seasonal in nature. Travel bookings for Travel Network, and the revenue we derive from those bookings, are typically seasonally strong in the first and third quarters, but decline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As of December 31, 2016, we employed approximately 10,000 people. We have not experienced any work stoppages and consider our relations with our employees to be good.</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15" w:lineRule="exact"/>
        <w:rPr>
          <w:sz w:val="20"/>
          <w:szCs w:val="20"/>
          <w:color w:val="auto"/>
        </w:rPr>
      </w:pPr>
    </w:p>
    <w:p>
      <w:pPr>
        <w:jc w:val="both"/>
        <w:ind w:firstLine="454"/>
        <w:spacing w:after="0" w:line="262" w:lineRule="auto"/>
        <w:rPr>
          <w:sz w:val="20"/>
          <w:szCs w:val="20"/>
          <w:color w:val="auto"/>
        </w:rPr>
      </w:pPr>
      <w:r>
        <w:rPr>
          <w:rFonts w:ascii="Arial" w:cs="Arial" w:eastAsia="Arial" w:hAnsi="Arial"/>
          <w:sz w:val="14"/>
          <w:szCs w:val="14"/>
          <w:color w:val="auto"/>
        </w:rPr>
        <w:t>We are subject to the informational requirements of the Securities Exchange Act of 1934, as amended (the “Exchange Act”), and in accordance therewith, we file reports, proxy and information statements and other information with the Securities and Exchange Commission (“SEC”). Our Annual Report on Form 10-K, Quarterly Reports on Form 10-Q, Current Reports on Form 8-K, and other information to those reports filed or furnished pursuant to Section 13(a) or 15(d) of the Exchange Act are available through the investor relations section of our website under the link investors.sabre.com/sec.cfm. Reports are available free of charge as soon as reasonably practicable after we electronically file them with, or furnish them to, the SEC. The information contained on our website is not incorporated by reference into this Annual Report on Form 10-K.</w:t>
      </w:r>
    </w:p>
    <w:p>
      <w:pPr>
        <w:spacing w:after="0" w:line="176"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In addition to our website, you may read and copy public reports we file with or furnish to the SEC at the SEC’s Public Reference Room at 100 F Street, NE, Washington, DC 20549. You may obtain information on the operation of the Public Reference Room by calling the SEC at 1-800-SEC-0330. The SEC maintains an Internet site that contains our reports, proxy and information statements, and other information that we file electronically with the SEC at www.sec.gov.</w:t>
      </w:r>
    </w:p>
    <w:p>
      <w:pPr>
        <w:spacing w:after="0" w:line="270"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The following risk factors may be important to understanding any statement in this Annual Report on Form 10-K or elsewhere. Our business, financial condition and operating results can be affected by a number of factors, whether currently known or unknown, including but not limited to those described below. Any one or more of such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revenue is highly dependent on transaction volumes in the global travel industry, particularly air travel transaction volumes.</w:t>
      </w:r>
    </w:p>
    <w:p>
      <w:pPr>
        <w:spacing w:after="0" w:line="11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Our Travel Network and Airline and Hospitality Solutions revenue is largely tied to travel suppliers’ transaction volumes rather than to their unit pricing for an airplane ticket, hotel room or other travel products. This revenue is generally not contractually committed to recur annually under our agreements with our travel suppliers. As a result, our revenue is highly dependent on the global travel industry, particularly air travel from which we derive a substantial amount of our revenue, and directly correlates with global travel, tourism and transportation transaction volumes. Our revenue is therefore highly susceptible to declines in or disruptions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835" w:right="23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t>to leisure and business travel that may be caused by factors entirely out of our control, and therefore may not recur if these declines or disruptions occur.</w:t>
      </w:r>
    </w:p>
    <w:p>
      <w:pPr>
        <w:spacing w:after="0" w:line="97" w:lineRule="exact"/>
        <w:rPr>
          <w:sz w:val="20"/>
          <w:szCs w:val="20"/>
          <w:color w:val="auto"/>
        </w:rPr>
      </w:pPr>
    </w:p>
    <w:p>
      <w:pPr>
        <w:ind w:firstLine="441"/>
        <w:spacing w:after="0" w:line="238" w:lineRule="auto"/>
        <w:rPr>
          <w:sz w:val="20"/>
          <w:szCs w:val="20"/>
          <w:color w:val="auto"/>
        </w:rPr>
      </w:pPr>
      <w:r>
        <w:rPr>
          <w:rFonts w:ascii="Arial" w:cs="Arial" w:eastAsia="Arial" w:hAnsi="Arial"/>
          <w:sz w:val="15"/>
          <w:szCs w:val="15"/>
          <w:color w:val="auto"/>
        </w:rPr>
        <w:t>Various factors may cause temporary or sustained disruption to leisure and business travel. The impact these disruptions would have on our business depends on the magnitude and duration of such disruption. These factors include, among others:</w:t>
      </w:r>
    </w:p>
    <w:p>
      <w:pPr>
        <w:spacing w:after="0" w:line="1" w:lineRule="exact"/>
        <w:rPr>
          <w:sz w:val="20"/>
          <w:szCs w:val="20"/>
          <w:color w:val="auto"/>
        </w:rPr>
      </w:pPr>
    </w:p>
    <w:p>
      <w:pPr>
        <w:ind w:left="740" w:hanging="300"/>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and local economic conditions;</w:t>
      </w:r>
    </w:p>
    <w:p>
      <w:pPr>
        <w:ind w:left="740" w:hanging="300"/>
        <w:spacing w:after="0" w:line="238" w:lineRule="auto"/>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financial instability of travel suppliers and the impact of any fundamental corporate changes to such travel suppliers, such as airline bankruptcies or consolidations, on the cost and availability of travel content;</w:t>
      </w:r>
    </w:p>
    <w:p>
      <w:pPr>
        <w:spacing w:after="0" w:line="1" w:lineRule="exact"/>
        <w:rPr>
          <w:rFonts w:ascii="Arial" w:cs="Arial" w:eastAsia="Arial" w:hAnsi="Arial"/>
          <w:sz w:val="15"/>
          <w:szCs w:val="15"/>
          <w:color w:val="auto"/>
        </w:rPr>
      </w:pPr>
    </w:p>
    <w:p>
      <w:pPr>
        <w:ind w:left="740" w:hanging="300"/>
        <w:spacing w:after="0" w:line="238" w:lineRule="auto"/>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factors that affect demand for travel such as outbreaks of contagious diseases, including Zika, Ebola and the MERS virus, increases in fuel prices, changing attitudes towards the environmental costs of travel and safety concerns;</w:t>
      </w:r>
    </w:p>
    <w:p>
      <w:pPr>
        <w:spacing w:after="0" w:line="1" w:lineRule="exact"/>
        <w:rPr>
          <w:rFonts w:ascii="Arial" w:cs="Arial" w:eastAsia="Arial" w:hAnsi="Arial"/>
          <w:sz w:val="15"/>
          <w:szCs w:val="15"/>
          <w:color w:val="auto"/>
        </w:rPr>
      </w:pPr>
    </w:p>
    <w:p>
      <w:pPr>
        <w:ind w:left="740" w:hanging="300"/>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political events like acts or threats of terrorism, hostilities, and war;</w:t>
      </w:r>
    </w:p>
    <w:p>
      <w:pPr>
        <w:ind w:left="740" w:hanging="300"/>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inclement weather, natural or man-made disasters; and</w:t>
      </w:r>
    </w:p>
    <w:p>
      <w:pPr>
        <w:ind w:left="740" w:hanging="300"/>
        <w:spacing w:after="0" w:line="245" w:lineRule="auto"/>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factors that affect supply of travel such as changes to regulations governing airlines and the travel industry, like government sanctions that do or would prohibit doing business with certain state-owned travel suppliers, work stoppages or labor unrest at any of the major airlines, hotels or airports.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Travel Network business is exposed to pricing pressure from travel suppliers.</w:t>
      </w:r>
    </w:p>
    <w:p>
      <w:pPr>
        <w:spacing w:after="0" w:line="115"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5"/>
          <w:szCs w:val="15"/>
          <w:color w:val="auto"/>
        </w:rPr>
        <w:t>Travel suppliers continue to look for ways to decrease their costs and to increase their control over distribution. For example, consolidation in the airline industry and macroeconomic factors, among other things, have driven some airlines to negotiate for lower fees during contract renegotiations, thereby exerting increased pricing pressure on our Travel Network business, which, in turn, negatively affects our revenues and margins. In addition, travel suppliers’ use of alternative distribution channels, such as direct distribution through supplier-operated websites, may also adversely affect our contract renegotiations with these suppliers and negatively impact our transaction fee revenue. For example, as we attempt to renegotiate new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our contracts with these travel suppliers on similar economic terms or at all, or if our ability to provide this content is similarly impeded, this would also adversely affect the value of our Travel Network business as a marketplace due to our more limited content. See “-Travel suppliers’ use of alternative distribution models, such as direct distribution models, could adversely affect our Travel Network business.”</w:t>
      </w:r>
    </w:p>
    <w:p>
      <w:pPr>
        <w:spacing w:after="0" w:line="276"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Implementation of software solutions often involves a significant commitment of resources, and any failure to deliver as promised on a significant implementation could adversely affect our business.</w:t>
      </w:r>
    </w:p>
    <w:p>
      <w:pPr>
        <w:spacing w:after="0" w:line="71" w:lineRule="exact"/>
        <w:rPr>
          <w:sz w:val="20"/>
          <w:szCs w:val="20"/>
          <w:color w:val="auto"/>
        </w:rPr>
      </w:pPr>
    </w:p>
    <w:p>
      <w:pPr>
        <w:ind w:firstLine="441"/>
        <w:spacing w:after="0" w:line="238" w:lineRule="auto"/>
        <w:rPr>
          <w:sz w:val="20"/>
          <w:szCs w:val="20"/>
          <w:color w:val="auto"/>
        </w:rPr>
      </w:pPr>
      <w:r>
        <w:rPr>
          <w:rFonts w:ascii="Arial" w:cs="Arial" w:eastAsia="Arial" w:hAnsi="Arial"/>
          <w:sz w:val="15"/>
          <w:szCs w:val="15"/>
          <w:color w:val="auto"/>
        </w:rPr>
        <w:t>In our Travel Network business and our Airline and Hospitality Solutions business, the implementation of software solutions often involves a significant commitment of resources and is subject to a number of significant risks over which we may or may not have control. These risks include:</w:t>
      </w:r>
    </w:p>
    <w:p>
      <w:pPr>
        <w:spacing w:after="0" w:line="1" w:lineRule="exact"/>
        <w:rPr>
          <w:sz w:val="20"/>
          <w:szCs w:val="20"/>
          <w:color w:val="auto"/>
        </w:rPr>
      </w:pPr>
    </w:p>
    <w:p>
      <w:pPr>
        <w:ind w:left="740" w:hanging="300"/>
        <w:spacing w:after="0"/>
        <w:tabs>
          <w:tab w:leader="none" w:pos="7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features of the implemented software may not meet the expectations or fit the business model of the customer;</w:t>
      </w:r>
    </w:p>
    <w:p>
      <w:pPr>
        <w:ind w:left="740" w:hanging="300"/>
        <w:spacing w:after="0" w:line="238" w:lineRule="auto"/>
        <w:tabs>
          <w:tab w:leader="none" w:pos="7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1" w:lineRule="exact"/>
        <w:rPr>
          <w:rFonts w:ascii="Arial" w:cs="Arial" w:eastAsia="Arial" w:hAnsi="Arial"/>
          <w:sz w:val="15"/>
          <w:szCs w:val="15"/>
          <w:color w:val="auto"/>
        </w:rPr>
      </w:pPr>
    </w:p>
    <w:p>
      <w:pPr>
        <w:jc w:val="both"/>
        <w:ind w:left="740" w:hanging="300"/>
        <w:spacing w:after="0" w:line="238" w:lineRule="auto"/>
        <w:tabs>
          <w:tab w:leader="none" w:pos="7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2"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188"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cancellation or renegotiation of existing agreements, claims from customers, harm our reputation and negatively impact our operating results.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Travel suppliers’ use of alternative distribution models, such as direct distribution models, could adversely affect our Travel Network business.</w:t>
      </w:r>
    </w:p>
    <w:p>
      <w:pPr>
        <w:spacing w:after="0" w:line="115"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Some travel suppliers that provide content to Travel Network, including some of Travel Network’s largest airline customers, have sought to increase usage of direct distribution channels. For example, these travel suppliers are trying to move more consumer traffic to their proprietary websites, and some travel suppliers have explored direct connect initiatives linking their internal reservations systems directly with travel agencies or TMCs, thereby bypassing the GDSs. This direct distribution trend enables them to apply pricing pressure on intermediaries and negotiate travel distribution arrangements that are less favorable to intermediaries. With travel suppliers’ adoption of certain technology solutions over the last decade, including those offered by our Airline and Hospitality Solutions business, air travel suppliers have increased the proportion of direct bookings relative to indirect bookings. In the future, airlines may increase their use of direct distribution, which may cause a material decrease in their use of our GDS. Travel suppliers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656" w:right="239" w:bottom="1440" w:gutter="0" w:footer="0" w:header="0"/>
        </w:sectPr>
      </w:pPr>
    </w:p>
    <w:bookmarkStart w:id="7" w:name="page8"/>
    <w:bookmarkEnd w:id="7"/>
    <w:p>
      <w:pPr>
        <w:jc w:val="both"/>
        <w:spacing w:after="0"/>
        <w:rPr>
          <w:sz w:val="20"/>
          <w:szCs w:val="20"/>
          <w:color w:val="auto"/>
        </w:rPr>
      </w:pPr>
      <w:r>
        <w:rPr>
          <w:rFonts w:ascii="Arial" w:cs="Arial" w:eastAsia="Arial" w:hAnsi="Arial"/>
          <w:sz w:val="15"/>
          <w:szCs w:val="15"/>
          <w:color w:val="auto"/>
        </w:rPr>
        <w:t>may also offer travelers advantages through their websites such as special fares and bonus miles, which could make their offerings more attractive than those available through our GDS platform. Similarly, travel suppliers may also seek to encourage travelers’ and travel agencies’ usage of their proprietary booking platforms by selectively increasing the ticket price in our GDS, making our GDS platform’s offerings more expensive than some alternative offerings. For example, we are currently engaged in litigation with the Lufthansa Group in connection with a surcharge that the Lufthansa Group has imposed on tickets purchased through three selected GDSs, including Sabre. The Lufthansa Group is seeking declaratory judgment that this surcharge does not violate the terms of its agreement with us, in addition to damages related to the allegations of breach of contract and tortious interference with agency contracts. We deny the allegations and we have filed a counterclaim that asserts the Lufthansa Group’s surcharge is a violation of its agreement and that seeks an order requiring the Lufthansa Group to specifically perform its obligations under the agreement.</w:t>
      </w:r>
    </w:p>
    <w:p>
      <w:pPr>
        <w:spacing w:after="0" w:line="191"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In addition, with respect to ancillary products, travel suppliers may choose not to comply with the technical standards that would allow ancillary products to be immediately distributed via intermediaries, thus resulting in a delay before these products become available through our GDS relative to availability through direct distribution. In addition, if enough travel suppliers choose not to develop ancillary products in a standardized way with respect to technical standards our investment in adapting our various systems to enable the sale of ancillary products may not be successful.</w:t>
      </w:r>
    </w:p>
    <w:p>
      <w:pPr>
        <w:spacing w:after="0" w:line="190"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Companies with close relationships with end consumers, like Facebook, as well as new entrants introducing new paradigms into the travel industry, such as metasearch engines, like Google, may promote alternative distribution channels to our GDS by diverting consumer traffic away from intermediaries, which may adversely affect our GDS business.</w:t>
      </w:r>
    </w:p>
    <w:p>
      <w:pPr>
        <w:spacing w:after="0" w:line="190"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5"/>
          <w:szCs w:val="15"/>
          <w:color w:val="auto"/>
        </w:rPr>
        <w:t>Additionally, technological advancements may allow airlines and hotels to facilitate broader connectivity to and integration with large travel buyers, such that certain airline and hotel offerings could be made available directly to such travel buyers without the involvement of intermediaries such as Travel Network and its competitors.</w:t>
      </w:r>
    </w:p>
    <w:p>
      <w:pPr>
        <w:spacing w:after="0" w:line="268"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Our success depends on maintaining the integrity of our systems and infrastructure, which may suffer from failures, capacity constraints, business interruptions and forces outside of our control.</w:t>
      </w:r>
    </w:p>
    <w:p>
      <w:pPr>
        <w:spacing w:after="0" w:line="7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5"/>
          <w:szCs w:val="15"/>
          <w:color w:val="auto"/>
        </w:rPr>
        <w:t>We may be unable to maintain and improve the efficiency, reliability and integrity of our systems. Unexpected increases in the volume of our business could exceed system capacity, resulting in service interruptions, outages and delays. Such constraints can also lead to the deterioration of our services or impair our ability to process transactions. We occasionally experience system interruptions that make certain of our systems unavailable including, but not limited to, our GDS and the services that our Airline and Hospitality Solutions business provides to airlines and hotels. System interruptions may prevent us from efficiently providing services to customers or other third parties, which could cause damage to our reputation and result in our losing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196"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5"/>
          <w:szCs w:val="15"/>
          <w:color w:val="auto"/>
        </w:rPr>
        <w:t>Our systems may also be susceptible to external damage or disruption. Much of the computer and communications hardware upon which we depend is located across multiple data center facilities in a single geographic region. Our systems could be damaged or disrupted by power, hardware, software or telecommunication failures, human errors, natural events including floods, hurricanes, fires, winter storms, earthquakes and tornadoes, terrorism, break-ins, hostilities, war or similar events. Computer viruses, malware, denial of service attacks, physical or electronic break-ins and similar disruptions affecting the Internet, telecommunication services or our systems could cause service interruptions or the loss of critical data, and could prevent us from providing timely services. See “-Security breaches could expose us to liability and damage our reputation and our business.” Failure to efficiently provide services to customers or other third parties could cause damage to our reputation and result in the loss of customers and revenues, significant recovery costs or litigation and liabilities. Moreover, such risks are likely to increase as we expand our business and as the tools and techniques involved become more sophisticated.</w:t>
      </w:r>
    </w:p>
    <w:p>
      <w:pPr>
        <w:spacing w:after="0" w:line="196"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 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192"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breaches that affect third parties upon which we rely, such as travel suppliers, may further expose us to negative publicity, possible liability or regulatory penalties. Events outside our control could cause interruptions in our IT systems, which could have a material adverse effect on our business operations and harm our reputation.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20"/>
          </w:cols>
          <w:pgMar w:left="240" w:top="656" w:right="239" w:bottom="1440" w:gutter="0" w:footer="0" w:header="0"/>
        </w:sectPr>
      </w:pPr>
    </w:p>
    <w:bookmarkStart w:id="8" w:name="page9"/>
    <w:bookmarkEnd w:id="8"/>
    <w:p>
      <w:pPr>
        <w:ind w:left="440"/>
        <w:spacing w:after="0" w:line="270" w:lineRule="auto"/>
        <w:rPr>
          <w:sz w:val="20"/>
          <w:szCs w:val="20"/>
          <w:color w:val="auto"/>
        </w:rPr>
      </w:pPr>
      <w:r>
        <w:rPr>
          <w:rFonts w:ascii="Arial" w:cs="Arial" w:eastAsia="Arial" w:hAnsi="Arial"/>
          <w:sz w:val="15"/>
          <w:szCs w:val="15"/>
          <w:b w:val="1"/>
          <w:bCs w:val="1"/>
          <w:i w:val="1"/>
          <w:iCs w:val="1"/>
          <w:color w:val="auto"/>
        </w:rPr>
        <w:t>The travel distribution market is highly competitive, and we are subject to competition from other GDS providers, direct distribution by travel suppliers and new entrants or technologies that may challenge the GDS business model.</w:t>
      </w:r>
    </w:p>
    <w:p>
      <w:pPr>
        <w:spacing w:after="0" w:line="71"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4"/>
          <w:szCs w:val="14"/>
          <w:color w:val="auto"/>
        </w:rPr>
        <w:t>The evolution of the global travel and tourism industry, the introduction of new technologies and standards and the expansion of existing technologies in key markets, among other factors, could contribute to an intensification of competition in the business areas and regions in which we operate. Increased competition could require us to increase spending on marketing activities or product development, to decrease our booking or transaction fees and other charges (or defer planned increases in such fees and charges), to increase incentive consideration or take other actions that could harm our business. A GDS has two broad categories of customers: (i) travel suppliers, such as airlines, hotels, car rental brands, rail carriers, cruise lines and tour operators, and (ii) travel buyers, such as online and offline travel agencies, TMCs and corporate travel departments. The competitive positioning of a GDS depends on the success it achieves with both customer categories. Other factors that may affect the competitive success of a GDS include the comprehensiveness, timeliness and accuracy of the travel content offered, the reliability, ease of use and innovativeness of the technology, the perceived value proposition of our GDS by travel suppliers and travel buyers, the incentive consideration provided to travel agencies, the transaction fees charged to travel suppliers and the range of products and services available to travel suppliers and travel buyers. Our GDS competitors could seek to capture market share by offering more differentiated content, products or services, increasing the incentive consideration to travel agencies, or decreasing the transaction fees charged to travel suppliers, which would harm our business to the extent they gain market share from us or force us to respond by lowering our prices or increasing the incentive consideration we provide.</w:t>
      </w:r>
    </w:p>
    <w:p>
      <w:pPr>
        <w:spacing w:after="0" w:line="181"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We cannot guarantee that we will be able to compete successfully against our current and future competitors in the travel distribution market, some of which may achieve greater brand recognition than us, have greater financial, marketing, personnel and other resources or be able to secure services and products from travel suppliers on more favorable terms. If we fail to overcome these competitive pressures, we may lose market share and our business may otherwise be negatively affected.</w:t>
      </w:r>
    </w:p>
    <w:p>
      <w:pPr>
        <w:spacing w:after="0" w:line="270"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Our ability to maintain and grow our Airline and Hospitality Solutions business may be negatively affected by competition from other third-party solutions providers and new participants that seek to enter the solutions market.</w:t>
      </w:r>
    </w:p>
    <w:p>
      <w:pPr>
        <w:spacing w:after="0" w:line="71"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Our Airline and Hospitality Solutions business principally faces competition from existing third-party solutions providers. We also compete with various point solutions providers on a more limited basis in several discrete functional areas. For our Hospitality Solutions business, we face competition across many aspects of our business but our primary competitors are in the hospitality CRS and PMS fields.</w:t>
      </w:r>
    </w:p>
    <w:p>
      <w:pPr>
        <w:spacing w:after="0" w:line="386"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Factors that may affect the competitive success of our Airline and Hospitality Solutions business include our pricing structure, our ability to keep pace with technological developments, the effectiveness and reliability of our implementation and system migration processes, our ability to meet a variety of customer specifications, the effectiveness and reliability of our systems, the cost and efficiency of our system upgrades and our customer support services. Our failure to compete effectively on these and other factors could decrease our market share and negatively affect our Airline and Hospitality Solutions business.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Security breaches could expose us to liability and damage our reputation and our business.</w:t>
      </w:r>
    </w:p>
    <w:p>
      <w:pPr>
        <w:spacing w:after="0" w:line="115"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We process, store, and transmit large amounts of data, including personally identifiable information ("PII") and payment card industry data ("PCI") of our customers, and it is critical to our business strategy that our facilities and infrastructure, including those provided by HP Enterprises, LLC ("HPE") or other vendors, remain secure and are perceived by the marketplace to be secure. Our infrastructure may be vulnerable to physical break-ins, computer viruses, or similar disruptive problems.</w:t>
      </w:r>
    </w:p>
    <w:p>
      <w:pPr>
        <w:spacing w:after="0" w:line="19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addition, we, like most technology companies, are the target of cybercriminals who attempt to compromise our systems. From time to time, we experience cybersecurity incidents that have to be identified and remediated to protect sensitive information along with our intellectual property and our overall business. To address these threats and intrusions, we have a team of experienced security experts and support from firms that specialize in cybersecurity. We have in the past experienced cybersecurity incidents, and there is a risk that additional incidents could occur and sensitive or material information could be compromised in the future. The costs of any investigation of such future incidents, as well as any remediation related to these incidents, may be material.</w:t>
      </w:r>
    </w:p>
    <w:p>
      <w:pPr>
        <w:spacing w:after="0" w:line="192"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Any physical or electronic break-in, cybersecurity incidents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w:t>
      </w:r>
    </w:p>
    <w:p>
      <w:pPr>
        <w:spacing w:after="0" w:line="19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Any systems and processes that we have developed that are designed to protect customer information and prevent data loss and other security breaches cannot provide absolute security. In addition, we may not successfully implement remediation plans to address all potential exposures. It is possible that we may have to expend additional financial and other resources to address such problems. Failure to prevent or mitigate data loss or other security breaches could expose us or our customers to a risk of loss or misuse of such information, cause customers to lose confidence in our data protection measures, damage our reputation, adversely affect our operating results or result in litigation or potential liability for us. While we maintain insurance coverage that may, subject to policy terms and conditions, cover certain aspects of cyber risks, this insurance coverage is subject to a retention amount and may not be applicable to a particular incident or otherwise may be insufficient to cover all our losses beyond any retention. Similarly, we expect to continue to make significant investments in our information technology infrastructure.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835" w:right="239" w:bottom="1440" w:gutter="0" w:footer="0" w:header="0"/>
        </w:sectPr>
      </w:pPr>
    </w:p>
    <w:bookmarkStart w:id="9" w:name="page10"/>
    <w:bookmarkEnd w:id="9"/>
    <w:p>
      <w:pPr>
        <w:jc w:val="both"/>
        <w:spacing w:after="0" w:line="245" w:lineRule="auto"/>
        <w:rPr>
          <w:sz w:val="20"/>
          <w:szCs w:val="20"/>
          <w:color w:val="auto"/>
        </w:rPr>
      </w:pPr>
      <w:r>
        <w:rPr>
          <w:rFonts w:ascii="Arial" w:cs="Arial" w:eastAsia="Arial" w:hAnsi="Arial"/>
          <w:sz w:val="15"/>
          <w:szCs w:val="15"/>
          <w:color w:val="auto"/>
        </w:rPr>
        <w:t>The implementation of these investments may be more costly or take longer than we anticipate, or could otherwise adversely affect our business operations, which could negatively impact our financial position, results of operations or cash flows.</w:t>
      </w:r>
    </w:p>
    <w:p>
      <w:pPr>
        <w:spacing w:after="0" w:line="268"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Any inability or failure to adapt to technological developments or the evolving competitive landscape could harm our business operations and competitiveness.</w:t>
      </w:r>
    </w:p>
    <w:p>
      <w:pPr>
        <w:spacing w:after="0" w:line="71"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We depend upon the use of sophisticated information technology and systems. Our competitiveness and future results depend on our ability to maintain and make timely and cost-effective enhancements, upgrades and additions to our products, services, technologies and systems in response to new technological developments, industry standards and trends and customer demands. For example, we currently utilize mainframe infrastructure technology for certain of our enterprise applications and platforms. Because the number of users and programmers able to service this technology is decreasing, migration to another business environment could cause us to incur substantial costs, result in instability and business interruptions and materially harm our business.</w:t>
      </w:r>
    </w:p>
    <w:p>
      <w:pPr>
        <w:spacing w:after="0" w:line="192"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Adapting to new technological and marketplace developments, such as IATA’s new distribution capability (“NDC”),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in the travel distribution market. Those that we do develop may not achieve acceptance in the marketplace sufficient to generate material revenue or may be rendered obsolete or non-competitive by our competitors’ offerings.</w:t>
      </w:r>
    </w:p>
    <w:p>
      <w:pPr>
        <w:spacing w:after="0" w:line="191"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In addition, our competitors are constantly increasing their product and service offerings through organic research and development or through strategic acquisitions. As a result, we must continue to invest significant resources in research and development in order to continually improve the speed, accuracy and comprehensiveness of our services and we may be required to make changes to our technology platforms or increase our investment in technology, increase marketing, adjust prices or business models and take other actions, which could affect our financial performance and liquidity.</w:t>
      </w:r>
    </w:p>
    <w:p>
      <w:pPr>
        <w:spacing w:after="0" w:line="270"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Our Travel Network business and our Airline and Hospitality Solutions business depend on maintaining and renewing contracts with their customers and other counterparties</w:t>
      </w:r>
      <w:r>
        <w:rPr>
          <w:rFonts w:ascii="Arial" w:cs="Arial" w:eastAsia="Arial" w:hAnsi="Arial"/>
          <w:sz w:val="15"/>
          <w:szCs w:val="15"/>
          <w:color w:val="auto"/>
        </w:rPr>
        <w:t>.</w:t>
      </w:r>
    </w:p>
    <w:p>
      <w:pPr>
        <w:spacing w:after="0" w:line="71"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our Travel Network business, we enter into participating carrier distribution and services agreements with airlines. Our contracts with major carriers typically last for three- to five-year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Airlines are not contractually obligated to distribute exclusively through our GDS during the contract term and may terminate their agreements with us upon providing the required advance notice after the expiration of the initial term. We cannot guarantee that we will be able to renew our airline contracts in the future on favorable economic terms or at all. See “—Our Travel Network business is exposed to pricing pressure from travel suppliers."</w:t>
      </w:r>
    </w:p>
    <w:p>
      <w:pPr>
        <w:spacing w:after="0" w:line="192"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We also enter into contracts with travel buyers. Although most of our travel buyer contracts have terms of one to three years, we typically have non-exclusive, five- to ten-year contracts with our major travel agency customers. We also typically have three- to five-year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w:t>
      </w:r>
    </w:p>
    <w:p>
      <w:pPr>
        <w:spacing w:after="0" w:line="192"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5"/>
          <w:szCs w:val="15"/>
          <w:color w:val="auto"/>
        </w:rPr>
        <w:t>Similarly, our Airline and Hospitality Solutions business is based on contracts with travel suppliers for a typical duration of three to seven years for airlines and one to five years for hotels. We cannot guarantee that we will be able to renew our solutions contracts in the future on favorable economic terms or at all.</w:t>
      </w:r>
    </w:p>
    <w:p>
      <w:pPr>
        <w:spacing w:after="0" w:line="188"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Additionally, we use several third-party distributor partners and joint ventures to extend our GDS services in EMEA and APAC. The termination of our contractual arrangements with any such third-party distributor partners and joint ventures could adversely impact our Travel Network business in the relevant markets. See “—We rely on third-party distributor partners and joint ventures to extend our GDS services to certain regions, which exposes us to risks associated with lack of direct management control and potential conflicts of interest” for more information on our relationships with our third-party distributor partners and joint ventures.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755" w:right="239" w:bottom="1440" w:gutter="0" w:footer="0" w:header="0"/>
        </w:sectPr>
      </w:pPr>
    </w:p>
    <w:bookmarkStart w:id="10" w:name="page11"/>
    <w:bookmarkEnd w:id="10"/>
    <w:p>
      <w:pPr>
        <w:jc w:val="both"/>
        <w:ind w:right="20" w:firstLine="441"/>
        <w:spacing w:after="0"/>
        <w:rPr>
          <w:sz w:val="20"/>
          <w:szCs w:val="20"/>
          <w:color w:val="auto"/>
        </w:rPr>
      </w:pPr>
      <w:r>
        <w:rPr>
          <w:rFonts w:ascii="Arial" w:cs="Arial" w:eastAsia="Arial" w:hAnsi="Arial"/>
          <w:sz w:val="15"/>
          <w:szCs w:val="15"/>
          <w:color w:val="auto"/>
        </w:rPr>
        <w:t>Our failure to renew some or all of these agreements on economically favorable terms or at all, or the early termination of these existing contracts, would adversely affect the value of our Travel Network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joint ventures or developing relationships with new travel buyers and travel suppliers to offset any customer losses.</w:t>
      </w:r>
    </w:p>
    <w:p>
      <w:pPr>
        <w:spacing w:after="0" w:line="192" w:lineRule="exact"/>
        <w:rPr>
          <w:sz w:val="20"/>
          <w:szCs w:val="20"/>
          <w:color w:val="auto"/>
        </w:rPr>
      </w:pPr>
    </w:p>
    <w:p>
      <w:pPr>
        <w:jc w:val="both"/>
        <w:ind w:right="20" w:firstLine="441"/>
        <w:spacing w:after="0" w:line="245" w:lineRule="auto"/>
        <w:rPr>
          <w:sz w:val="20"/>
          <w:szCs w:val="20"/>
          <w:color w:val="auto"/>
        </w:rPr>
      </w:pPr>
      <w:r>
        <w:rPr>
          <w:rFonts w:ascii="Arial" w:cs="Arial" w:eastAsia="Arial" w:hAnsi="Arial"/>
          <w:sz w:val="15"/>
          <w:szCs w:val="15"/>
          <w:color w:val="auto"/>
        </w:rPr>
        <w:t>We are subject to a certain degree of revenue concentration among a portion of our customer base. Because of this concentration among a small number of customers, if an event were to adversely affect one of these customers, it could have a material impact on our business.</w:t>
      </w:r>
    </w:p>
    <w:p>
      <w:pPr>
        <w:spacing w:after="0" w:line="268" w:lineRule="exact"/>
        <w:rPr>
          <w:sz w:val="20"/>
          <w:szCs w:val="20"/>
          <w:color w:val="auto"/>
        </w:rPr>
      </w:pPr>
    </w:p>
    <w:p>
      <w:pPr>
        <w:ind w:left="440" w:right="20"/>
        <w:spacing w:after="0" w:line="270" w:lineRule="auto"/>
        <w:rPr>
          <w:sz w:val="20"/>
          <w:szCs w:val="20"/>
          <w:color w:val="auto"/>
        </w:rPr>
      </w:pPr>
      <w:r>
        <w:rPr>
          <w:rFonts w:ascii="Arial" w:cs="Arial" w:eastAsia="Arial" w:hAnsi="Arial"/>
          <w:sz w:val="15"/>
          <w:szCs w:val="15"/>
          <w:b w:val="1"/>
          <w:bCs w:val="1"/>
          <w:i w:val="1"/>
          <w:iCs w:val="1"/>
          <w:color w:val="auto"/>
        </w:rPr>
        <w:t>Our travel supplier customers may experience financial instability or consolidation, pursue cost reductions, change their distribution model or undergo other changes.</w:t>
      </w:r>
    </w:p>
    <w:p>
      <w:pPr>
        <w:spacing w:after="0" w:line="71"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We generate the majority of our revenue and accounts receivable from airlines.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level of bad debt expense and negatively affect our results. Any large-scale bankruptcy or other insolvency proceeding of an airline or hospitality supplier could subject our agreements with that customer to rejection or early termination. Because we generally do not require security or collateral from our customers as a condition of sale, our revenues may be subject to credit risk more generally.</w:t>
      </w:r>
    </w:p>
    <w:p>
      <w:pPr>
        <w:spacing w:after="0" w:line="191"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Furthermore, supplier consolidation, particularly in the airline industry, could harm our business. Our Travel Network business depends on a relatively small number of U.S.-based airlines for a substantial portion of its revenue, and all of our businesses are highly dependent on airline ticket volumes. Consolidation among airlines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See "—Our Travel Network business is exposed to pricing pressure from travel suppliers." In addition, consolidation among travel suppliers may result in one or more suppliers refusing to provide certain content to Sabre but rather making it exclusively available on the suppliers’ proprietary websites, hurting the competitive position of our GDS relative to those websites. See “—Travel suppliers’ use of alternative distribution models, such as direct distribution models, could adversely affect our Travel Network business.”</w:t>
      </w:r>
    </w:p>
    <w:p>
      <w:pPr>
        <w:spacing w:after="0" w:line="271"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We rely on third-party distributor partners and joint ventures to extend our GDS services to certain regions, which exposes us to risks associated with lack of direct management control and potential conflicts of interest.</w:t>
      </w:r>
    </w:p>
    <w:p>
      <w:pPr>
        <w:spacing w:after="0" w:line="71"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Our Travel Network business utilizes third-party distributor partners and joint ventures to extend our GDS services in EMEA and APAC. We work with these partners to establish and maintain commercial and customer service relationships with both travel suppliers and travel buyers. Since, in many cases, we do not exercise full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 In addition, our business may be harmed due to potential conflicts of interest with our joint venture partners.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Travel Network business depends on relationships with travel buyers.</w:t>
      </w:r>
    </w:p>
    <w:p>
      <w:pPr>
        <w:spacing w:after="0" w:line="115"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Our Travel Network business relies on relationships with several large travel buyers, including TMCs and OTAs, to generate a large portion of its revenue through bookings made by these travel companies. This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w:t>
      </w:r>
    </w:p>
    <w:p>
      <w:pPr>
        <w:spacing w:after="0" w:line="190"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or to increase their bargaining power with GDS providers. Additionally, some regulations allow travel buyers to terminate their contracts earlier.</w:t>
      </w:r>
    </w:p>
    <w:p>
      <w:pPr>
        <w:spacing w:after="0" w:line="190"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"Management's Discussion and Analysis of Financial Condition and Results of Operations—Factors Affecting Our Results—Increasing travel agency incentive consideration" included in Part II, Item 7 for more</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40" w:top="755" w:right="219" w:bottom="1440" w:gutter="0" w:footer="0" w:header="0"/>
        </w:sectPr>
      </w:pPr>
    </w:p>
    <w:bookmarkStart w:id="11" w:name="page12"/>
    <w:bookmarkEnd w:id="11"/>
    <w:p>
      <w:pPr>
        <w:jc w:val="both"/>
        <w:ind w:right="20"/>
        <w:spacing w:after="0" w:line="245" w:lineRule="auto"/>
        <w:rPr>
          <w:sz w:val="20"/>
          <w:szCs w:val="20"/>
          <w:color w:val="auto"/>
        </w:rPr>
      </w:pPr>
      <w:r>
        <w:rPr>
          <w:rFonts w:ascii="Arial" w:cs="Arial" w:eastAsia="Arial" w:hAnsi="Arial"/>
          <w:sz w:val="15"/>
          <w:szCs w:val="15"/>
          <w:color w:val="auto"/>
        </w:rPr>
        <w:t>information about our incentive 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business could be harmed by adverse global and regional economic and political conditions.</w:t>
      </w:r>
    </w:p>
    <w:p>
      <w:pPr>
        <w:spacing w:after="0" w:line="115"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Travel expenditures are sensitive to personal and business discretionary spending levels and grow more slowly or decline during economic downturns. We derive the majority of our revenue from the United States and Europe, and we have expanded Travel Network's presence in APAC through the acquisition of SAPPL. Our geographic concentration in the United States and Europe, as well as our expanded focus in APAC, makes our business potentially vulnerable to economic and political conditions that adversely affect business and leisure travel originating in or traveling to these regions.</w:t>
      </w:r>
    </w:p>
    <w:p>
      <w:pPr>
        <w:spacing w:after="0" w:line="19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Despite modest growth in the U.S. economy, there is still weakness in other parts of the global economy, including increased unemployment, reduced financial capacity of both business and leisure travelers, diminished liquidity and credit availability, declines in consumer confidence and discretionary income and general uncertainty about economic stability. Furthermore, recent changes in the U.S. political environment have resulted in additional uncertainties with respect to travel restrictions, and the regulatory, tax and economic environment in the United States, which could adversely impact travel demand, our business operations or our financial results. We cannot predict the magnitude, length or recurrence of recessionary or low-growth economic patterns, which have impacted, and may continue to impact, demand for travel and lead to reduced spending on the services we provide.</w:t>
      </w:r>
    </w:p>
    <w:p>
      <w:pPr>
        <w:spacing w:after="0" w:line="192"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We derive the remainder of our revenues from Latin America, the Middle East and Africa and APAC. Any unfavorable economic, political or regulatory developments in these regions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these emerging markets. For example, markets that have traditionally had a high level of exports to China, or that have commodities-based economies, have continued to experience slowing or deteriorating economic conditions. These adverse economic conditions may negatively impact our business results in those regions.</w:t>
      </w:r>
    </w:p>
    <w:p>
      <w:pPr>
        <w:spacing w:after="0" w:line="192"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Similarly, in Venezuela, due to currency controls that impact the ability of certain of our airline customers operating in the country to obtain U.S. dollars to make timely payments to us, the collection of accounts receivable due to us can be, and has been, delayed. Due to the nature of this delay, we are deferring the recognition of any future revenues until cash is collected in accordance with our policies. Accordingly, our accounts receivable are subject to a general collection risk, as there can be no assurance that we will be paid from such customers in a timely manner, if at all. In response to the political and economic uncertainty in Venezuela, certain airlines have scaled back operations in response to the reduced demand for travel by local consumers as well as the currency controls which has impacted our airline customers in Venezuela.</w:t>
      </w:r>
    </w:p>
    <w:p>
      <w:pPr>
        <w:spacing w:after="0" w:line="192"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In June 2016, voters in the U.K. approved the exit of that country from the E.U. (“Brexit”), and the British government has indicated that it intends to negotiate the withdrawal of the U.K. from the E.U. based on the results of this vote. The Brexit vote has created significant economic uncertainty in the U.K. and in EMEA, which may negatively impact our business results in those regions. In addition, the terms of the U.K.’s withdrawal from the E.U., once negotiated, could potentially disrupt the markets we serve and the tax jurisdictions in which we operate and adversely change tax benefits or liabilities in these or other jurisdictions, and may cause us to lose customers, suppliers, and employees. In addition, Brexit could lead to legal uncertainty and potentially divergent national laws and regulations as the U.K. determines which E.U. laws to replace or replicate.</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operate a global business that exposes us to risks associated with international activities.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international operations involve risks that are not generally encountered when doing business in the United States. These risks include, but are not limited to:</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business, political and economic instability in foreign locations, including actual or threatened terrorist activities, and military action;</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foreign currency exchange rates and financial risk arising from transactions in multiple currencies;</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adverse laws and regulatory requirements, including more comprehensive regulation in the EU and the possible effects of the Brexit vote;</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difficulty in developing, managing and staffing international operations because of distance, language and cultural differences;</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disruptions to or delays in the development of communication and transportation services and infrastructure;</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consumer attitudes, including the preference of customers for local providers;</w:t>
      </w:r>
    </w:p>
    <w:p>
      <w:pPr>
        <w:ind w:left="740" w:right="20" w:hanging="300"/>
        <w:spacing w:after="0" w:line="238" w:lineRule="auto"/>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increasing labor costs due to high wage inflation in foreign locations, differences in general employment conditions and regulations, and the degree of employee unionization and activism;</w:t>
      </w:r>
    </w:p>
    <w:p>
      <w:pPr>
        <w:spacing w:after="0" w:line="1" w:lineRule="exact"/>
        <w:rPr>
          <w:rFonts w:ascii="Arial" w:cs="Arial" w:eastAsia="Arial" w:hAnsi="Arial"/>
          <w:sz w:val="15"/>
          <w:szCs w:val="15"/>
          <w:color w:val="auto"/>
        </w:rPr>
      </w:pP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export or trade restrictions or currency controls;</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more restrictive data privacy requirements;</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governmental policies or actions, such as consumer, labor and trade protection measures and travel restrictions;</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taxes, restrictions on foreign investment and limits on the repatriation of funds;</w:t>
      </w:r>
    </w:p>
    <w:p>
      <w:pPr>
        <w:ind w:left="740" w:hanging="300"/>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diminished ability to legally enforce our contractual rights; and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40"/>
          </w:cols>
          <w:pgMar w:left="240" w:top="755" w:right="219" w:bottom="1440" w:gutter="0" w:footer="0" w:header="0"/>
        </w:sectPr>
      </w:pPr>
    </w:p>
    <w:bookmarkStart w:id="12" w:name="page13"/>
    <w:bookmarkEnd w:id="12"/>
    <w:p>
      <w:pPr>
        <w:ind w:left="740" w:hanging="300"/>
        <w:spacing w:after="0"/>
        <w:tabs>
          <w:tab w:leader="none" w:pos="74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decreased protection for intellectual property.</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Any of the foregoing risks may adversely affect our ability to conduct and grow our business internationally.</w:t>
      </w:r>
    </w:p>
    <w:p>
      <w:pPr>
        <w:spacing w:after="0" w:line="276"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We rely on the availability and performance of information technology services provided by third parties, including HPE, which manages a significant portion of our systems.</w:t>
      </w:r>
    </w:p>
    <w:p>
      <w:pPr>
        <w:spacing w:after="0" w:line="71" w:lineRule="exact"/>
        <w:rPr>
          <w:sz w:val="20"/>
          <w:szCs w:val="20"/>
          <w:color w:val="auto"/>
        </w:rPr>
      </w:pPr>
    </w:p>
    <w:p>
      <w:pPr>
        <w:jc w:val="both"/>
        <w:ind w:right="20" w:firstLine="441"/>
        <w:spacing w:after="0" w:line="242" w:lineRule="auto"/>
        <w:rPr>
          <w:sz w:val="20"/>
          <w:szCs w:val="20"/>
          <w:color w:val="auto"/>
        </w:rPr>
      </w:pPr>
      <w:r>
        <w:rPr>
          <w:rFonts w:ascii="Arial" w:cs="Arial" w:eastAsia="Arial" w:hAnsi="Arial"/>
          <w:sz w:val="15"/>
          <w:szCs w:val="15"/>
          <w:color w:val="auto"/>
        </w:rPr>
        <w:t>Our businesses are largely dependent on the computer data centers and network systems operated for us by HPE, including through our recently amended agreement with HPE. We also rely on other developers and service providers to maintain and support our global telecommunications infrastructure, including to connect our computer data center and call centers to end-users.</w:t>
      </w:r>
    </w:p>
    <w:p>
      <w:pPr>
        <w:spacing w:after="0" w:line="190" w:lineRule="exact"/>
        <w:rPr>
          <w:sz w:val="20"/>
          <w:szCs w:val="20"/>
          <w:color w:val="auto"/>
        </w:rPr>
      </w:pPr>
    </w:p>
    <w:p>
      <w:pPr>
        <w:jc w:val="both"/>
        <w:ind w:right="20" w:firstLine="441"/>
        <w:spacing w:after="0" w:line="238" w:lineRule="auto"/>
        <w:rPr>
          <w:sz w:val="20"/>
          <w:szCs w:val="20"/>
          <w:color w:val="auto"/>
        </w:rPr>
      </w:pPr>
      <w:r>
        <w:rPr>
          <w:rFonts w:ascii="Arial" w:cs="Arial" w:eastAsia="Arial" w:hAnsi="Arial"/>
          <w:sz w:val="15"/>
          <w:szCs w:val="15"/>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HPE provides us with limited indemnification rights. We could face significant additional cost or business disruption if:</w:t>
      </w:r>
    </w:p>
    <w:p>
      <w:pPr>
        <w:spacing w:after="0" w:line="2" w:lineRule="exact"/>
        <w:rPr>
          <w:sz w:val="20"/>
          <w:szCs w:val="20"/>
          <w:color w:val="auto"/>
        </w:rPr>
      </w:pPr>
    </w:p>
    <w:p>
      <w:pPr>
        <w:jc w:val="both"/>
        <w:ind w:left="740" w:right="20" w:hanging="300"/>
        <w:spacing w:after="0" w:line="238" w:lineRule="auto"/>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of these providers fail to enable us to provide our customers and suppliers with reliable, real-time access to our systems. For example, in 2013, we experienced a significant outage of the Sabre platform due to a failure on the part of one of our service providers. This outage, which affected both our Travel Network business and our Airline Solutions business, lasted several hours and caused significant problems for our customers. Any such future outages could cause damage to our reputation, customer loss and require us to pay compensation to affected customers for which we may not be indemnified or compensated.</w:t>
      </w:r>
    </w:p>
    <w:p>
      <w:pPr>
        <w:spacing w:after="0" w:line="2" w:lineRule="exact"/>
        <w:rPr>
          <w:rFonts w:ascii="Arial" w:cs="Arial" w:eastAsia="Arial" w:hAnsi="Arial"/>
          <w:sz w:val="15"/>
          <w:szCs w:val="15"/>
          <w:color w:val="auto"/>
        </w:rPr>
      </w:pPr>
    </w:p>
    <w:p>
      <w:pPr>
        <w:jc w:val="both"/>
        <w:ind w:left="740" w:right="20" w:hanging="300"/>
        <w:spacing w:after="0" w:line="242" w:lineRule="auto"/>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arrangements with such providers are terminated or impaired and we cannot find alternative sources of technology or systems support on commercially reasonable terms or on a timely basis. For example, our substantial dependence on HPE for many of our systems makes it difficult for us to switch vendors and makes us more sensitive to changes in HPE’s pricing for its services.</w:t>
      </w:r>
    </w:p>
    <w:p>
      <w:pPr>
        <w:spacing w:after="0" w:line="190" w:lineRule="exact"/>
        <w:rPr>
          <w:sz w:val="20"/>
          <w:szCs w:val="20"/>
          <w:color w:val="auto"/>
        </w:rPr>
      </w:pPr>
    </w:p>
    <w:p>
      <w:pPr>
        <w:ind w:right="120" w:firstLine="441"/>
        <w:spacing w:after="0" w:line="245" w:lineRule="auto"/>
        <w:rPr>
          <w:sz w:val="20"/>
          <w:szCs w:val="20"/>
          <w:color w:val="auto"/>
        </w:rPr>
      </w:pPr>
      <w:r>
        <w:rPr>
          <w:rFonts w:ascii="Arial" w:cs="Arial" w:eastAsia="Arial" w:hAnsi="Arial"/>
          <w:sz w:val="15"/>
          <w:szCs w:val="15"/>
          <w:color w:val="auto"/>
        </w:rPr>
        <w:t>In addition, HPE has announced a plan to spin off its Enterprise Services segment business and merge it with CSC. There could be uncertainty, delays or disruptions in HPE’s services in anticipation or as a result of these transactions, which could result in additional costs or business disruptions for us.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use open source software in our solutions that may subject our software solutions to general release or require us to re-engineer our solutions.</w:t>
      </w:r>
    </w:p>
    <w:p>
      <w:pPr>
        <w:spacing w:after="0" w:line="115" w:lineRule="exact"/>
        <w:rPr>
          <w:sz w:val="20"/>
          <w:szCs w:val="20"/>
          <w:color w:val="auto"/>
        </w:rPr>
      </w:pPr>
    </w:p>
    <w:p>
      <w:pPr>
        <w:jc w:val="both"/>
        <w:ind w:right="20" w:firstLine="441"/>
        <w:spacing w:after="0" w:line="239" w:lineRule="auto"/>
        <w:rPr>
          <w:sz w:val="20"/>
          <w:szCs w:val="20"/>
          <w:color w:val="auto"/>
        </w:rPr>
      </w:pPr>
      <w:r>
        <w:rPr>
          <w:rFonts w:ascii="Arial" w:cs="Arial" w:eastAsia="Arial" w:hAnsi="Arial"/>
          <w:sz w:val="15"/>
          <w:szCs w:val="15"/>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 create based upon the open source software and that we license these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276" w:lineRule="exact"/>
        <w:rPr>
          <w:sz w:val="20"/>
          <w:szCs w:val="20"/>
          <w:color w:val="auto"/>
        </w:rPr>
      </w:pPr>
    </w:p>
    <w:p>
      <w:pPr>
        <w:ind w:left="440" w:right="300"/>
        <w:spacing w:after="0" w:line="270" w:lineRule="auto"/>
        <w:rPr>
          <w:sz w:val="20"/>
          <w:szCs w:val="20"/>
          <w:color w:val="auto"/>
        </w:rPr>
      </w:pPr>
      <w:r>
        <w:rPr>
          <w:rFonts w:ascii="Arial" w:cs="Arial" w:eastAsia="Arial" w:hAnsi="Arial"/>
          <w:sz w:val="15"/>
          <w:szCs w:val="15"/>
          <w:b w:val="1"/>
          <w:bCs w:val="1"/>
          <w:i w:val="1"/>
          <w:iCs w:val="1"/>
          <w:color w:val="auto"/>
        </w:rPr>
        <w:t>Our ability to recruit, train and retain employees, including our key executive officers and technical employees, is critical to our results of operations and future growth.</w:t>
      </w:r>
    </w:p>
    <w:p>
      <w:pPr>
        <w:spacing w:after="0" w:line="71"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Our continued ability to compete effectively depends on our ability to recruit new employees and retain and motivate existing employees, particularly professionals with experience in our industry, information technology and systems, as well as our key executive officers. For example, the specialized skills we require can be difficult and time-consuming to acquire and are often in short supply. There is high demand and competition for well-qualified employees on a global basis, such as software engineers, developers and other technology professionals with specialized knowledge in software development, especially expertise in certain programming languages. This competition affects both our ability to retain key employees and to hire new ones. Similarly, uncertainty in the global political environment may adversely affect our ability to hire and retain key employees.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40" w:top="558" w:right="219" w:bottom="1440" w:gutter="0" w:footer="0" w:header="0"/>
        </w:sectPr>
      </w:pPr>
    </w:p>
    <w:bookmarkStart w:id="13" w:name="page14"/>
    <w:bookmarkEnd w:id="13"/>
    <w:p>
      <w:pPr>
        <w:jc w:val="both"/>
        <w:ind w:firstLine="441"/>
        <w:spacing w:after="0"/>
        <w:rPr>
          <w:sz w:val="20"/>
          <w:szCs w:val="20"/>
          <w:color w:val="auto"/>
        </w:rPr>
      </w:pPr>
      <w:r>
        <w:rPr>
          <w:rFonts w:ascii="Arial" w:cs="Arial" w:eastAsia="Arial" w:hAnsi="Arial"/>
          <w:sz w:val="15"/>
          <w:szCs w:val="15"/>
          <w:color w:val="auto"/>
        </w:rPr>
        <w:t>Any of our employees may choose to terminate their employment with us at any time, and a lengthy period of time is required to hire and train replacement employees when such skilled individuals leave the company. For example, Sean Menke has recently been elected as President and Chief Executive Officer of Sabre, effective December 31, 2016. Our business operations may be affected by the CEO transition, potentially resulting from modifications to our business strategies announced by our new CEO and increased long term investment in key areas, such as technology infrastructure, that may have a negative impact in the short term due to expected increases in operating expenses and capital expenditures.</w:t>
      </w:r>
    </w:p>
    <w:p>
      <w:pPr>
        <w:spacing w:after="0" w:line="192"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 Even if we are able to maintain our employee base, the resources needed to recruit and retain such employees may adversely affect our business, financial condition and results of operations.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are exposed to risks associated with acquiring or divesting businesses or business operations.</w:t>
      </w:r>
    </w:p>
    <w:p>
      <w:pPr>
        <w:spacing w:after="0" w:line="115"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5"/>
          <w:szCs w:val="15"/>
          <w:color w:val="auto"/>
        </w:rPr>
        <w:t>We have acquired, and, as part of our growth strategy, may in the future acquire, businesses or business operations, including our acquisition of Abacus in July 2015.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 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transaction, including the inability to achieve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such transactions, we may need to raise external funds through the sale of equity or the issuance of debt in the capital markets or through private placements, which may affect our liquidity and may dilute the value of our common stock. See "-We have a significant amount of indebtedness, which could adversely affect our cash flow and our ability to operate our business and to fulfill our obligations under our indebtedness."</w:t>
      </w:r>
    </w:p>
    <w:p>
      <w:pPr>
        <w:spacing w:after="0" w:line="196"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4"/>
          <w:szCs w:val="14"/>
          <w:color w:val="auto"/>
        </w:rPr>
        <w:t>We have also divested, and may in the future divest, businesses or business operations. Any divestitures may involve a number of risks, including the diversion of management’s attention, significant costs and expenses,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rely on the value of our brands, which may be damaged by a number of factors, some of which are out of our control.</w:t>
      </w:r>
    </w:p>
    <w:p>
      <w:pPr>
        <w:spacing w:after="0" w:line="115"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We believe that maintaining and expanding our portfolio of product and service brands are important aspects of our efforts to attract and expand our customer base. Our brands may be negatively impacted by, among other things, unreliable service levels from third-party providers, customers’ inability to properly interface their applications with our technology, the loss or unauthorized disclosure of personal data, including PCI or PII, or other bad publicity due to litigation, regulatory concerns or otherwise relating to our business. See “-Security breaches could expose us to liability and damage our reputation and our business.” Any inability to maintain or enhance awareness of our brands among our existing and target customers could negatively affect our current and future business prospects.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are involved in various legal proceedings which may cause us to incur significant fees, costs and expenses and may result in unfavorable outcomes.</w:t>
      </w:r>
    </w:p>
    <w:p>
      <w:pPr>
        <w:spacing w:after="0" w:line="115"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5"/>
          <w:szCs w:val="15"/>
          <w:color w:val="auto"/>
        </w:rPr>
        <w:t>We are involved in various legal proceedings that involve claims for substantial amounts of money or which involve how we conduct our business. See Note 15, Commitments and Contingencies, to our consolidated financial statements. For example, we recently received a verdict in the antitrust litigation with US Airways, although a final judgment has not yet been entered and our motion seeking judgment as a matter of law in our favor is pending. Other parties might likewise seek to benefit from any unfavorable outcome by threatening to bring or actually bringing their own claims against us on the same or similar grounds or utilizing the litigation to seek more favorable contract terms. We are also subject to a U.S. Department of Justice (“DOJ”) antitrust investigation from 2011 relating to the pricing and conduct of the airline distribution industry. We received a civil investigative demand (“CID”) from the DOJ and we are fully cooperating. The DOJ has also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Depending on the outcome of any of these proceedings, and the scope of the outcome, the manner in which our airline distribution business is operated could be affected and could potentially force changes to the existing airline distribution business model.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0"/>
          </w:cols>
          <w:pgMar w:left="240" w:top="755" w:right="239" w:bottom="1440" w:gutter="0" w:footer="0" w:header="0"/>
        </w:sectPr>
      </w:pPr>
    </w:p>
    <w:bookmarkStart w:id="14" w:name="page15"/>
    <w:bookmarkEnd w:id="14"/>
    <w:p>
      <w:pPr>
        <w:jc w:val="both"/>
        <w:ind w:firstLine="441"/>
        <w:spacing w:after="0" w:line="241" w:lineRule="auto"/>
        <w:rPr>
          <w:sz w:val="20"/>
          <w:szCs w:val="20"/>
          <w:color w:val="auto"/>
        </w:rPr>
      </w:pPr>
      <w:r>
        <w:rPr>
          <w:rFonts w:ascii="Arial" w:cs="Arial" w:eastAsia="Arial" w:hAnsi="Arial"/>
          <w:sz w:val="15"/>
          <w:szCs w:val="15"/>
          <w:color w:val="auto"/>
        </w:rPr>
        <w:t>The defense of these actions, as well as any of the other actions described under Note 15, Commitments and Contingencies, to our consolidated financial statements or elsewhere in this Annual Report on Form 10-K, and any other actions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270"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Intellectual property infringement actions against us could be costly and time consuming to defend and may result in business harm if we are unsuccessful in our defense.</w:t>
      </w:r>
    </w:p>
    <w:p>
      <w:pPr>
        <w:spacing w:after="0" w:line="71"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These assertions may also be made against our customers who may seek indemnification from us. In the ordinary course of business, we enter into agreements that contain indemnity obligations whereby we are required to indemnify our customers against these assertions arising from our customers’ usage of our products, services or technology. As the competition in our industry increases and the functionality of technology offerings further overlaps, these claims and counterclaims could become more common. We cannot be certain that we do not or will not infringe third parties’ intellectual property rights.</w:t>
      </w:r>
    </w:p>
    <w:p>
      <w:pPr>
        <w:spacing w:after="0" w:line="192"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5"/>
          <w:szCs w:val="15"/>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competitive advantage. Our failure to prevail in such matters could result in loss of intellectual property rights, judgments awarding substantial damages, including possible treble damages and attorneys’ fees, and injunctive or other equitable relief against us. If we are held liable, we may be unable to exploit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276"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71"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We maintain third-party insurance coverage against various liability risks, including securities, stockholders,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sought or may seek to rescind or deny coverage with respect to pending claims or lawsuits, completed investigations or pending or future investigations and other legal actions against us. See Note 15, Commitments and Contingencies, to our consolidated financial statements for more information on our current litigation with our insurance carriers. If we do not have sufficient coverage under our policies, or if the insurance companies are successful in rescinding or denying coverage, we may be required to make material payments in connection with third-party claims.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effectively, which may allow competitors to duplicate our products and services.</w:t>
      </w:r>
    </w:p>
    <w:p>
      <w:pPr>
        <w:spacing w:after="0" w:line="11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190"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5"/>
          <w:szCs w:val="15"/>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3" w:lineRule="exact"/>
        <w:rPr>
          <w:sz w:val="20"/>
          <w:szCs w:val="20"/>
          <w:color w:val="auto"/>
        </w:rPr>
      </w:pPr>
    </w:p>
    <w:p>
      <w:pPr>
        <w:ind w:left="740" w:hanging="300"/>
        <w:spacing w:after="0" w:line="245" w:lineRule="auto"/>
        <w:tabs>
          <w:tab w:leader="none" w:pos="740" w:val="left"/>
        </w:tabs>
        <w:numPr>
          <w:ilvl w:val="0"/>
          <w:numId w:val="9"/>
        </w:numPr>
        <w:rPr>
          <w:rFonts w:ascii="Arial" w:cs="Arial" w:eastAsia="Arial" w:hAnsi="Arial"/>
          <w:sz w:val="15"/>
          <w:szCs w:val="15"/>
          <w:color w:val="auto"/>
        </w:rPr>
      </w:pPr>
      <w:r>
        <w:rPr>
          <w:rFonts w:ascii="Arial" w:cs="Arial" w:eastAsia="Arial" w:hAnsi="Arial"/>
          <w:sz w:val="15"/>
          <w:szCs w:val="15"/>
          <w:color w:val="auto"/>
        </w:rPr>
        <w:t>While we take reasonable steps to protect our brands and trademarks, we may not be successful in maintaining or defending our brands or preventing third parties from adopting similar brands. If our competitors infringe our principal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755" w:right="239" w:bottom="1440" w:gutter="0" w:footer="0" w:header="0"/>
        </w:sectPr>
      </w:pPr>
    </w:p>
    <w:bookmarkStart w:id="15" w:name="page16"/>
    <w:bookmarkEnd w:id="15"/>
    <w:p>
      <w:pPr>
        <w:ind w:left="740" w:right="20"/>
        <w:spacing w:after="0" w:line="307" w:lineRule="auto"/>
        <w:rPr>
          <w:sz w:val="20"/>
          <w:szCs w:val="20"/>
          <w:color w:val="auto"/>
        </w:rPr>
      </w:pPr>
      <w:r>
        <w:rPr>
          <w:rFonts w:ascii="Arial" w:cs="Arial" w:eastAsia="Arial" w:hAnsi="Arial"/>
          <w:sz w:val="15"/>
          <w:szCs w:val="15"/>
          <w:color w:val="auto"/>
        </w:rPr>
        <w:t>trademarks, our brands may become diluted or if our competitors introduce brands or products that cause confusion with our brands or products in the marketplace, the value that our consumers associate with our brands may become diminished, which could negatively impact revenue.</w:t>
      </w:r>
    </w:p>
    <w:p>
      <w:pPr>
        <w:jc w:val="both"/>
        <w:ind w:left="740" w:right="20" w:hanging="300"/>
        <w:spacing w:after="0" w:line="238" w:lineRule="auto"/>
        <w:tabs>
          <w:tab w:leader="none" w:pos="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w:t>
      </w:r>
    </w:p>
    <w:p>
      <w:pPr>
        <w:spacing w:after="0" w:line="2" w:lineRule="exact"/>
        <w:rPr>
          <w:rFonts w:ascii="Arial" w:cs="Arial" w:eastAsia="Arial" w:hAnsi="Arial"/>
          <w:sz w:val="15"/>
          <w:szCs w:val="15"/>
          <w:color w:val="auto"/>
        </w:rPr>
      </w:pPr>
    </w:p>
    <w:p>
      <w:pPr>
        <w:jc w:val="both"/>
        <w:ind w:left="740" w:right="20" w:hanging="300"/>
        <w:spacing w:after="0" w:line="238" w:lineRule="auto"/>
        <w:tabs>
          <w:tab w:leader="none" w:pos="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 party, we will need to register the copyright before we can file an infringement suit in the United States, and our remedies in any such infringement suit may be limited.</w:t>
      </w:r>
    </w:p>
    <w:p>
      <w:pPr>
        <w:spacing w:after="0" w:line="2" w:lineRule="exact"/>
        <w:rPr>
          <w:rFonts w:ascii="Arial" w:cs="Arial" w:eastAsia="Arial" w:hAnsi="Arial"/>
          <w:sz w:val="15"/>
          <w:szCs w:val="15"/>
          <w:color w:val="auto"/>
        </w:rPr>
      </w:pPr>
    </w:p>
    <w:p>
      <w:pPr>
        <w:ind w:left="740" w:right="20" w:hanging="300"/>
        <w:spacing w:after="0" w:line="238" w:lineRule="auto"/>
        <w:tabs>
          <w:tab w:leader="none" w:pos="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use reasonable efforts to protect our trade secrets. However, protecting trade secrets can be difficult and our efforts may provide inadequate protection to prevent unauthorized use, misappropriation, or disclosure of our trade secrets, know how, or other proprietary information.</w:t>
      </w:r>
    </w:p>
    <w:p>
      <w:pPr>
        <w:spacing w:after="0" w:line="1" w:lineRule="exact"/>
        <w:rPr>
          <w:rFonts w:ascii="Arial" w:cs="Arial" w:eastAsia="Arial" w:hAnsi="Arial"/>
          <w:sz w:val="15"/>
          <w:szCs w:val="15"/>
          <w:color w:val="auto"/>
        </w:rPr>
      </w:pPr>
    </w:p>
    <w:p>
      <w:pPr>
        <w:jc w:val="both"/>
        <w:ind w:left="740" w:right="20" w:hanging="300"/>
        <w:spacing w:after="0" w:line="242" w:lineRule="auto"/>
        <w:tabs>
          <w:tab w:leader="none" w:pos="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190"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We license software and other intellectual property from third parties. These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w:t>
      </w:r>
    </w:p>
    <w:p>
      <w:pPr>
        <w:spacing w:after="0" w:line="190"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273"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Defects in our products may subject us to significant warranty liabilities or product liability claims and we may have insufficient product liability insurance to pay material uninsured claims.</w:t>
      </w:r>
    </w:p>
    <w:p>
      <w:pPr>
        <w:spacing w:after="0" w:line="71" w:lineRule="exact"/>
        <w:rPr>
          <w:sz w:val="20"/>
          <w:szCs w:val="20"/>
          <w:color w:val="auto"/>
        </w:rPr>
      </w:pPr>
    </w:p>
    <w:p>
      <w:pPr>
        <w:jc w:val="both"/>
        <w:ind w:right="20" w:firstLine="441"/>
        <w:spacing w:after="0" w:line="242" w:lineRule="auto"/>
        <w:rPr>
          <w:sz w:val="20"/>
          <w:szCs w:val="20"/>
          <w:color w:val="auto"/>
        </w:rPr>
      </w:pPr>
      <w:r>
        <w:rPr>
          <w:rFonts w:ascii="Arial" w:cs="Arial" w:eastAsia="Arial" w:hAnsi="Arial"/>
          <w:sz w:val="15"/>
          <w:szCs w:val="15"/>
          <w:color w:val="auto"/>
        </w:rPr>
        <w:t>Our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property damage or other liabilities, and may result in warranty or product liability claims brought against us, our travel supplier customers or third parties.</w:t>
      </w:r>
    </w:p>
    <w:p>
      <w:pPr>
        <w:spacing w:after="0" w:line="190"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Under our customer agreements, we generally must indemnify our customers for liability arising from intellectual property infringement claims with respect to our software. These indemnification obligations could be significant and we may not have adequate insurance coverage to protect us against all claims. The combination of our insurance coverage, cash flows and reserves may not be adequate to satisfy product liabilities we may incur in the future. 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Any failure to comply with regulations or any changes in such regulations governing our businesses could adversely affect us.</w:t>
      </w:r>
    </w:p>
    <w:p>
      <w:pPr>
        <w:spacing w:after="0" w:line="115" w:lineRule="exact"/>
        <w:rPr>
          <w:sz w:val="20"/>
          <w:szCs w:val="20"/>
          <w:color w:val="auto"/>
        </w:rPr>
      </w:pPr>
    </w:p>
    <w:p>
      <w:pPr>
        <w:jc w:val="both"/>
        <w:ind w:right="20" w:firstLine="441"/>
        <w:spacing w:after="0" w:line="239" w:lineRule="auto"/>
        <w:rPr>
          <w:sz w:val="20"/>
          <w:szCs w:val="20"/>
          <w:color w:val="auto"/>
        </w:rPr>
      </w:pPr>
      <w:r>
        <w:rPr>
          <w:rFonts w:ascii="Arial" w:cs="Arial" w:eastAsia="Arial" w:hAnsi="Arial"/>
          <w:sz w:val="15"/>
          <w:szCs w:val="15"/>
          <w:color w:val="auto"/>
        </w:rPr>
        <w:t>Parts of our business operate in regulated industries and could be adversely affected by unfavorable changes in or the enactment of new laws, rules or regulations applicable to us, which could decrease demand for our products and services, increase costs or subject us to additional liabilities. Moreover, regulatory authorities have relatively broad discretion to grant, renew and revoke licenses and approvals and to implement or interpret regulations. Accordingly, these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Our failure to comply with any of these requirements or interpretations could have a material adverse effect on our operations. In particular, after a voluntary disclosure, we received a warning letter from the Bureau of Industry and Security regarding our failure to comply fully with the Export Administration Regulations as to software updates for a few travel agency customers located outside the United States. Although the Bureau of Industry and Security declined to prosecute or sanction us, if we were to violate the Export Administration Regulations again, the matter could be reopened or taken into consideration when investigating future matters and we may be subject to criminal prosecution or administrative sanctions.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40" w:top="583" w:right="219" w:bottom="1440" w:gutter="0" w:footer="0" w:header="0"/>
        </w:sectPr>
      </w:pPr>
    </w:p>
    <w:bookmarkStart w:id="16" w:name="page17"/>
    <w:bookmarkEnd w:id="16"/>
    <w:p>
      <w:pPr>
        <w:jc w:val="both"/>
        <w:ind w:right="20" w:firstLine="441"/>
        <w:spacing w:after="0"/>
        <w:rPr>
          <w:sz w:val="20"/>
          <w:szCs w:val="20"/>
          <w:color w:val="auto"/>
        </w:rPr>
      </w:pPr>
      <w:r>
        <w:rPr>
          <w:rFonts w:ascii="Arial" w:cs="Arial" w:eastAsia="Arial" w:hAnsi="Arial"/>
          <w:sz w:val="15"/>
          <w:szCs w:val="15"/>
          <w:color w:val="auto"/>
        </w:rPr>
        <w:t>Further, the United States has imposed economic sanctions that affect transactions with designated countries, including Cuba, Iran, Crimea region and Syria, and nationals and others of those countries, and certain specifically targeted individuals and entities engaged in conduct detrimental to U.S. national security interests. These sanctions are administered by the U.S. Department of the Treasury’s Office of Foreign Assets Control (“OFAC”) and are typically known as the OFAC regulations. These regulations are extensive and complex, and they differ from one sanctions regime to another. Failure to comply with these regulations could subject us to legal and reputational consequences, including civil and criminal penalties.</w:t>
      </w:r>
    </w:p>
    <w:p>
      <w:pPr>
        <w:spacing w:after="0" w:line="192"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We have GDS contracts with carriers that fly to Cuba, Iran, Crimea region and Syria but are based outside of those countries and are not owned by those governments or nationals of those governments. With respect to Iran, Sudan and Syria we believe that our activities are designed to comply with certain travel-related exemptions. With respect to Cuba, we have advised OFAC that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w:t>
      </w:r>
    </w:p>
    <w:p>
      <w:pPr>
        <w:spacing w:after="0" w:line="192"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We believe that our activities with respect to these countries are known to OFAC. We note, however, that OFAC regulations and related interpretive guidance are complex and subject to varying interpretations. Due to this complexity, OFAC’s interpretation of its own regulations and guidance vary on a case to case basis. As a result, we cannot provide any guarantees that OFAC will not challenge any of our activities in the future, which could have a material adverse effect on our results of operations.</w:t>
      </w:r>
    </w:p>
    <w:p>
      <w:pPr>
        <w:spacing w:after="0" w:line="190" w:lineRule="exact"/>
        <w:rPr>
          <w:sz w:val="20"/>
          <w:szCs w:val="20"/>
          <w:color w:val="auto"/>
        </w:rPr>
      </w:pPr>
    </w:p>
    <w:p>
      <w:pPr>
        <w:jc w:val="both"/>
        <w:ind w:right="20" w:firstLine="441"/>
        <w:spacing w:after="0" w:line="239" w:lineRule="auto"/>
        <w:rPr>
          <w:sz w:val="20"/>
          <w:szCs w:val="20"/>
          <w:color w:val="auto"/>
        </w:rPr>
      </w:pPr>
      <w:r>
        <w:rPr>
          <w:rFonts w:ascii="Arial" w:cs="Arial" w:eastAsia="Arial" w:hAnsi="Arial"/>
          <w:sz w:val="15"/>
          <w:szCs w:val="15"/>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We do not currently maintain a central database of all regulatory requirements affecting our worldwide operations and, as a result, the risk of non-compliance with the laws and regulations described above is heightened. Our failure to comply with these laws and regulations may subject us to fines, penalties and potential criminal violations. Any changes to these laws or regulations or any new laws or regulations may make it more difficult for us to operate our business.</w:t>
      </w:r>
    </w:p>
    <w:p>
      <w:pPr>
        <w:spacing w:after="0" w:line="276" w:lineRule="exact"/>
        <w:rPr>
          <w:sz w:val="20"/>
          <w:szCs w:val="20"/>
          <w:color w:val="auto"/>
        </w:rPr>
      </w:pPr>
    </w:p>
    <w:p>
      <w:pPr>
        <w:ind w:left="440" w:right="20"/>
        <w:spacing w:after="0" w:line="270" w:lineRule="auto"/>
        <w:rPr>
          <w:sz w:val="20"/>
          <w:szCs w:val="20"/>
          <w:color w:val="auto"/>
        </w:rPr>
      </w:pPr>
      <w:r>
        <w:rPr>
          <w:rFonts w:ascii="Arial" w:cs="Arial" w:eastAsia="Arial" w:hAnsi="Arial"/>
          <w:sz w:val="15"/>
          <w:szCs w:val="15"/>
          <w:b w:val="1"/>
          <w:bCs w:val="1"/>
          <w:i w:val="1"/>
          <w:iCs w:val="1"/>
          <w:color w:val="auto"/>
        </w:rPr>
        <w:t>Our collection, processing, storage, use and transmission of personal data could give rise to liabilities as a result of governmental regulation, conflicting legal requirements, differing views on data privacy or security breaches.</w:t>
      </w:r>
    </w:p>
    <w:p>
      <w:pPr>
        <w:spacing w:after="0" w:line="170" w:lineRule="exact"/>
        <w:rPr>
          <w:sz w:val="20"/>
          <w:szCs w:val="20"/>
          <w:color w:val="auto"/>
        </w:rPr>
      </w:pPr>
    </w:p>
    <w:p>
      <w:pPr>
        <w:jc w:val="both"/>
        <w:ind w:right="20" w:firstLine="441"/>
        <w:spacing w:after="0" w:line="239" w:lineRule="auto"/>
        <w:rPr>
          <w:sz w:val="20"/>
          <w:szCs w:val="20"/>
          <w:color w:val="auto"/>
        </w:rPr>
      </w:pPr>
      <w:r>
        <w:rPr>
          <w:rFonts w:ascii="Arial" w:cs="Arial" w:eastAsia="Arial" w:hAnsi="Arial"/>
          <w:sz w:val="15"/>
          <w:szCs w:val="15"/>
          <w:color w:val="auto"/>
        </w:rPr>
        <w:t>We collect, process, store, use and transmit a large volume of personal data on a daily basis, including, for example, to process travel transactions for our customers and to deliver other travel-related products and services. Personal data is increasingly subject to legal and regulatory protections around the world, which vary widely in approach and which possibly conflict with one another. In recent years, for example, U.S. legislators and regulatory agencies, such as the Federal Trade Commission and the Federal Communication Commission, as well as U.S. states, have increased their focus on protecting personal data by law and regulation, and have increased enforcement actions for violations of privacy and data protection requirements. The European Commission also recently approved and adopted a new data protection law, which will apply beginning in May 2018. These data protection laws and regulations are intended to protect the privacy and security of personal data, including credit card information that is collected, processed and transmitted in or from the relevant jurisdiction. Additionally, media coverage of data breaches has escalated, in part because of the increased number of enforcement actions, investigations and lawsuits. As this focus and attention on privacy and data protection increases, we may also risk exposure to liabilities resulting from any failure to comply with applicable legal requirements, conflicts among these legal requirements or differences in approaches to privacy and security of travel data. Our business could be materially adversely affected by our inability to comply with legal obligations regarding the use of personal data, new data handling requirements that conflict with or negatively impact our business practices. In addition, our agreements with customers may also require that we indemnify the customer for liability arising from data breaches under the terms of our agreements with these customers. These indemnification obligations could be significant and may exceed any the limits of any applicable insurance policy we maintain. See “-Security breaches could expose us to liability and damage our reputation and our business.”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may have higher than anticipated tax liabilities.</w:t>
      </w:r>
    </w:p>
    <w:p>
      <w:pPr>
        <w:spacing w:after="0" w:line="115" w:lineRule="exact"/>
        <w:rPr>
          <w:sz w:val="20"/>
          <w:szCs w:val="20"/>
          <w:color w:val="auto"/>
        </w:rPr>
      </w:pPr>
    </w:p>
    <w:p>
      <w:pPr>
        <w:jc w:val="both"/>
        <w:ind w:right="20" w:firstLine="441"/>
        <w:spacing w:after="0" w:line="260" w:lineRule="auto"/>
        <w:rPr>
          <w:sz w:val="20"/>
          <w:szCs w:val="20"/>
          <w:color w:val="auto"/>
        </w:rPr>
      </w:pPr>
      <w:r>
        <w:rPr>
          <w:rFonts w:ascii="Arial" w:cs="Arial" w:eastAsia="Arial" w:hAnsi="Arial"/>
          <w:sz w:val="14"/>
          <w:szCs w:val="14"/>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40"/>
          </w:cols>
          <w:pgMar w:left="240" w:top="755" w:right="219" w:bottom="1440" w:gutter="0" w:footer="0" w:header="0"/>
        </w:sectPr>
      </w:pPr>
    </w:p>
    <w:bookmarkStart w:id="17" w:name="page18"/>
    <w:bookmarkEnd w:id="17"/>
    <w:p>
      <w:pPr>
        <w:jc w:val="both"/>
        <w:spacing w:after="0" w:line="241" w:lineRule="auto"/>
        <w:rPr>
          <w:sz w:val="20"/>
          <w:szCs w:val="20"/>
          <w:color w:val="auto"/>
        </w:rPr>
      </w:pPr>
      <w:r>
        <w:rPr>
          <w:rFonts w:ascii="Arial" w:cs="Arial" w:eastAsia="Arial" w:hAnsi="Arial"/>
          <w:sz w:val="15"/>
          <w:szCs w:val="15"/>
          <w:color w:val="auto"/>
        </w:rPr>
        <w:t>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Such changes could result in an increase in the effective tax rate applicable to all or a portion of our income which would reduce our profitability.</w:t>
      </w:r>
    </w:p>
    <w:p>
      <w:pPr>
        <w:spacing w:after="0" w:line="19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We establish reserves for our potential liability for U.S. and non-U.S. taxes, including sales, occupancy and value-added taxes (“VAT”), consistent with applicable accounting principles and in light of all current facts and circumstances. We have also established reserves relating to the collection of refunds related to value-added taxes, which are subject to audit and collection risks in various regions of Europe. Recently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192"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We consider the undistributed earnings of our foreign subsidiaries as of December 31, 2016 to be indefinitely reinvested and, accordingly, no U.S. income taxes have been provided thereon. As of December 31, 2016, the amount of indefinitely reinvested foreign earnings was approximately $278 million. As of December 31, 2016, $123 million of cash, cash equivalents, and marketable securities were held by our foreign subsidiaries. If cash, cash equivalents and marketable securities are needed for our operations in the United States, we would be required to accrue and pay taxes of up to $44 million to repatriate all such cash, cash equivalents and marketable securities. We have not, nor do we anticipate the need to, repatriate funds to the United States in a taxable transaction to satisfy domestic liquidity needs arising in the ordinary course of business, including liquidity needs associated with our domestic debt service requirements.</w:t>
      </w:r>
    </w:p>
    <w:p>
      <w:pPr>
        <w:spacing w:after="0" w:line="192"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For example, there have been proposals to amend U.S. tax laws that would significantly impact how U.S. companies are taxed on foreign earnings. New, changed, modified or newly interpreted or applied laws could also increase our compliance, operating and other costs, as well as the costs of our products and services.</w:t>
      </w:r>
    </w:p>
    <w:p>
      <w:pPr>
        <w:spacing w:after="0" w:line="273"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We may recognize impairments on long-lived assets, including goodwill and other intangible assets, or recognize impairments on our equity method investments.</w:t>
      </w:r>
    </w:p>
    <w:p>
      <w:pPr>
        <w:spacing w:after="0" w:line="71"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Our consolidated balance sheet at December 31, 2016 contained goodwill and intangible assets, net totaling $3.3 billion.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w:t>
      </w:r>
    </w:p>
    <w:p>
      <w:pPr>
        <w:spacing w:after="0" w:line="190"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w:t>
      </w:r>
    </w:p>
    <w:p>
      <w:pPr>
        <w:spacing w:after="0" w:line="190"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future price levels, rates of growth in our consumer and corporate direct booking businesses, rates of increase in operating expenses, cost of revenue and taxes could result in material impairment charges.</w:t>
      </w:r>
    </w:p>
    <w:p>
      <w:pPr>
        <w:spacing w:after="0" w:line="270"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Our pension plan obligations are currently unfunded, and we may have to make significant cash contributions to our plans, which could reduce the cash available for our business.</w:t>
      </w:r>
    </w:p>
    <w:p>
      <w:pPr>
        <w:spacing w:after="0" w:line="71"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Our pension plans in the aggregate are estimated to be unfunded by $120 million as of December 31, 2016. With approximately 5,070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pensions and other post-retirement healthcare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20"/>
          </w:cols>
          <w:pgMar w:left="240" w:top="656" w:right="239" w:bottom="1440" w:gutter="0" w:footer="0" w:header="0"/>
        </w:sectPr>
      </w:pPr>
    </w:p>
    <w:bookmarkStart w:id="18" w:name="page19"/>
    <w:bookmarkEnd w:id="18"/>
    <w:p>
      <w:pPr>
        <w:jc w:val="both"/>
        <w:spacing w:after="0" w:line="245" w:lineRule="auto"/>
        <w:rPr>
          <w:sz w:val="20"/>
          <w:szCs w:val="20"/>
          <w:color w:val="auto"/>
        </w:rPr>
      </w:pPr>
      <w:r>
        <w:rPr>
          <w:rFonts w:ascii="Arial" w:cs="Arial" w:eastAsia="Arial" w:hAnsi="Arial"/>
          <w:sz w:val="15"/>
          <w:szCs w:val="15"/>
          <w:color w:val="auto"/>
        </w:rPr>
        <w:t>contributions. If either occurs, we may need to make additional pension contributions above what is currently estimated, which could reduce the cash available for our businesses.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are exposed to risks associated with PCI compliance.</w:t>
      </w:r>
    </w:p>
    <w:p>
      <w:pPr>
        <w:spacing w:after="0" w:line="115"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The PCI Data Security Standard (“PCI DSS”) is a specific set of comprehensive security standards required by credit card brands for enhancing payment account data security, including but not limited to requirements for security management, policies, procedures, network architecture, and software design. PCI DSS compliance is required in order to maintain credit card processing services. The cost of compliance with PCI DSS is significant and may increase as the requirements change. We are tested periodically for assurance and successfully completed our last annual assessment in September 2016. Compliance does not guarantee a completely secure environment. Compliance is an ongoing effort and the requirements evolve as new threats are identified. In the event that we were to lose PCI DSS compliance status (or fail to renew compliance under a future version of the PCI DSS), we could be exposed to increased operating costs, fines and penalties and, in extreme circumstances, may have our credit card processing privileges revoked, which would have a material adverse effect on our business.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may require more cash than we generate in our operating activities, and additional funding on reasonable terms or at all may not be available.</w:t>
      </w:r>
    </w:p>
    <w:p>
      <w:pPr>
        <w:spacing w:after="0" w:line="11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We cannot guarantee that our business will generate sufficient cash flow from operations to fund our capital investment requirements or other liquidity needs.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w:t>
      </w:r>
    </w:p>
    <w:p>
      <w:pPr>
        <w:spacing w:after="0" w:line="190"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5"/>
          <w:szCs w:val="15"/>
          <w:color w:val="auto"/>
        </w:rPr>
        <w:t>As a result, we may be required to finance our cash needs through bank loans, additional debt financing, public or private equity offerings or otherwise. Our ability to arrange financing and the cost of such financing are dependent on numerous factors, including but not limited to:</w:t>
      </w:r>
    </w:p>
    <w:p>
      <w:pPr>
        <w:spacing w:after="0" w:line="1" w:lineRule="exact"/>
        <w:rPr>
          <w:sz w:val="20"/>
          <w:szCs w:val="20"/>
          <w:color w:val="auto"/>
        </w:rPr>
      </w:pPr>
    </w:p>
    <w:p>
      <w:pPr>
        <w:ind w:left="740" w:hanging="300"/>
        <w:spacing w:after="0"/>
        <w:tabs>
          <w:tab w:leader="none" w:pos="7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general economic and capital market conditions;</w:t>
      </w:r>
    </w:p>
    <w:p>
      <w:pPr>
        <w:ind w:left="740" w:hanging="300"/>
        <w:spacing w:after="0"/>
        <w:tabs>
          <w:tab w:leader="none" w:pos="7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availability of credit from banks or other lenders;</w:t>
      </w:r>
    </w:p>
    <w:p>
      <w:pPr>
        <w:ind w:left="740" w:hanging="300"/>
        <w:spacing w:after="0"/>
        <w:tabs>
          <w:tab w:leader="none" w:pos="7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investor confidence in us; and</w:t>
      </w:r>
    </w:p>
    <w:p>
      <w:pPr>
        <w:ind w:left="740" w:hanging="300"/>
        <w:spacing w:after="0"/>
        <w:tabs>
          <w:tab w:leader="none" w:pos="7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results of operations.</w:t>
      </w:r>
    </w:p>
    <w:p>
      <w:pPr>
        <w:spacing w:after="0" w:line="19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There can be no assurance that financing will be available on terms favorable to us or at all, which could force us to delay, reduce or abandon our growth strategy, increase our financing costs, or both.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w:t>
      </w:r>
    </w:p>
    <w:p>
      <w:pPr>
        <w:spacing w:after="0" w:line="190"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to finance acquisitions or expansion could cause earnings or ownership dilution to your shareholding interests in our company.</w:t>
      </w:r>
    </w:p>
    <w:p>
      <w:pPr>
        <w:spacing w:after="0" w:line="270"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We have a significant amount of indebtedness, which could adversely affect our cash flow and our ability to operate our business and to fulfill our obligations under our indebtedness.</w:t>
      </w:r>
    </w:p>
    <w:p>
      <w:pPr>
        <w:spacing w:after="0" w:line="71"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5"/>
          <w:szCs w:val="15"/>
          <w:color w:val="auto"/>
        </w:rPr>
        <w:t>We have a significant amount of indebtedness. As of December 31, 2016, we had $3.5 billion of indebtedness outstanding in addition to $365 million of availability under our Revolver (as defined below), after taking into account the availability reduction of $35 million for letters of credit issued under our Revolver. Our remaining outstanding mortgage note of $80 million matures on April 1, 2017. Our remaining outstanding Term Loan C of $49 million matures in 2017. We have no other indebtedness due in the next twelve months. Our substantial level of indebtedness increases the possibility that we may not generate enough cash flow from operations to pay, when due, the principal of, interest on or other amounts due in respect of, these obligations. Other risks relating to our long-term indebtedness include:</w:t>
      </w:r>
    </w:p>
    <w:p>
      <w:pPr>
        <w:spacing w:after="0" w:line="3" w:lineRule="exact"/>
        <w:rPr>
          <w:sz w:val="20"/>
          <w:szCs w:val="20"/>
          <w:color w:val="auto"/>
        </w:rPr>
      </w:pPr>
    </w:p>
    <w:p>
      <w:pPr>
        <w:ind w:left="740" w:hanging="300"/>
        <w:spacing w:after="0"/>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increased vulnerability to general adverse economic and industry conditions;</w:t>
      </w:r>
    </w:p>
    <w:p>
      <w:pPr>
        <w:ind w:left="740" w:hanging="300"/>
        <w:spacing w:after="0"/>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higher interest expense if interest rates increase on our floating rate borrowings and our hedging strategies do not effectively mitigate the effects of these increases;</w:t>
      </w:r>
    </w:p>
    <w:p>
      <w:pPr>
        <w:spacing w:after="0" w:line="10" w:lineRule="exact"/>
        <w:rPr>
          <w:rFonts w:ascii="Arial" w:cs="Arial" w:eastAsia="Arial" w:hAnsi="Arial"/>
          <w:sz w:val="14"/>
          <w:szCs w:val="14"/>
          <w:color w:val="auto"/>
        </w:rPr>
      </w:pPr>
    </w:p>
    <w:p>
      <w:pPr>
        <w:ind w:left="740" w:hanging="300"/>
        <w:spacing w:after="0" w:line="238" w:lineRule="auto"/>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need to divert a significant portion of our cash flow from operations to payments on our indebtedness, thereby reducing the availability of cash to fund working capital, capital expenditures, acquisitions, investments and other general corporate purposes;</w:t>
      </w:r>
    </w:p>
    <w:p>
      <w:pPr>
        <w:spacing w:after="0" w:line="1"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limited ability to obtain additional financing, on terms we find acceptable, if needed, for working capital, capital expenditures, expansion plans and other investments, which may adversely affect our ability to implement our business strategy;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20"/>
          </w:cols>
          <w:pgMar w:left="240" w:top="656" w:right="239" w:bottom="1440" w:gutter="0" w:footer="0" w:header="0"/>
        </w:sectPr>
      </w:pPr>
    </w:p>
    <w:bookmarkStart w:id="19" w:name="page20"/>
    <w:bookmarkEnd w:id="19"/>
    <w:p>
      <w:pPr>
        <w:ind w:left="740" w:hanging="300"/>
        <w:spacing w:after="0"/>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limited flexibility in planning for, or reacting to, changes in our businesses and the markets in which we operate or to take advantage of market opportunities; and</w:t>
      </w:r>
    </w:p>
    <w:p>
      <w:pPr>
        <w:ind w:left="740" w:hanging="300"/>
        <w:spacing w:after="0"/>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competitive disadvantage compared to our competitors that have less debt.</w:t>
      </w:r>
    </w:p>
    <w:p>
      <w:pPr>
        <w:spacing w:after="0" w:line="19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In addition, it is possible that we may need to incur additional indebtedness in the future in the ordinary course of business. The terms of our Amended and Restated Credit Agreement and the indentures governing our senior secured notes due in 2023 allow us to incur additional debt subject to certain limitations. If new debt is added to current debt levels,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are exposed to interest rate fluctuations.</w:t>
      </w:r>
    </w:p>
    <w:p>
      <w:pPr>
        <w:spacing w:after="0" w:line="115"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Amended and Restated Credit Agreement.</w:t>
      </w:r>
    </w:p>
    <w:p>
      <w:pPr>
        <w:spacing w:after="0" w:line="190"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are exposed to exchange rate fluctuations.</w:t>
      </w:r>
    </w:p>
    <w:p>
      <w:pPr>
        <w:spacing w:after="0" w:line="115"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5"/>
          <w:szCs w:val="15"/>
          <w:color w:val="auto"/>
        </w:rPr>
        <w:t>We conduct various operations outside the United States, primarily in APAC, Europe and Latin America. For the year ended December 31, 2016, foreign currency operations included $211 million of revenue and $666 million of operating expenses, representing approximately 6% and 23% of our total revenue and operating expenses, respectively. During the year ended December 31, 2015, foreign currency operations included $178 million of revenue and $481 million of operating expenses, representing approximately 6% and 19% of our total revenue and operating expenses, respectively, including the impact of our Abacus acquisition on July 1, 2015. Our most significant foreign currency operating expenses are in the Euro, representing approximately 7% and 6% of our operating expenses for the year ended December 31, 2016 and for the year ended December 31, 2015, respectively. As a result, we face exposure to movements in currency exchange rates. These exposures include but are not limited to:</w:t>
      </w:r>
    </w:p>
    <w:p>
      <w:pPr>
        <w:spacing w:after="0" w:line="3" w:lineRule="exact"/>
        <w:rPr>
          <w:sz w:val="20"/>
          <w:szCs w:val="20"/>
          <w:color w:val="auto"/>
        </w:rPr>
      </w:pPr>
    </w:p>
    <w:p>
      <w:pPr>
        <w:ind w:left="740" w:hanging="300"/>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re-measurement gains and losses from changes in the value of foreign denominated assets and liabilities;</w:t>
      </w:r>
    </w:p>
    <w:p>
      <w:pPr>
        <w:ind w:left="740" w:hanging="300"/>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translation gains and losses on foreign subsidiary financial results that are translated into U.S. dollars, our functional currency, upon consolidation;</w:t>
      </w:r>
    </w:p>
    <w:p>
      <w:pPr>
        <w:ind w:left="740" w:hanging="300"/>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planning risk related to changes in exchange rates between the time we prepare our annual and quarterly forecasts and when actual results occur; and</w:t>
      </w:r>
    </w:p>
    <w:p>
      <w:pPr>
        <w:ind w:left="740" w:hanging="300"/>
        <w:spacing w:after="0"/>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impact of relative exchange rate movements on cross-border travel, principally travel between Europe and the United States.</w:t>
      </w:r>
    </w:p>
    <w:p>
      <w:pPr>
        <w:spacing w:after="0" w:line="19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Depending on the size of the exposures and the relative movements of exchange rates, if we choose not to hedge or fail to hedge effectively our exposure, we could experience a material adverse effect on our results of operations and financial condition. As we have seen in some recent periods, in the event of severe volatility in exchange rates, these exposures can increase, and the impact on our results of operations and financial condition can be more pronounced. In addition, the current environment and the increasingly global nature of our business have made hedging these exposures more complex and costly.</w:t>
      </w:r>
    </w:p>
    <w:p>
      <w:pPr>
        <w:spacing w:after="0" w:line="19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To reduce the impact of this earnings volatility, we hedge our foreign currency exposure by entering into foreign currency forward contracts on several of our largest foreign currency exposures, including the Euro, the Singaporean Dollar, the British Pound Sterling, the Polish Zloty, the Australian Dollar and the Indian Rupee. Although we have increased and may continue to increase the scope, complexity and duration of our foreign exchange risk management strategy, our current or future hedging activities may not sufficiently protect us from the adverse effects of currency exchange rate movements. Moreover, we make a number of estimates in conducting hedging activities, including in some cases the level of future bookings, cancellations, refunds, customer stay patterns and payments in foreign currencies. In the event those estimates differ significantly from actual results, we could experience greater volatility as a result of our hedging activities.</w:t>
      </w:r>
    </w:p>
    <w:p>
      <w:pPr>
        <w:spacing w:after="0" w:line="272"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The terms of our debt covenants could limit our discretion in operating our business and any failure to comply with such covenants could result in the default of all of our debt.</w:t>
      </w:r>
    </w:p>
    <w:p>
      <w:pPr>
        <w:spacing w:after="0" w:line="71" w:lineRule="exact"/>
        <w:rPr>
          <w:sz w:val="20"/>
          <w:szCs w:val="20"/>
          <w:color w:val="auto"/>
        </w:rPr>
      </w:pPr>
    </w:p>
    <w:p>
      <w:pPr>
        <w:ind w:firstLine="441"/>
        <w:spacing w:after="0" w:line="238" w:lineRule="auto"/>
        <w:rPr>
          <w:sz w:val="20"/>
          <w:szCs w:val="20"/>
          <w:color w:val="auto"/>
        </w:rPr>
      </w:pPr>
      <w:r>
        <w:rPr>
          <w:rFonts w:ascii="Arial" w:cs="Arial" w:eastAsia="Arial" w:hAnsi="Arial"/>
          <w:sz w:val="15"/>
          <w:szCs w:val="15"/>
          <w:color w:val="auto"/>
        </w:rPr>
        <w:t>The agreements governing our indebtedness contain and the agreements governing our future indebtedness will likely contain various covenants, including those that restrict our or our subsidiaries’ ability to, among other things:</w:t>
      </w:r>
    </w:p>
    <w:p>
      <w:pPr>
        <w:spacing w:after="0" w:line="1" w:lineRule="exact"/>
        <w:rPr>
          <w:sz w:val="20"/>
          <w:szCs w:val="20"/>
          <w:color w:val="auto"/>
        </w:rPr>
      </w:pPr>
    </w:p>
    <w:p>
      <w:pPr>
        <w:ind w:left="740" w:hanging="300"/>
        <w:spacing w:after="0"/>
        <w:tabs>
          <w:tab w:leader="none" w:pos="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incur liens on our property, assets and revenue;</w:t>
      </w:r>
    </w:p>
    <w:p>
      <w:pPr>
        <w:ind w:left="740" w:hanging="300"/>
        <w:spacing w:after="0"/>
        <w:tabs>
          <w:tab w:leader="none" w:pos="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borrow money, and guarantee or provide other support for the indebtedness of third parties;</w:t>
      </w:r>
    </w:p>
    <w:p>
      <w:pPr>
        <w:ind w:left="740" w:hanging="300"/>
        <w:spacing w:after="0"/>
        <w:tabs>
          <w:tab w:leader="none" w:pos="7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pay dividends or make other distributions on, redeem or repurchase our capital stock;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20"/>
          </w:cols>
          <w:pgMar w:left="240" w:top="557" w:right="239" w:bottom="1440" w:gutter="0" w:footer="0" w:header="0"/>
        </w:sectPr>
      </w:pPr>
    </w:p>
    <w:bookmarkStart w:id="20" w:name="page21"/>
    <w:bookmarkEnd w:id="20"/>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prepay, redeem or repurchase certain of our indebtedness;</w:t>
      </w:r>
    </w:p>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enter into certain change of control transactions;</w:t>
      </w:r>
    </w:p>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make investments in entities that we do not control, including joint ventures;</w:t>
      </w:r>
    </w:p>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enter into certain asset sale transactions, including divestiture of certain company assets and divestiture of capital stock of wholly-owned subsidiaries;</w:t>
      </w:r>
    </w:p>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enter into certain transactions with affiliates;</w:t>
      </w:r>
    </w:p>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enter into secured financing arrangements;</w:t>
      </w:r>
    </w:p>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enter into sale and leaseback transactions;</w:t>
      </w:r>
    </w:p>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 our fiscal year; and</w:t>
      </w:r>
    </w:p>
    <w:p>
      <w:pPr>
        <w:ind w:left="740" w:hanging="300"/>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enter into substantially different lines of business.</w:t>
      </w:r>
    </w:p>
    <w:p>
      <w:pPr>
        <w:spacing w:after="0" w:line="195"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These covenants may limit our ability to effectively operate our businesses or maximize stockholder value. In addition, our Amended and Restated Credit Agreement requires that we meet certain financial tests, including the maintenance of a leverage ratio and a minimum net worth. Our ability to satisfy these tests may be affected by factors and events beyond our control, and we may be unable to meet such tests in the future.</w:t>
      </w:r>
    </w:p>
    <w:p>
      <w:pPr>
        <w:spacing w:after="0" w:line="190"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Any failure to comply with the restrictions of our Amended and Restated Credit Agreement, the indentures governing our senior secured notes due 2023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270"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We plan to update our enterprise resource planning system, and problems with the design or implementation of this system could interfere with our business and operations.</w:t>
      </w:r>
    </w:p>
    <w:p>
      <w:pPr>
        <w:spacing w:after="0" w:line="71"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We are continuing to implement a project to consolidate our business technology infrastructure to a single global ERP system. We expect to invest capital and human resources in the design and implementation of the ERP system, which may be disruptive to our underlying business. Any disruptions, delays or deficiencies in the design and implementation of the ERP system, particularly ones that impact our financial reporting and accounting systems, could adversely affect our business. Even if we do not encounter these adverse effects, the design and implementation of the ERP system may be more costly than we anticipate, which could negatively impact our financial position, results of operations and cash flows. In addition, the ERP system will be outsourced to a third-party provider, and any disruption to those outsourced systems may negatively impact our business. See “-We rely on the availability and performance of information technology services provided by third parties, including HPE, which manages a significant portion of our systems.”</w:t>
      </w:r>
    </w:p>
    <w:p>
      <w:pPr>
        <w:spacing w:after="0" w:line="271" w:lineRule="exact"/>
        <w:rPr>
          <w:sz w:val="20"/>
          <w:szCs w:val="20"/>
          <w:color w:val="auto"/>
        </w:rPr>
      </w:pPr>
    </w:p>
    <w:p>
      <w:pPr>
        <w:ind w:left="440"/>
        <w:spacing w:after="0" w:line="270" w:lineRule="auto"/>
        <w:rPr>
          <w:sz w:val="20"/>
          <w:szCs w:val="20"/>
          <w:color w:val="auto"/>
        </w:rPr>
      </w:pPr>
      <w:r>
        <w:rPr>
          <w:rFonts w:ascii="Arial" w:cs="Arial" w:eastAsia="Arial" w:hAnsi="Arial"/>
          <w:sz w:val="15"/>
          <w:szCs w:val="15"/>
          <w:b w:val="1"/>
          <w:bCs w:val="1"/>
          <w:i w:val="1"/>
          <w:i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71"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As a public company, we are subject to the reporting requirements of the Exchange Act, the Sarbanes-Oxley Act of 2002 (the “Sarbanes-Oxley Act”), the Dodd-Frank Wall Street Reform and Consumer Protection Act of 2010 (the “Dodd-Frank Act”) and The NASDAQ Stock Market (“NASDAQ”) rules. The requirements of these rules and regulations have increased and will continue to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w:t>
      </w:r>
    </w:p>
    <w:p>
      <w:pPr>
        <w:spacing w:after="0" w:line="192"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The Sarbanes-Oxley Act requires, among other things, that we maintain disclosure controls and procedures and internal control over financial reporting. Ensuring that we have adequate internal financial and accounting controls and procedures in place, as well as maintaining these controls and procedures, is a costly and time-consuming effort that needs to be re-evaluated frequently. Section 404 of the Sarbanes-Oxley Act (“Section 404”) requires that we annually evaluate our internal control over financial reporting to enable management to report on, and our independent auditors to audit as of the end of each fiscal year the effectiveness of those controls. In connection with the Section 404 requirements, both we and our independent registered public accounting firm test our internal controls and could, as part of that documentation and testing, identify material weaknesses, significant deficiencies or other areas for further attention or improvement.</w:t>
      </w:r>
    </w:p>
    <w:p>
      <w:pPr>
        <w:spacing w:after="0" w:line="192"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and take a significant period of time to complete. These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20"/>
          </w:cols>
          <w:pgMar w:left="240" w:top="557" w:right="239" w:bottom="1440" w:gutter="0" w:footer="0" w:header="0"/>
        </w:sectPr>
      </w:pPr>
    </w:p>
    <w:bookmarkStart w:id="21" w:name="page22"/>
    <w:bookmarkEnd w:id="21"/>
    <w:p>
      <w:pPr>
        <w:jc w:val="both"/>
        <w:ind w:right="20" w:firstLine="441"/>
        <w:spacing w:after="0" w:line="241" w:lineRule="auto"/>
        <w:rPr>
          <w:sz w:val="20"/>
          <w:szCs w:val="20"/>
          <w:color w:val="auto"/>
        </w:rPr>
      </w:pPr>
      <w:r>
        <w:rPr>
          <w:rFonts w:ascii="Arial" w:cs="Arial" w:eastAsia="Arial" w:hAnsi="Arial"/>
          <w:sz w:val="15"/>
          <w:szCs w:val="15"/>
          <w:color w:val="auto"/>
        </w:rPr>
        <w:t>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270" w:lineRule="exact"/>
        <w:rPr>
          <w:sz w:val="20"/>
          <w:szCs w:val="20"/>
          <w:color w:val="auto"/>
        </w:rPr>
      </w:pPr>
    </w:p>
    <w:p>
      <w:pPr>
        <w:ind w:left="440" w:right="20"/>
        <w:spacing w:after="0" w:line="270" w:lineRule="auto"/>
        <w:rPr>
          <w:sz w:val="20"/>
          <w:szCs w:val="20"/>
          <w:color w:val="auto"/>
        </w:rPr>
      </w:pPr>
      <w:r>
        <w:rPr>
          <w:rFonts w:ascii="Arial" w:cs="Arial" w:eastAsia="Arial" w:hAnsi="Arial"/>
          <w:sz w:val="15"/>
          <w:szCs w:val="15"/>
          <w:b w:val="1"/>
          <w:bCs w:val="1"/>
          <w:i w:val="1"/>
          <w:iCs w:val="1"/>
          <w:color w:val="auto"/>
        </w:rPr>
        <w:t>Concentration of ownership among our Principal Stockholders may prevent new investors from influencing significant corporate decisions and may result in conflicts of interest.</w:t>
      </w:r>
    </w:p>
    <w:p>
      <w:pPr>
        <w:spacing w:after="0" w:line="71" w:lineRule="exact"/>
        <w:rPr>
          <w:sz w:val="20"/>
          <w:szCs w:val="20"/>
          <w:color w:val="auto"/>
        </w:rPr>
      </w:pPr>
    </w:p>
    <w:p>
      <w:pPr>
        <w:jc w:val="both"/>
        <w:ind w:right="20" w:firstLine="441"/>
        <w:spacing w:after="0" w:line="245" w:lineRule="auto"/>
        <w:rPr>
          <w:sz w:val="20"/>
          <w:szCs w:val="20"/>
          <w:color w:val="auto"/>
        </w:rPr>
      </w:pPr>
      <w:r>
        <w:rPr>
          <w:rFonts w:ascii="Arial" w:cs="Arial" w:eastAsia="Arial" w:hAnsi="Arial"/>
          <w:sz w:val="15"/>
          <w:szCs w:val="15"/>
          <w:color w:val="auto"/>
        </w:rPr>
        <w:t>As of January 31, 2017, the Principal Stockholders (as defined below) own, in the aggregate, approximately 25% of our outstanding common stock and, consequently, have significant influence over us.</w:t>
      </w:r>
    </w:p>
    <w:p>
      <w:pPr>
        <w:spacing w:after="0" w:line="188"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4"/>
          <w:szCs w:val="14"/>
          <w:color w:val="auto"/>
        </w:rPr>
        <w:t>We are a party to an amended and restated Stockholders’ Agreement (as further amended and restated, the “Stockholders’ Agreement”) with the Silver Lake Funds, the TPG Funds and the Sovereign Co-Invest II (each as defined below). Pursuant to the Stockholders’ Agreement, each of the Silver Lake Funds and the TPG Funds currently has the right to designate for nomination two directors. In addition, the Silver Lake Funds and the TPG Funds also jointly have the right to designate one additional director who must qualify as independent under the NASDAQ rules and must meet the independence requirements of Rule 10A-3 of the Exchange Act so long as they collectively own at least 10% of their collective Closing Date Shares (as defined in the Stockholders’ Agreement). As a result, the Principal Stockholders are able to exercise significant influence over all matters requiring stockholder approval, including: the election of directors; approval of mergers or a sale of all or substantially all of our assets and other significant corporate transactions; and the amendment of our Certificate of Incorporation and our Bylaws. This concentration of influence may delay, deter or prevent acts that would be favored by our other stockholders, who may have interests different from those of our Principal Stockholders. In addition, this significant concentration of share ownership may adversely affect the trading price of our common stock because investors often perceive disadvantages in owning common stock in companies with Principal Stockholders.</w:t>
      </w:r>
    </w:p>
    <w:p>
      <w:pPr>
        <w:spacing w:after="0" w:line="17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4"/>
          <w:szCs w:val="14"/>
          <w:color w:val="auto"/>
        </w:rPr>
        <w:t>“TPG” refers to TPG Global, LLC and its affiliates, the “TPG Funds” refer to one or more of TPG Partners IV, L.P. (“TPG Partners IV”), TPG Partners V, L.P. (“TPG Partners V”), TPG FOF V-A, L.P. (“TPG FOF V-A”) and TPG FOF V-B, L.P. (“TPG FOF V-B”), “Silver Lake” refers to Silver Lake Management Company, L.L.C. and its affiliates and “Silver Lake Funds” refer to either or both of Silver Lake Partners II, L.P. and Silver Lake Technology Investors II, L.P. “Sovereign Co-Invest II” refers to Sovereign Co-Invest II, LLC, an entity co-managed by TPG and Silver Lake. “Principal Stockholders” refer to the TPG Funds, the Silver Lake Funds and Sovereign Co-Invest II.</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The market price of our common stock could decline due to the large number of outstanding shares of our common stock eligible for future sale.</w:t>
      </w:r>
    </w:p>
    <w:p>
      <w:pPr>
        <w:spacing w:after="0" w:line="115"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Sales of substantial amounts of our common stock in the public market in future offerings, or the perception that these sales could occur, could cause the market price of our common stock to decline. These sales could also make it more difficult for us to sell equity or equity-related securities in the future, at a time and price that we deem appropriate. In addition, the additional sale of our common stock by our officers, directors and Principal Stockholders in the public market, or the perception that these sales may occur, could cause the market price of our common stock to decline.</w:t>
      </w:r>
    </w:p>
    <w:p>
      <w:pPr>
        <w:spacing w:after="0" w:line="190"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We may issue shares of our common stock or other securities from time to time as consideration for, or to finance, future acquisitions and investments or for other capital needs. We cannot predict the size of future issuances of our shares or the effect, if any, that future sales and issuances of shares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stockholders. We may also grant registration rights covering shares of our common stock or other securities that we may issue in connection with any such acquisitions and investments.</w:t>
      </w:r>
    </w:p>
    <w:p>
      <w:pPr>
        <w:spacing w:after="0" w:line="192" w:lineRule="exact"/>
        <w:rPr>
          <w:sz w:val="20"/>
          <w:szCs w:val="20"/>
          <w:color w:val="auto"/>
        </w:rPr>
      </w:pPr>
    </w:p>
    <w:p>
      <w:pPr>
        <w:jc w:val="both"/>
        <w:ind w:right="20" w:firstLine="441"/>
        <w:spacing w:after="0" w:line="245" w:lineRule="auto"/>
        <w:rPr>
          <w:sz w:val="20"/>
          <w:szCs w:val="20"/>
          <w:color w:val="auto"/>
        </w:rPr>
      </w:pPr>
      <w:r>
        <w:rPr>
          <w:rFonts w:ascii="Arial" w:cs="Arial" w:eastAsia="Arial" w:hAnsi="Arial"/>
          <w:sz w:val="15"/>
          <w:szCs w:val="15"/>
          <w:color w:val="auto"/>
        </w:rPr>
        <w:t>To the extent that any of us, our executive officers, directors or the Principal Stockholders sell, or indicate an intent to sell, substantial amounts of our common stock in the public market, the trading price of our common stock could decline significantly.</w:t>
      </w:r>
    </w:p>
    <w:p>
      <w:pPr>
        <w:spacing w:after="0" w:line="268" w:lineRule="exact"/>
        <w:rPr>
          <w:sz w:val="20"/>
          <w:szCs w:val="20"/>
          <w:color w:val="auto"/>
        </w:rPr>
      </w:pPr>
    </w:p>
    <w:p>
      <w:pPr>
        <w:ind w:left="440" w:right="20"/>
        <w:spacing w:after="0" w:line="270" w:lineRule="auto"/>
        <w:rPr>
          <w:sz w:val="20"/>
          <w:szCs w:val="20"/>
          <w:color w:val="auto"/>
        </w:rPr>
      </w:pPr>
      <w:r>
        <w:rPr>
          <w:rFonts w:ascii="Arial" w:cs="Arial" w:eastAsia="Arial" w:hAnsi="Arial"/>
          <w:sz w:val="15"/>
          <w:szCs w:val="15"/>
          <w:b w:val="1"/>
          <w:bCs w:val="1"/>
          <w:i w:val="1"/>
          <w:iCs w:val="1"/>
          <w:color w:val="auto"/>
        </w:rPr>
        <w:t>Our ability to pay regular dividends to our stockholders is subject to the discretion of our board of directors and may be limited by our holding company structure and applicable provisions of Delaware law.</w:t>
      </w:r>
    </w:p>
    <w:p>
      <w:pPr>
        <w:spacing w:after="0" w:line="71"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We intend to continue to pay quarterly cash dividends on our common stock. However, our board of directors may, in its sole discretion, change the amount or frequency of dividends or discontinue the payment of dividends entirely. In addition, because we are a holding company with no material direct operations, we are dependent on loans, dividends and other payments from our operating subsidiaries to generate the funds necessary to pay dividends on our common stock. We expect to cause our subsidiaries to make distributions to us in an amount sufficient for us to pay dividends. However, their ability to make such distributions will be subject to their operating results, cash requirements and financial condition, the applicable provisions of Delaware law that may limit the amount of funds available for distribution and our ability to pay cash dividends, compliance with covenants and financial ratios related to existing or future indebtedness, including under our Amended and Restated Credit Agreement, our senior secured notes due in 2023, and other agreements with third parties. In addition, each of the companies in our corporate chain must manage</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40"/>
          </w:cols>
          <w:pgMar w:left="240" w:top="754" w:right="219" w:bottom="1440" w:gutter="0" w:footer="0" w:header="0"/>
        </w:sectPr>
      </w:pPr>
    </w:p>
    <w:bookmarkStart w:id="22" w:name="page23"/>
    <w:bookmarkEnd w:id="22"/>
    <w:p>
      <w:pPr>
        <w:jc w:val="both"/>
        <w:spacing w:after="0" w:line="242" w:lineRule="auto"/>
        <w:rPr>
          <w:sz w:val="20"/>
          <w:szCs w:val="20"/>
          <w:color w:val="auto"/>
        </w:rPr>
      </w:pPr>
      <w:r>
        <w:rPr>
          <w:rFonts w:ascii="Arial" w:cs="Arial" w:eastAsia="Arial" w:hAnsi="Arial"/>
          <w:sz w:val="15"/>
          <w:szCs w:val="15"/>
          <w:color w:val="auto"/>
        </w:rPr>
        <w:t>its assets, liabilities and working capital in order to meet all of its cash obligations, including the payment of dividends or distributions. As a consequence of these various limitations and restrictions, we may not be able to make, or may have to reduce or eliminate, the payment of dividends on our common stock. Any change in the level of our dividends or the suspension of the payment thereof could adversely affect the market price of our common stock.</w:t>
      </w:r>
    </w:p>
    <w:p>
      <w:pPr>
        <w:spacing w:after="0" w:line="270"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 applicable.</w:t>
      </w:r>
    </w:p>
    <w:p>
      <w:pPr>
        <w:spacing w:after="0" w:line="276"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As a company with global operations, we operate in many countries with a variety of sales, administrative, product development, and customer service roles provided in these offices.</w:t>
      </w:r>
    </w:p>
    <w:p>
      <w:pPr>
        <w:spacing w:after="0" w:line="172" w:lineRule="exact"/>
        <w:rPr>
          <w:sz w:val="20"/>
          <w:szCs w:val="20"/>
          <w:color w:val="auto"/>
        </w:rPr>
      </w:pPr>
    </w:p>
    <w:p>
      <w:pPr>
        <w:jc w:val="both"/>
        <w:ind w:firstLine="454"/>
        <w:spacing w:after="0" w:line="248" w:lineRule="auto"/>
        <w:rPr>
          <w:sz w:val="20"/>
          <w:szCs w:val="20"/>
          <w:color w:val="auto"/>
        </w:rPr>
      </w:pPr>
      <w:r>
        <w:rPr>
          <w:rFonts w:ascii="Arial" w:cs="Arial" w:eastAsia="Arial" w:hAnsi="Arial"/>
          <w:sz w:val="15"/>
          <w:szCs w:val="15"/>
          <w:i w:val="1"/>
          <w:iCs w:val="1"/>
          <w:color w:val="auto"/>
        </w:rPr>
        <w:t>Americas</w:t>
      </w:r>
      <w:r>
        <w:rPr>
          <w:rFonts w:ascii="Arial" w:cs="Arial" w:eastAsia="Arial" w:hAnsi="Arial"/>
          <w:sz w:val="15"/>
          <w:szCs w:val="15"/>
          <w:color w:val="auto"/>
        </w:rPr>
        <w:t>: Our corporate and business unit headquarters and domestic operations are located in a property which we own in Southlake, Texas, and in two leased offices</w:t>
      </w:r>
      <w:r>
        <w:rPr>
          <w:rFonts w:ascii="Arial" w:cs="Arial" w:eastAsia="Arial" w:hAnsi="Arial"/>
          <w:sz w:val="15"/>
          <w:szCs w:val="15"/>
          <w:i w:val="1"/>
          <w:iCs w:val="1"/>
          <w:color w:val="auto"/>
        </w:rPr>
        <w:t xml:space="preserve"> </w:t>
      </w:r>
      <w:r>
        <w:rPr>
          <w:rFonts w:ascii="Arial" w:cs="Arial" w:eastAsia="Arial" w:hAnsi="Arial"/>
          <w:sz w:val="15"/>
          <w:szCs w:val="15"/>
          <w:color w:val="auto"/>
        </w:rPr>
        <w:t>located in Westlake, Texas. The Westlake leases expire in 2026 and include early termination options in 2022. There are 13 additional offices across North America and 11 offices across Latin America that serve in various sales, administration, software development and customer service capacities for all our business segments. All of these additional offices are leased.</w:t>
      </w:r>
    </w:p>
    <w:p>
      <w:pPr>
        <w:spacing w:after="0" w:line="17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5"/>
          <w:szCs w:val="15"/>
          <w:i w:val="1"/>
          <w:iCs w:val="1"/>
          <w:color w:val="auto"/>
        </w:rPr>
        <w:t>Europe</w:t>
      </w:r>
      <w:r>
        <w:rPr>
          <w:rFonts w:ascii="Arial" w:cs="Arial" w:eastAsia="Arial" w:hAnsi="Arial"/>
          <w:sz w:val="15"/>
          <w:szCs w:val="15"/>
          <w:color w:val="auto"/>
        </w:rPr>
        <w:t>: Travel Network has its European regional headquarters in London, United Kingdom, with a lease that expires in 2027 and includes an early termination option in</w:t>
      </w:r>
      <w:r>
        <w:rPr>
          <w:rFonts w:ascii="Arial" w:cs="Arial" w:eastAsia="Arial" w:hAnsi="Arial"/>
          <w:sz w:val="15"/>
          <w:szCs w:val="15"/>
          <w:i w:val="1"/>
          <w:iCs w:val="1"/>
          <w:color w:val="auto"/>
        </w:rPr>
        <w:t xml:space="preserve"> </w:t>
      </w:r>
      <w:r>
        <w:rPr>
          <w:rFonts w:ascii="Arial" w:cs="Arial" w:eastAsia="Arial" w:hAnsi="Arial"/>
          <w:sz w:val="15"/>
          <w:szCs w:val="15"/>
          <w:color w:val="auto"/>
        </w:rPr>
        <w:t>2022. There are 23 additional offices across Europe that serve in various sales, administration, software development and customer service capacities. All of these additional offices are leased.</w:t>
      </w:r>
    </w:p>
    <w:p>
      <w:pPr>
        <w:spacing w:after="0" w:line="166"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5"/>
          <w:szCs w:val="15"/>
          <w:i w:val="1"/>
          <w:iCs w:val="1"/>
          <w:color w:val="auto"/>
        </w:rPr>
        <w:t>APAC</w:t>
      </w:r>
      <w:r>
        <w:rPr>
          <w:rFonts w:ascii="Arial" w:cs="Arial" w:eastAsia="Arial" w:hAnsi="Arial"/>
          <w:sz w:val="15"/>
          <w:szCs w:val="15"/>
          <w:color w:val="auto"/>
        </w:rPr>
        <w:t>: Travel Network and Airline and Hospitality Solutions have their APAC regional operations headquarters in four offices located in Singapore, with two leases that</w:t>
      </w:r>
      <w:r>
        <w:rPr>
          <w:rFonts w:ascii="Arial" w:cs="Arial" w:eastAsia="Arial" w:hAnsi="Arial"/>
          <w:sz w:val="15"/>
          <w:szCs w:val="15"/>
          <w:i w:val="1"/>
          <w:iCs w:val="1"/>
          <w:color w:val="auto"/>
        </w:rPr>
        <w:t xml:space="preserve"> </w:t>
      </w:r>
      <w:r>
        <w:rPr>
          <w:rFonts w:ascii="Arial" w:cs="Arial" w:eastAsia="Arial" w:hAnsi="Arial"/>
          <w:sz w:val="15"/>
          <w:szCs w:val="15"/>
          <w:color w:val="auto"/>
        </w:rPr>
        <w:t>expire in 2017 and two leases that expire in 2019. There are 37 additional offices across APAC that serve in various sales, administration, software development and customer service capacities. 36 of these additional offices are leased and one property in Kuala Lumpur, Malaysia is owned.</w:t>
      </w:r>
    </w:p>
    <w:p>
      <w:pPr>
        <w:spacing w:after="0" w:line="262"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5"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 See “Risk Factors—We are involved in various legal proceedings which may cause us to incur significant fees, costs and expenses and may result in unfavorable outcomes.”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Antitrust Litigation and DOJ Investigation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US Airways Antitrust Litigation</w:t>
      </w:r>
    </w:p>
    <w:p>
      <w:pPr>
        <w:spacing w:after="0" w:line="15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April 2011, US Airways filed suit against us in federal court in the Southern District of New York, alleging violations of the Sherman Act Section 1 (anticompetitive agreements) and Section 2 (monopolization). The complaint was filed fewer than two months after we entered into a new distribution agreement with US Airways. In September 2011, the court dismissed all claims relating to Section 2. The claims that were not dismissed are claims brought under Section 1 of the Sherman Act, relating to our contracts with US Airways, which US Airways claims contain anticompetitive provisions, and an alleged conspiracy with the other GDSs, allegedly to maintain the industry structure and not to compete for content. We strongly deny all of the allegations made by US Airways.</w:t>
      </w:r>
    </w:p>
    <w:p>
      <w:pPr>
        <w:spacing w:after="0" w:line="192"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Sabre filed summary judgment motions in April 2014. In January 2015, the court issued an order granting Sabre's summary judgment motions in part, eliminating a majority of US Airways' alleged damages and rejecting its request for injunctive relief by which US Airways sought to bar Sabre from enforcing certain provisions in our contracts. In September 2015, the court also dismissed US Airways' claim for declaratory relief. US Airways may appeal the court's rulings upon a final judgment.</w:t>
      </w:r>
    </w:p>
    <w:p>
      <w:pPr>
        <w:spacing w:after="0" w:line="190"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The trial on the remaining claims commenced in October 2016. In December 2016, the jury issued a verdict in favor of US Airways with respect to its claim under Section 1 of the Sherman Act regarding Sabre's contract with US Airways and awarded it $5 million in single damages. The jury rejected US Airways' claim alleging a conspiracy with the other GDSs.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40" w:top="656" w:right="239" w:bottom="1440" w:gutter="0" w:footer="0" w:header="0"/>
        </w:sectPr>
      </w:pPr>
    </w:p>
    <w:bookmarkStart w:id="23" w:name="page24"/>
    <w:bookmarkEnd w:id="23"/>
    <w:p>
      <w:pPr>
        <w:jc w:val="both"/>
        <w:ind w:firstLine="441"/>
        <w:spacing w:after="0"/>
        <w:rPr>
          <w:sz w:val="20"/>
          <w:szCs w:val="20"/>
          <w:color w:val="auto"/>
        </w:rPr>
      </w:pPr>
      <w:r>
        <w:rPr>
          <w:rFonts w:ascii="Arial" w:cs="Arial" w:eastAsia="Arial" w:hAnsi="Arial"/>
          <w:sz w:val="15"/>
          <w:szCs w:val="15"/>
          <w:color w:val="auto"/>
        </w:rPr>
        <w:t>We continue to believe that our business practices and contract terms are lawful, and we have filed a motion seeking judgment as a matter of law in favor of Sabre on the one claim on which the jury found for US Airways. To the extent the court declines to grant this motion and enters final judgment based on the jury’s verdict, we expect to file an appeal with the United States Court of Appeals for the Second Circuit seeking a reversal of the judgment. To appeal the case, we may be required to post one or more supersedeas bonds that could equal the aggregate amount of the judgment entered plus interest. We expect to fund these bonds with cash on hand or letters of credit issued under our Revolver.</w:t>
      </w:r>
    </w:p>
    <w:p>
      <w:pPr>
        <w:spacing w:after="0" w:line="192" w:lineRule="exact"/>
        <w:rPr>
          <w:sz w:val="20"/>
          <w:szCs w:val="20"/>
          <w:color w:val="auto"/>
        </w:rPr>
      </w:pPr>
    </w:p>
    <w:p>
      <w:pPr>
        <w:ind w:right="40" w:firstLine="441"/>
        <w:spacing w:after="0" w:line="258" w:lineRule="auto"/>
        <w:rPr>
          <w:sz w:val="20"/>
          <w:szCs w:val="20"/>
          <w:color w:val="auto"/>
        </w:rPr>
      </w:pPr>
      <w:r>
        <w:rPr>
          <w:rFonts w:ascii="Arial" w:cs="Arial" w:eastAsia="Arial" w:hAnsi="Arial"/>
          <w:sz w:val="14"/>
          <w:szCs w:val="14"/>
          <w:color w:val="auto"/>
        </w:rPr>
        <w:t>In light of the verdict, we have accrued a loss of $32 million as of December 31, 2016, which represents the trebling of the jury's damages award, as required by the Sherman Act, plus our estimate of attorneys’ fees, expenses and costs which we would be required to pay pursuant to the Sherman Act. We are unable to estimate the exact amount of the loss associated with the verdict, but estimate that there is a range of outcomes between $32 million and $65 million, inclusive of the trebled jury award of approximately $15 million. No amount within the range is considered a better estimate than any other amount within the range and therefore, the minimum within the range has been recorded in selling, general and administrative expense. The amount of attorneys' fees and costs to be awarded is subject to briefing by the parties, which has not occurred yet, and final decision by the court. If we believe US Airways is not entitled under the law to recover all of the fees and costs it seeks to recover, we will dispute its request. The ultimate resolution of this matter may be greater or less than the amount recorded and, if greater, could adversely affect our results of operations. We have and will incur significant fees, costs and expenses for as long as the lawsuit, including any appeal, is ongoing. In addition, litigation by its nature is highly uncertain and fraught with risk, and it is therefore difficult to predict the outcome of any particular matter, including any appeal or changes to our business that may be required as a result of the litigation. Depending on the outcome of the litigation, any of these consequences could have a material adverse effect on our business, financial condition and results of operations.</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Putative Class Action Lawsuit</w:t>
      </w:r>
    </w:p>
    <w:p>
      <w:pPr>
        <w:spacing w:after="0" w:line="150"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5"/>
          <w:szCs w:val="15"/>
          <w:color w:val="auto"/>
        </w:rPr>
        <w:t>In July 2015, a putative class action lawsuit was filed against us and two other GDSs, in the United States District Court for the Southern District of New York. The plaintiffs, who are asserting claims on behalf of a putative class of consumers in various states, are generally alleging that the GDSs conspired to negotiate for full content from the airlines, resulting in higher ticket prices for consumers, in violation of various federal and state laws. The plaintiffs sought an unspecified amount of damages in connection with their state law claims, and they requested injunctive relief in connection with their federal claim. In July 2016, the court granted, in part, our motion to dismiss the lawsuit, finding that plaintiffs’ state law claims are preempted by federal law, thereby precluding their claims for damages. The court declined to dismiss plaintiffs’ claim seeking an injunction under federal antitrust law. The plaintiffs may appeal the court’s dismissal of their state law claims upon a final judgment. We believe that the claims associated with this case are neither probable nor estimable and therefore have not accrued any losses as of December 31, 2016. We may incur significant fees, costs and expenses for as long as this litigation is ongoing. We intend to vigorously defend against the remaining claims.</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Department of Justice Investigation</w:t>
      </w:r>
    </w:p>
    <w:p>
      <w:pPr>
        <w:spacing w:after="0" w:line="150"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for several years; however, we have not been notified that this matter is closed.</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Insurance Carriers</w:t>
      </w:r>
    </w:p>
    <w:p>
      <w:pPr>
        <w:spacing w:after="0" w:line="152"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4"/>
          <w:szCs w:val="14"/>
          <w:color w:val="auto"/>
        </w:rPr>
        <w:t>We have disputes against some of our insurance carriers for failing to reimburse defense costs incurred in our previous litigation with American Airlines, which we settled in October 2012. Both insurance carriers admitted there is coverage and agreed to defend us, but reserved their rights not to pay should we be found liable for certain of American Airlines’ allegations. Despite their admission of coverage, the insurers only reimbursed us for a small portion of our significant defense costs. We filed suit against the entities in New York state court alleging breach of contract and a statutory cause of action for failure to promptly pay claims. Although the carriers never withdrew their agreement to defend us, they recently have taken the position in the lawsuit that they had no duty to defend or indemnify us. If we prevail, we may recover some or all amounts previously tendered to the insurance companies for payment within the limits of the policies and may be entitled to 18% interest on such amounts, all of which will be recorded in the period cash is received. In December 2016, the judge issued an order on the parties’ competing motions for summary judgment. The judge partially granted Sabre’s motion, concluding the carriers had a duty to defend Sabre in the underlying American Airlines litigation and that their conflict of interest precluded the carriers from controlling the defense of the litigation. The judge denied the carriers’ motion seeking summary judgment and dismissal of Sabre’s complaint. The carriers are appealing the summary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20"/>
          </w:cols>
          <w:pgMar w:left="240" w:top="754"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color w:val="auto"/>
        </w:rPr>
        <w:t>judgment ruling. To date, settlement discussions have been unsuccessful. Discovery is closed, and a trial date has been set for October 2017.</w:t>
      </w:r>
    </w:p>
    <w:p>
      <w:pPr>
        <w:spacing w:after="0" w:line="31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Indian Income Tax Litigation</w:t>
      </w:r>
    </w:p>
    <w:p>
      <w:pPr>
        <w:spacing w:after="0" w:line="152"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4"/>
          <w:szCs w:val="14"/>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The DIT has continued to issue further tax assessments on a similar basis for subsequent years; however, the tax assessments for assessment years ending March 2007 and later are no longer material. We appealed the tax assessments for assessment years ending March 1998 through March 2006 and the Indian Commissioner of Income Tax Appeals returned a mixed verdict. We filed further appeals with the Income Tax Appellate Tribunal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 We have appealed the tax assessment for the assessment year ended March 2013 with the ITAT and no trial date has been set.</w:t>
      </w:r>
    </w:p>
    <w:p>
      <w:pPr>
        <w:spacing w:after="0" w:line="178"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addition,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Delhi High Court. No hearing date has been set. The DIT also assessed taxes on a similar basis for assessment years ending March 2006 through March 2013 and appeals for assessment years ending March 2006 through 2012 are pending before the ITAT.</w:t>
      </w:r>
    </w:p>
    <w:p>
      <w:pPr>
        <w:spacing w:after="0" w:line="192"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If the DIT were to fully prevail on every claim against us, including SAPPL, we could be subject to taxes, interest and penalties of approximately $43 million as of December 31, 2016.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probable and therefore have not made any provisions or recorded any liability for the potential resolution of any of these claims.</w:t>
      </w:r>
    </w:p>
    <w:p>
      <w:pPr>
        <w:spacing w:after="0" w:line="30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Indian Service Tax Litigation</w:t>
      </w:r>
    </w:p>
    <w:p>
      <w:pPr>
        <w:spacing w:after="0" w:line="152"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Litigation and Administrative Audit Proceedings Relating to Hotel Occupancy Taxes</w:t>
      </w:r>
    </w:p>
    <w:p>
      <w:pPr>
        <w:spacing w:after="0" w:line="152"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On January 23, 2015, we sold Travelocity.com to Expedia. Pursuant to the Travelocity Purchase Agreement, we will continue to be liable for pre-closing liabilities of Travelocity, including fees, charges, costs and settlements relating to litigation arising from hotels booked on the Travelocity platform prior to our previous long-term strategic marketing agreement with Expedia (the “Expedia SMA”). Fees, charges, costs and settlements relating to litigation from hotels booked on Travelocity.com subsequent to the Expedia SMA and prior to the date of the sale of Travelocity.com will be shared with Expedia in accordance with the terms set forth in the Expedia SMA. We are jointly and severally liable for certain indemnification obligations under the Travelocity Purchase Agreement for liabilities that may arise out of these litigation matters, which could adversely affect our cash flow.</w:t>
      </w:r>
    </w:p>
    <w:p>
      <w:pPr>
        <w:spacing w:after="0" w:line="192"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4"/>
          <w:szCs w:val="14"/>
          <w:color w:val="auto"/>
        </w:rPr>
        <w:t>Beginning in 2004, various state and local governments in the United States have filed more than 80 lawsuits against us and other OTAs pertaining primarily to whether our discontinued Travelocity segment and other OTAs owe sales or occupancy taxes on the revenues they earned from facilitating hotel reservations, where the customer paid us an amount at the time of booking that included (i) service fees, which we collected and retained, and (ii) the price of the hotel room and amounts for occupancy or other local taxes, which we passed along to the hotel supplier. The complaints generally allege, among other things, that the defendants failed to pay to the relevant taxing authority hotel occupancy taxes on the service fees. Several lawsuits also allege that the OTAs owe state or local taxes on their fees for facilitating car rental reservations. Courts have dismissed more than 30 of these lawsuits, some for failure to exhaust administrative remedies and some on the basis that we are not subject to sales or occupancy tax. The remaining lawsuits are in various stages of litigation. We have also settled some cases individually, most for amounts not material to our results of operations, and with respect to these settlements, have generally reserved our rights to challenge any effort by the applicable tax authority to impose occupancy taxes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20"/>
          </w:cols>
          <w:pgMar w:left="240" w:top="656" w:right="239" w:bottom="1440" w:gutter="0" w:footer="0" w:header="0"/>
        </w:sectPr>
      </w:pPr>
    </w:p>
    <w:bookmarkStart w:id="25" w:name="page26"/>
    <w:bookmarkEnd w:id="25"/>
    <w:p>
      <w:pPr>
        <w:jc w:val="both"/>
        <w:ind w:firstLine="441"/>
        <w:spacing w:after="0"/>
        <w:rPr>
          <w:sz w:val="20"/>
          <w:szCs w:val="20"/>
          <w:color w:val="auto"/>
        </w:rPr>
      </w:pPr>
      <w:r>
        <w:rPr>
          <w:rFonts w:ascii="Arial" w:cs="Arial" w:eastAsia="Arial" w:hAnsi="Arial"/>
          <w:sz w:val="15"/>
          <w:szCs w:val="15"/>
          <w:color w:val="auto"/>
        </w:rPr>
        <w:t>Although we have prevailed in the majority of these lawsuits and proceedings, there have been several adverse judgments or decisions on the merits, some of which are subject to appeal. As of December 31, 2016 and 2015, our reserve was not material for the potential resolution of issues identified related to litigation involving hotel and car sales, occupancy or excise taxes. We did not record material charges associated with these cases during the years ended December 31, 2016 and 2015. Our estimated liability is based on our current best estimate but the ultimate resolution of these issues may be greater or less than the amount recorded and, if greater, could adversely affect our results of operations.</w:t>
      </w:r>
    </w:p>
    <w:p>
      <w:pPr>
        <w:spacing w:after="0" w:line="192"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addition to the actions by the tax authorities, two consumer class action lawsuits have been filed against us in which the plaintiffs allege that we made misrepresentations concerning the description of the fees received in relation to facilitating hotel reservations. Generally, the consumer claims relate to whether Travelocity provided adequate notice to consumers regarding the nature of our fees and the amount of taxes charged or collected. One of these lawsuits is pending in Texas state court, where the court is currently considering the plaintiffs’ motion to certify a class action; and the other is pending in federal court, but has been stayed pending the outcome of the Texas state court action. We believe the notice we provided was appropriate and therefore have not accrued any losses related to these cases.</w:t>
      </w:r>
    </w:p>
    <w:p>
      <w:pPr>
        <w:spacing w:after="0" w:line="192"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5"/>
          <w:szCs w:val="15"/>
          <w:color w:val="auto"/>
        </w:rPr>
        <w:t>Furthermore,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Litigation Relating to Routine Proceedings</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68"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 applicable.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40" w:top="754"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EXECUTIVE OFFICERS OF THE REGISTRANT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names and ages of our executive officers as of February 17, 2017, together with certain biographical information,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Age</w:t>
            </w:r>
          </w:p>
        </w:tc>
        <w:tc>
          <w:tcPr>
            <w:tcW w:w="100" w:type="dxa"/>
            <w:vAlign w:val="bottom"/>
          </w:tcPr>
          <w:p>
            <w:pPr>
              <w:spacing w:after="0"/>
              <w:rPr>
                <w:sz w:val="17"/>
                <w:szCs w:val="17"/>
                <w:color w:val="auto"/>
              </w:rPr>
            </w:pPr>
          </w:p>
        </w:tc>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Position</w:t>
            </w:r>
          </w:p>
        </w:tc>
      </w:tr>
      <w:tr>
        <w:trPr>
          <w:trHeight w:val="216"/>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Lawrence W. Kellner</w:t>
            </w:r>
          </w:p>
        </w:tc>
        <w:tc>
          <w:tcPr>
            <w:tcW w:w="700" w:type="dxa"/>
            <w:vAlign w:val="bottom"/>
          </w:tcPr>
          <w:p>
            <w:pPr>
              <w:jc w:val="center"/>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Arial" w:cs="Arial" w:eastAsia="Arial" w:hAnsi="Arial"/>
                <w:sz w:val="15"/>
                <w:szCs w:val="15"/>
                <w:color w:val="auto"/>
              </w:rPr>
              <w:t>Executive Chairman of the Board and Director, Sabre</w:t>
            </w:r>
          </w:p>
        </w:tc>
      </w:tr>
      <w:tr>
        <w:trPr>
          <w:trHeight w:val="245"/>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Sean Menke</w:t>
            </w:r>
          </w:p>
        </w:tc>
        <w:tc>
          <w:tcPr>
            <w:tcW w:w="700" w:type="dxa"/>
            <w:vAlign w:val="bottom"/>
          </w:tcPr>
          <w:p>
            <w:pPr>
              <w:jc w:val="center"/>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5"/>
                <w:szCs w:val="15"/>
                <w:color w:val="auto"/>
              </w:rPr>
              <w:t>Chief Executive Officer, President and Director, Sabre</w:t>
            </w:r>
          </w:p>
        </w:tc>
      </w:tr>
      <w:tr>
        <w:trPr>
          <w:trHeight w:val="245"/>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Richard A. Simonson</w:t>
            </w:r>
          </w:p>
        </w:tc>
        <w:tc>
          <w:tcPr>
            <w:tcW w:w="700" w:type="dxa"/>
            <w:vAlign w:val="bottom"/>
          </w:tcPr>
          <w:p>
            <w:pPr>
              <w:jc w:val="center"/>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5"/>
                <w:szCs w:val="15"/>
                <w:color w:val="auto"/>
              </w:rPr>
              <w:t>Executive Vice President and Chief Financial Officer, Sabre</w:t>
            </w:r>
          </w:p>
        </w:tc>
      </w:tr>
      <w:tr>
        <w:trPr>
          <w:trHeight w:val="245"/>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Alexander S. Alt</w:t>
            </w:r>
          </w:p>
        </w:tc>
        <w:tc>
          <w:tcPr>
            <w:tcW w:w="700" w:type="dxa"/>
            <w:vAlign w:val="bottom"/>
          </w:tcPr>
          <w:p>
            <w:pPr>
              <w:jc w:val="center"/>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5"/>
                <w:szCs w:val="15"/>
                <w:color w:val="auto"/>
              </w:rPr>
              <w:t>Executive Vice President, Sabre and President, Hospitality Solutions</w:t>
            </w:r>
          </w:p>
        </w:tc>
      </w:tr>
      <w:tr>
        <w:trPr>
          <w:trHeight w:val="245"/>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Rachel A. Gonzalez</w:t>
            </w:r>
          </w:p>
        </w:tc>
        <w:tc>
          <w:tcPr>
            <w:tcW w:w="700" w:type="dxa"/>
            <w:vAlign w:val="bottom"/>
          </w:tcPr>
          <w:p>
            <w:pPr>
              <w:jc w:val="center"/>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5"/>
                <w:szCs w:val="15"/>
                <w:color w:val="auto"/>
              </w:rPr>
              <w:t>Executive Vice President and General Counsel, Sabre</w:t>
            </w:r>
          </w:p>
        </w:tc>
      </w:tr>
      <w:tr>
        <w:trPr>
          <w:trHeight w:val="245"/>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Hugh W. Jones</w:t>
            </w:r>
          </w:p>
        </w:tc>
        <w:tc>
          <w:tcPr>
            <w:tcW w:w="700" w:type="dxa"/>
            <w:vAlign w:val="bottom"/>
          </w:tcPr>
          <w:p>
            <w:pPr>
              <w:jc w:val="center"/>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5"/>
                <w:szCs w:val="15"/>
                <w:color w:val="auto"/>
              </w:rPr>
              <w:t>Executive Vice President, Sabre and President, Sabre Airline Solutions</w:t>
            </w:r>
          </w:p>
        </w:tc>
      </w:tr>
      <w:tr>
        <w:trPr>
          <w:trHeight w:val="245"/>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William G. Robinson</w:t>
            </w:r>
          </w:p>
        </w:tc>
        <w:tc>
          <w:tcPr>
            <w:tcW w:w="700" w:type="dxa"/>
            <w:vAlign w:val="bottom"/>
          </w:tcPr>
          <w:p>
            <w:pPr>
              <w:jc w:val="center"/>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5"/>
                <w:szCs w:val="15"/>
                <w:color w:val="auto"/>
              </w:rPr>
              <w:t>Executive Vice President and Chief Human Resources Officer, Sabre</w:t>
            </w:r>
          </w:p>
        </w:tc>
      </w:tr>
    </w:tbl>
    <w:p>
      <w:pPr>
        <w:spacing w:after="0" w:line="197"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b w:val="1"/>
          <w:bCs w:val="1"/>
          <w:color w:val="auto"/>
        </w:rPr>
        <w:t xml:space="preserve">Lawrence W. Kellner </w:t>
      </w:r>
      <w:r>
        <w:rPr>
          <w:rFonts w:ascii="Arial" w:cs="Arial" w:eastAsia="Arial" w:hAnsi="Arial"/>
          <w:sz w:val="15"/>
          <w:szCs w:val="15"/>
          <w:color w:val="auto"/>
        </w:rPr>
        <w:t>is executive chairman of the board. He has served as president of Emerald Creek Group, LLC, a private equity firm that he founded, since 2010.</w:t>
      </w:r>
      <w:r>
        <w:rPr>
          <w:rFonts w:ascii="Arial" w:cs="Arial" w:eastAsia="Arial" w:hAnsi="Arial"/>
          <w:sz w:val="15"/>
          <w:szCs w:val="15"/>
          <w:b w:val="1"/>
          <w:bCs w:val="1"/>
          <w:color w:val="auto"/>
        </w:rPr>
        <w:t xml:space="preserve"> </w:t>
      </w:r>
      <w:r>
        <w:rPr>
          <w:rFonts w:ascii="Arial" w:cs="Arial" w:eastAsia="Arial" w:hAnsi="Arial"/>
          <w:sz w:val="15"/>
          <w:szCs w:val="15"/>
          <w:color w:val="auto"/>
        </w:rPr>
        <w:t>Mr. Kellner previously served as Sabre’s non-executive chairman of the board from 2013 to 2016 and is expected to return to this role following his service as executive chairman. He served as chairman and chief executive officer of Continental Airlines, Inc., an international airline company, from December 2004 through December 2009. Mr. Kellner served as president and chief operating officer of Continental Airlines from March 2003 to December 2004, as president from May 2001 to March 2003 and was a member of Continental Airlines’ board of directors from May 2001 to December 2009. He serves on the board of directors of The Boeing Company and Marriott International, Inc. Mr. Kellner graduated from the University of South Carolina with a bachelor of science degree in business administration.</w:t>
      </w:r>
    </w:p>
    <w:p>
      <w:pPr>
        <w:spacing w:after="0" w:line="170" w:lineRule="exact"/>
        <w:rPr>
          <w:sz w:val="20"/>
          <w:szCs w:val="20"/>
          <w:color w:val="auto"/>
        </w:rPr>
      </w:pPr>
    </w:p>
    <w:p>
      <w:pPr>
        <w:jc w:val="both"/>
        <w:ind w:right="20" w:firstLine="454"/>
        <w:spacing w:after="0" w:line="244" w:lineRule="auto"/>
        <w:rPr>
          <w:sz w:val="20"/>
          <w:szCs w:val="20"/>
          <w:color w:val="auto"/>
        </w:rPr>
      </w:pPr>
      <w:r>
        <w:rPr>
          <w:rFonts w:ascii="Arial" w:cs="Arial" w:eastAsia="Arial" w:hAnsi="Arial"/>
          <w:sz w:val="15"/>
          <w:szCs w:val="15"/>
          <w:b w:val="1"/>
          <w:bCs w:val="1"/>
          <w:color w:val="auto"/>
        </w:rPr>
        <w:t xml:space="preserve">Sean Menke </w:t>
      </w:r>
      <w:r>
        <w:rPr>
          <w:rFonts w:ascii="Arial" w:cs="Arial" w:eastAsia="Arial" w:hAnsi="Arial"/>
          <w:sz w:val="15"/>
          <w:szCs w:val="15"/>
          <w:color w:val="auto"/>
        </w:rPr>
        <w:t>was elected president and CEO effective December 31, 2016. Prior to that, he served as executive vice president and president of Travel Network. Before</w:t>
      </w:r>
      <w:r>
        <w:rPr>
          <w:rFonts w:ascii="Arial" w:cs="Arial" w:eastAsia="Arial" w:hAnsi="Arial"/>
          <w:sz w:val="15"/>
          <w:szCs w:val="15"/>
          <w:b w:val="1"/>
          <w:bCs w:val="1"/>
          <w:color w:val="auto"/>
        </w:rPr>
        <w:t xml:space="preserve"> </w:t>
      </w:r>
      <w:r>
        <w:rPr>
          <w:rFonts w:ascii="Arial" w:cs="Arial" w:eastAsia="Arial" w:hAnsi="Arial"/>
          <w:sz w:val="15"/>
          <w:szCs w:val="15"/>
          <w:color w:val="auto"/>
        </w:rPr>
        <w:t>joining Sabre in October 2015, Mr. Menke served as executive vice president and chief operating officer of Hawaiian Airlines from October 2014 to October 2015. From 2013 to 2014, he was executive vice president of resources at IHS Inc., a global information technology company. He served as managing partner of Vista Strategic Group, LLC, a consulting firm, from 2012 to 2013 and from 2010 to 2011. From 2011 to 2012, he served as president and chief executive officer of Pinnacle Airlines, and from 2007 to 2010 as president and chief executive officer of Frontier Airlines. Frontier Airlines and Pinnacle Airlines filed for bankruptcy protection under Chapter 11 of the United States Bankruptcy Code in 2008 and 2012, respectively. Mr. Menke earned an executive MBA from the University of Denver and dual bachelor of science degrees in Economics and Aviation Management from Ohio State University.</w:t>
      </w:r>
    </w:p>
    <w:p>
      <w:pPr>
        <w:spacing w:after="0" w:line="171" w:lineRule="exact"/>
        <w:rPr>
          <w:sz w:val="20"/>
          <w:szCs w:val="20"/>
          <w:color w:val="auto"/>
        </w:rPr>
      </w:pPr>
    </w:p>
    <w:p>
      <w:pPr>
        <w:jc w:val="both"/>
        <w:ind w:right="20" w:firstLine="441"/>
        <w:spacing w:after="0" w:line="260" w:lineRule="auto"/>
        <w:rPr>
          <w:sz w:val="20"/>
          <w:szCs w:val="20"/>
          <w:color w:val="auto"/>
        </w:rPr>
      </w:pPr>
      <w:r>
        <w:rPr>
          <w:rFonts w:ascii="Arial" w:cs="Arial" w:eastAsia="Arial" w:hAnsi="Arial"/>
          <w:sz w:val="14"/>
          <w:szCs w:val="14"/>
          <w:b w:val="1"/>
          <w:bCs w:val="1"/>
          <w:color w:val="auto"/>
        </w:rPr>
        <w:t xml:space="preserve">Richard A. Simonson </w:t>
      </w:r>
      <w:r>
        <w:rPr>
          <w:rFonts w:ascii="Arial" w:cs="Arial" w:eastAsia="Arial" w:hAnsi="Arial"/>
          <w:sz w:val="14"/>
          <w:szCs w:val="14"/>
          <w:color w:val="auto"/>
        </w:rPr>
        <w:t>is executive vice president and chief financial officer. He leads our global finance organization and is responsible for the following functions -</w:t>
      </w:r>
      <w:r>
        <w:rPr>
          <w:rFonts w:ascii="Arial" w:cs="Arial" w:eastAsia="Arial" w:hAnsi="Arial"/>
          <w:sz w:val="14"/>
          <w:szCs w:val="14"/>
          <w:b w:val="1"/>
          <w:bCs w:val="1"/>
          <w:color w:val="auto"/>
        </w:rPr>
        <w:t xml:space="preserve"> </w:t>
      </w:r>
      <w:r>
        <w:rPr>
          <w:rFonts w:ascii="Arial" w:cs="Arial" w:eastAsia="Arial" w:hAnsi="Arial"/>
          <w:sz w:val="14"/>
          <w:szCs w:val="14"/>
          <w:color w:val="auto"/>
        </w:rPr>
        <w:t>accounting, tax, financial planning and analysis, investor relations, treasury, procurement, corporate development and mergers and acquisitions. He brings a combination of experiences across global finance, business operations and capital markets focused on the technology, telecom and media sectors. Before joining Sabre in March 2013, Mr. Simonson acted as an independent advisor to private equity and venture capital firms from May 2012 to March 2013 and from July 2010 to May 2011. He served as CFO and president for business operations at Rearden Commerce, a venture-backed e-commerce company from March 2011 to May 2012. From September 2001 to July 2010 he was an executive at Nokia Corporation in several global roles based in locations around the world - Helsinki, Zurich and New York-including more than five years as chief financial officer and executive vice president, followed by executive vice president and general manager of Nokia’s mobile phones unit and head of strategic sourcing. He was a member of Nokia’s Group Executive Board from 2004-2010. Mr. Simonson’s career includes time with Barclays Capital as managing director in the telecom and media investment banking group. He also spent 16 years with Bank of America Securities in the Global Corporate and Investment Banking group based out of San Francisco and Chicago, where he held various finance and investment banking positions, culminating as managing director of Global Project Finance. Mr. Simonson currently serves on the board of directors of Electronic Arts where he currently chairs the audit committee and additionally served as lead director from 2009-2015. He additionally serves on the board of directors and chairs the audit committee of Silver Spring Networks. He graduated from the Colorado School of Mines with a B.S. in mining engineering and holds an M.B.A. from Wharton School of Business at the University of Pennsylvania. Mr. Simonson is a trustee of the board of The Lyle School of Engineering at Southern Methodist University.</w:t>
      </w:r>
    </w:p>
    <w:p>
      <w:pPr>
        <w:spacing w:after="0" w:line="161" w:lineRule="exact"/>
        <w:rPr>
          <w:sz w:val="20"/>
          <w:szCs w:val="20"/>
          <w:color w:val="auto"/>
        </w:rPr>
      </w:pPr>
    </w:p>
    <w:p>
      <w:pPr>
        <w:jc w:val="both"/>
        <w:ind w:right="20" w:firstLine="454"/>
        <w:spacing w:after="0" w:line="243" w:lineRule="auto"/>
        <w:rPr>
          <w:sz w:val="20"/>
          <w:szCs w:val="20"/>
          <w:color w:val="auto"/>
        </w:rPr>
      </w:pPr>
      <w:r>
        <w:rPr>
          <w:rFonts w:ascii="Arial" w:cs="Arial" w:eastAsia="Arial" w:hAnsi="Arial"/>
          <w:sz w:val="15"/>
          <w:szCs w:val="15"/>
          <w:b w:val="1"/>
          <w:bCs w:val="1"/>
          <w:color w:val="auto"/>
        </w:rPr>
        <w:t xml:space="preserve">Alexander S. Alt </w:t>
      </w:r>
      <w:r>
        <w:rPr>
          <w:rFonts w:ascii="Arial" w:cs="Arial" w:eastAsia="Arial" w:hAnsi="Arial"/>
          <w:sz w:val="15"/>
          <w:szCs w:val="15"/>
          <w:color w:val="auto"/>
        </w:rPr>
        <w:t>is executive vice president, Sabre and president, Sabre Hospitality Solutions, and oversees one of the company's two Software as a Service (SaaS)</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businesses. Prior to being named president, Mr. Alt served in an expanded chief operating officer role at Sabre Hospitality Solutions, overseeing customer care, data services, implementations, call center and similar services. As part of the company's management team, he also helped drive overall business strategy. Before joining Sabre in 2012, Mr. Alt was senior vice president of global development and strategy at Rosewood Hotels &amp; Resorts, where he played a key role in the global growth and expansion of the business. Prior to joining Rosewood in 2006, he was a senior engagement manager at McKinsey &amp; Company. Earlier in his career, he worked in the finance department of Sabre as a manager and senior analyst in the financial planning and analysis group. Mr. Alt is a member of the Dallas Development Board of The Nature Conservancy and an advisory board member for the School of Undergraduate Studies at the University of Texas in Austin. He earned an MBA from Harvard Business School and a bachelor's degree in business from the University of Texas in Austin.</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40"/>
          </w:cols>
          <w:pgMar w:left="240" w:top="835" w:right="219" w:bottom="1440" w:gutter="0" w:footer="0" w:header="0"/>
        </w:sectPr>
      </w:pPr>
    </w:p>
    <w:bookmarkStart w:id="27" w:name="page28"/>
    <w:bookmarkEnd w:id="27"/>
    <w:p>
      <w:pPr>
        <w:jc w:val="both"/>
        <w:ind w:firstLine="454"/>
        <w:spacing w:after="0" w:line="242" w:lineRule="auto"/>
        <w:rPr>
          <w:sz w:val="20"/>
          <w:szCs w:val="20"/>
          <w:color w:val="auto"/>
        </w:rPr>
      </w:pPr>
      <w:r>
        <w:rPr>
          <w:rFonts w:ascii="Arial" w:cs="Arial" w:eastAsia="Arial" w:hAnsi="Arial"/>
          <w:sz w:val="15"/>
          <w:szCs w:val="15"/>
          <w:b w:val="1"/>
          <w:bCs w:val="1"/>
          <w:color w:val="auto"/>
        </w:rPr>
        <w:t xml:space="preserve">Rachel A. Gonzalez </w:t>
      </w:r>
      <w:r>
        <w:rPr>
          <w:rFonts w:ascii="Arial" w:cs="Arial" w:eastAsia="Arial" w:hAnsi="Arial"/>
          <w:sz w:val="15"/>
          <w:szCs w:val="15"/>
          <w:color w:val="auto"/>
        </w:rPr>
        <w:t>is executive vice president and general counsel of Sabre, a position she assumed in September 2014. She manages the global legal department</w:t>
      </w:r>
      <w:r>
        <w:rPr>
          <w:rFonts w:ascii="Arial" w:cs="Arial" w:eastAsia="Arial" w:hAnsi="Arial"/>
          <w:sz w:val="15"/>
          <w:szCs w:val="15"/>
          <w:b w:val="1"/>
          <w:bCs w:val="1"/>
          <w:color w:val="auto"/>
        </w:rPr>
        <w:t xml:space="preserve"> </w:t>
      </w:r>
      <w:r>
        <w:rPr>
          <w:rFonts w:ascii="Arial" w:cs="Arial" w:eastAsia="Arial" w:hAnsi="Arial"/>
          <w:sz w:val="15"/>
          <w:szCs w:val="15"/>
          <w:color w:val="auto"/>
        </w:rPr>
        <w:t>responsible for legal strategy, regulatory affairs, corporate compliance and government affairs. Prior to joining Sabre, Ms. Gonzalez served as executive vice president, general counsel and corporate secretary with Dean Foods in Dallas, Texas from March 2013 to September 2014, and as executive vice president, general counsel designate from November 2012 to March 2013. Ms. Gonzalez joined Dean Foods in 2008 as chief counsel, corporate and securities and served as the deputy general counsel prior to her promotion in November 2012. Previously, Ms. Gonzalez was senior vice president and group counsel with Affiliated Computer Services. Ms. Gonzalez was a partner with the law firm of Morgan, Lewis &amp; Bockius, where she focused on corporate finance, mergers and acquisitions, SEC compliance and corporate governance. Ms. Gonzalez serves on the Board of Directors of Girl Scouts of Northeast Texas and their Executive, Finance and Board Development Committees; she also serves as its Treasurer. Ms. Gonzalez is also a member of the board of directors of Dana Incorporated. Ms. Gonzalez earned her J.D. from Boalt Hall School of Law at the University of California, Berkeley and her bachelor’s degree in comparative literature from the University of California, Berkeley.</w:t>
      </w:r>
    </w:p>
    <w:p>
      <w:pPr>
        <w:spacing w:after="0" w:line="176" w:lineRule="exact"/>
        <w:rPr>
          <w:sz w:val="20"/>
          <w:szCs w:val="20"/>
          <w:color w:val="auto"/>
        </w:rPr>
      </w:pPr>
    </w:p>
    <w:p>
      <w:pPr>
        <w:jc w:val="both"/>
        <w:ind w:firstLine="454"/>
        <w:spacing w:after="0" w:line="244" w:lineRule="auto"/>
        <w:rPr>
          <w:sz w:val="20"/>
          <w:szCs w:val="20"/>
          <w:color w:val="auto"/>
        </w:rPr>
      </w:pPr>
      <w:r>
        <w:rPr>
          <w:rFonts w:ascii="Arial" w:cs="Arial" w:eastAsia="Arial" w:hAnsi="Arial"/>
          <w:sz w:val="15"/>
          <w:szCs w:val="15"/>
          <w:b w:val="1"/>
          <w:bCs w:val="1"/>
          <w:color w:val="auto"/>
        </w:rPr>
        <w:t xml:space="preserve">Hugh W. Jones </w:t>
      </w:r>
      <w:r>
        <w:rPr>
          <w:rFonts w:ascii="Arial" w:cs="Arial" w:eastAsia="Arial" w:hAnsi="Arial"/>
          <w:sz w:val="15"/>
          <w:szCs w:val="15"/>
          <w:color w:val="auto"/>
        </w:rPr>
        <w:t>is executive vice president and president of Sabre Airline Solutions and is a 27 year veteran of the travel industry. Immediately prior to being named to</w:t>
      </w:r>
      <w:r>
        <w:rPr>
          <w:rFonts w:ascii="Arial" w:cs="Arial" w:eastAsia="Arial" w:hAnsi="Arial"/>
          <w:sz w:val="15"/>
          <w:szCs w:val="15"/>
          <w:b w:val="1"/>
          <w:bCs w:val="1"/>
          <w:color w:val="auto"/>
        </w:rPr>
        <w:t xml:space="preserve"> </w:t>
      </w:r>
      <w:r>
        <w:rPr>
          <w:rFonts w:ascii="Arial" w:cs="Arial" w:eastAsia="Arial" w:hAnsi="Arial"/>
          <w:sz w:val="15"/>
          <w:szCs w:val="15"/>
          <w:color w:val="auto"/>
        </w:rPr>
        <w:t>his current role in April 2011, Mr. Jones served as Travelocity’s president and CEO beginning in February 2009 and before that, he held a number of executive roles at Sabre including senior vice president and chief operating officer for our Travel Network and Airline and Hospitality Solutions businesses, where he oversaw airline supplier initiatives and global customer support. He also led Travel Network in North America and served as senior vice president and controller for Sabre. Mr. Jones began his career with American Airlines in 1988 and held a variety of finance positions including financial controller for the airline’s European and Pacific airport, sales and reservations operations. He currently serves on the board of directors and audit committee of Gogo Inc. Mr. Jones earned a master’s degree in business administration from Southern Methodist University and a bachelor’s degree in geology and geophysics from the University of Wisconsin.</w:t>
      </w:r>
    </w:p>
    <w:p>
      <w:pPr>
        <w:spacing w:after="0" w:line="171"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4"/>
          <w:szCs w:val="14"/>
          <w:b w:val="1"/>
          <w:bCs w:val="1"/>
          <w:color w:val="auto"/>
        </w:rPr>
        <w:t xml:space="preserve">William G. Robinson </w:t>
      </w:r>
      <w:r>
        <w:rPr>
          <w:rFonts w:ascii="Arial" w:cs="Arial" w:eastAsia="Arial" w:hAnsi="Arial"/>
          <w:sz w:val="14"/>
          <w:szCs w:val="14"/>
          <w:color w:val="auto"/>
        </w:rPr>
        <w:t>is executive vice president and chief human resources officer. He is responsible for leading Sabre’s global human resources organization,</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talent management, organizational leadership and culture. Prior to joining Sabre in December 2013, Mr. Robinson served as the senior vice president and chief human resources officer at Coventry Health Care, a diversified managed health care company with 14,000 employees,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and industrial. Most recently, he was the human resources leader within the GE Enterprise Solutions division where he led a global team in an organization of 20,000 employees in 200 locations worldwide. Mr. Robinson currently serves on the board of directors of American Public Education, Inc. He holds a M.A. in Human Resources Development from Bowie State University and a B.S. in Communications from Wake Forest University.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20"/>
          </w:cols>
          <w:pgMar w:left="240" w:top="73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5"/>
          <w:szCs w:val="15"/>
          <w:b w:val="1"/>
          <w:bCs w:val="1"/>
          <w:color w:val="auto"/>
        </w:rPr>
        <w:t>PART II</w:t>
      </w:r>
    </w:p>
    <w:p>
      <w:pPr>
        <w:spacing w:after="0" w:line="294"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Our common stock is listed on the NASDAQ Global Select Market under the symbol “SABR.” The following table sets forth, for the quarterly period indicated, the high and low market prices per share for our common stock, as reported on the NASDAQ Global Select Market: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right"/>
              <w:ind w:right="330"/>
              <w:spacing w:after="0"/>
              <w:rPr>
                <w:sz w:val="20"/>
                <w:szCs w:val="20"/>
                <w:color w:val="auto"/>
              </w:rPr>
            </w:pPr>
            <w:r>
              <w:rPr>
                <w:rFonts w:ascii="Arial" w:cs="Arial" w:eastAsia="Arial" w:hAnsi="Arial"/>
                <w:sz w:val="11"/>
                <w:szCs w:val="11"/>
                <w:b w:val="1"/>
                <w:bCs w:val="1"/>
                <w:color w:val="auto"/>
              </w:rPr>
              <w:t>Dividends</w:t>
            </w:r>
          </w:p>
        </w:tc>
      </w:tr>
      <w:tr>
        <w:trPr>
          <w:trHeight w:val="159"/>
        </w:trPr>
        <w:tc>
          <w:tcPr>
            <w:tcW w:w="7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Arial" w:cs="Arial" w:eastAsia="Arial" w:hAnsi="Arial"/>
                <w:sz w:val="11"/>
                <w:szCs w:val="11"/>
                <w:b w:val="1"/>
                <w:bCs w:val="1"/>
                <w:color w:val="auto"/>
              </w:rPr>
              <w:t>High</w:t>
            </w:r>
          </w:p>
        </w:tc>
        <w:tc>
          <w:tcPr>
            <w:tcW w:w="340" w:type="dxa"/>
            <w:vAlign w:val="bottom"/>
          </w:tcPr>
          <w:p>
            <w:pPr>
              <w:spacing w:after="0"/>
              <w:rPr>
                <w:sz w:val="13"/>
                <w:szCs w:val="13"/>
                <w:color w:val="auto"/>
              </w:rPr>
            </w:pPr>
          </w:p>
        </w:tc>
        <w:tc>
          <w:tcPr>
            <w:tcW w:w="1120" w:type="dxa"/>
            <w:vAlign w:val="bottom"/>
            <w:gridSpan w:val="2"/>
          </w:tcPr>
          <w:p>
            <w:pPr>
              <w:ind w:left="240"/>
              <w:spacing w:after="0"/>
              <w:rPr>
                <w:sz w:val="20"/>
                <w:szCs w:val="20"/>
                <w:color w:val="auto"/>
              </w:rPr>
            </w:pPr>
            <w:r>
              <w:rPr>
                <w:rFonts w:ascii="Arial" w:cs="Arial" w:eastAsia="Arial" w:hAnsi="Arial"/>
                <w:sz w:val="11"/>
                <w:szCs w:val="11"/>
                <w:b w:val="1"/>
                <w:bCs w:val="1"/>
                <w:color w:val="auto"/>
              </w:rPr>
              <w:t>Low</w:t>
            </w:r>
          </w:p>
        </w:tc>
        <w:tc>
          <w:tcPr>
            <w:tcW w:w="260" w:type="dxa"/>
            <w:vAlign w:val="bottom"/>
          </w:tcPr>
          <w:p>
            <w:pPr>
              <w:spacing w:after="0"/>
              <w:rPr>
                <w:sz w:val="13"/>
                <w:szCs w:val="13"/>
                <w:color w:val="auto"/>
              </w:rPr>
            </w:pPr>
          </w:p>
        </w:tc>
        <w:tc>
          <w:tcPr>
            <w:tcW w:w="1100" w:type="dxa"/>
            <w:vAlign w:val="bottom"/>
          </w:tcPr>
          <w:p>
            <w:pPr>
              <w:jc w:val="right"/>
              <w:ind w:right="350"/>
              <w:spacing w:after="0"/>
              <w:rPr>
                <w:sz w:val="20"/>
                <w:szCs w:val="20"/>
                <w:color w:val="auto"/>
              </w:rPr>
            </w:pPr>
            <w:r>
              <w:rPr>
                <w:rFonts w:ascii="Arial" w:cs="Arial" w:eastAsia="Arial" w:hAnsi="Arial"/>
                <w:sz w:val="11"/>
                <w:szCs w:val="11"/>
                <w:b w:val="1"/>
                <w:bCs w:val="1"/>
                <w:color w:val="auto"/>
              </w:rPr>
              <w:t>Declared</w:t>
            </w:r>
          </w:p>
        </w:tc>
      </w:tr>
      <w:tr>
        <w:trPr>
          <w:trHeight w:val="245"/>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Year Ended December 31, 2016:</w:t>
            </w:r>
          </w:p>
        </w:tc>
        <w:tc>
          <w:tcPr>
            <w:tcW w:w="36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r>
      <w:tr>
        <w:trPr>
          <w:trHeight w:val="237"/>
        </w:trPr>
        <w:tc>
          <w:tcPr>
            <w:tcW w:w="7080" w:type="dxa"/>
            <w:vAlign w:val="bottom"/>
          </w:tcPr>
          <w:p>
            <w:pPr>
              <w:ind w:left="160"/>
              <w:spacing w:after="0"/>
              <w:rPr>
                <w:sz w:val="20"/>
                <w:szCs w:val="20"/>
                <w:color w:val="auto"/>
              </w:rPr>
            </w:pPr>
            <w:r>
              <w:rPr>
                <w:rFonts w:ascii="Arial" w:cs="Arial" w:eastAsia="Arial" w:hAnsi="Arial"/>
                <w:sz w:val="15"/>
                <w:szCs w:val="15"/>
                <w:color w:val="auto"/>
              </w:rPr>
              <w:t>Fourth Quarter</w:t>
            </w:r>
          </w:p>
        </w:tc>
        <w:tc>
          <w:tcPr>
            <w:tcW w:w="3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27.99</w:t>
            </w:r>
          </w:p>
        </w:tc>
        <w:tc>
          <w:tcPr>
            <w:tcW w:w="120" w:type="dxa"/>
            <w:vAlign w:val="bottom"/>
          </w:tcPr>
          <w:p>
            <w:pPr>
              <w:spacing w:after="0"/>
              <w:rPr>
                <w:sz w:val="20"/>
                <w:szCs w:val="20"/>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23.18</w:t>
            </w:r>
          </w:p>
        </w:tc>
        <w:tc>
          <w:tcPr>
            <w:tcW w:w="100" w:type="dxa"/>
            <w:vAlign w:val="bottom"/>
          </w:tcPr>
          <w:p>
            <w:pPr>
              <w:spacing w:after="0"/>
              <w:rPr>
                <w:sz w:val="20"/>
                <w:szCs w:val="20"/>
                <w:color w:val="auto"/>
              </w:rPr>
            </w:pP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0"/>
              <w:spacing w:after="0"/>
              <w:rPr>
                <w:sz w:val="20"/>
                <w:szCs w:val="20"/>
                <w:color w:val="auto"/>
              </w:rPr>
            </w:pPr>
            <w:r>
              <w:rPr>
                <w:rFonts w:ascii="Arial" w:cs="Arial" w:eastAsia="Arial" w:hAnsi="Arial"/>
                <w:sz w:val="15"/>
                <w:szCs w:val="15"/>
                <w:color w:val="auto"/>
              </w:rPr>
              <w:t>0.13</w:t>
            </w:r>
          </w:p>
        </w:tc>
      </w:tr>
      <w:tr>
        <w:trPr>
          <w:trHeight w:val="254"/>
        </w:trPr>
        <w:tc>
          <w:tcPr>
            <w:tcW w:w="7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Third Quarter</w:t>
            </w: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29.34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26.63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0.13</w:t>
            </w:r>
          </w:p>
        </w:tc>
      </w:tr>
      <w:tr>
        <w:trPr>
          <w:trHeight w:val="237"/>
        </w:trPr>
        <w:tc>
          <w:tcPr>
            <w:tcW w:w="7080" w:type="dxa"/>
            <w:vAlign w:val="bottom"/>
          </w:tcPr>
          <w:p>
            <w:pPr>
              <w:ind w:left="160"/>
              <w:spacing w:after="0"/>
              <w:rPr>
                <w:sz w:val="20"/>
                <w:szCs w:val="20"/>
                <w:color w:val="auto"/>
              </w:rPr>
            </w:pPr>
            <w:r>
              <w:rPr>
                <w:rFonts w:ascii="Arial" w:cs="Arial" w:eastAsia="Arial" w:hAnsi="Arial"/>
                <w:sz w:val="15"/>
                <w:szCs w:val="15"/>
                <w:color w:val="auto"/>
              </w:rPr>
              <w:t>Second Quarter</w:t>
            </w:r>
          </w:p>
        </w:tc>
        <w:tc>
          <w:tcPr>
            <w:tcW w:w="3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29.35</w:t>
            </w:r>
          </w:p>
        </w:tc>
        <w:tc>
          <w:tcPr>
            <w:tcW w:w="120" w:type="dxa"/>
            <w:vAlign w:val="bottom"/>
          </w:tcPr>
          <w:p>
            <w:pPr>
              <w:spacing w:after="0"/>
              <w:rPr>
                <w:sz w:val="20"/>
                <w:szCs w:val="20"/>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25.30</w:t>
            </w:r>
          </w:p>
        </w:tc>
        <w:tc>
          <w:tcPr>
            <w:tcW w:w="100" w:type="dxa"/>
            <w:vAlign w:val="bottom"/>
          </w:tcPr>
          <w:p>
            <w:pPr>
              <w:spacing w:after="0"/>
              <w:rPr>
                <w:sz w:val="20"/>
                <w:szCs w:val="20"/>
                <w:color w:val="auto"/>
              </w:rPr>
            </w:pP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0"/>
              <w:spacing w:after="0"/>
              <w:rPr>
                <w:sz w:val="20"/>
                <w:szCs w:val="20"/>
                <w:color w:val="auto"/>
              </w:rPr>
            </w:pPr>
            <w:r>
              <w:rPr>
                <w:rFonts w:ascii="Arial" w:cs="Arial" w:eastAsia="Arial" w:hAnsi="Arial"/>
                <w:sz w:val="15"/>
                <w:szCs w:val="15"/>
                <w:color w:val="auto"/>
              </w:rPr>
              <w:t>0.13</w:t>
            </w:r>
          </w:p>
        </w:tc>
      </w:tr>
      <w:tr>
        <w:trPr>
          <w:trHeight w:val="254"/>
        </w:trPr>
        <w:tc>
          <w:tcPr>
            <w:tcW w:w="7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First Quarter</w:t>
            </w: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28.92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23.18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0.13</w:t>
            </w:r>
          </w:p>
        </w:tc>
      </w:tr>
      <w:tr>
        <w:trPr>
          <w:trHeight w:val="237"/>
        </w:trPr>
        <w:tc>
          <w:tcPr>
            <w:tcW w:w="7080" w:type="dxa"/>
            <w:vAlign w:val="bottom"/>
          </w:tcPr>
          <w:p>
            <w:pPr>
              <w:ind w:left="20"/>
              <w:spacing w:after="0"/>
              <w:rPr>
                <w:sz w:val="20"/>
                <w:szCs w:val="20"/>
                <w:color w:val="auto"/>
              </w:rPr>
            </w:pPr>
            <w:r>
              <w:rPr>
                <w:rFonts w:ascii="Arial" w:cs="Arial" w:eastAsia="Arial" w:hAnsi="Arial"/>
                <w:sz w:val="15"/>
                <w:szCs w:val="15"/>
                <w:color w:val="auto"/>
              </w:rPr>
              <w:t>Year Ended December 31, 2015:</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4"/>
        </w:trPr>
        <w:tc>
          <w:tcPr>
            <w:tcW w:w="7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Fourth Quarter</w:t>
            </w: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30.23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27.63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0.09</w:t>
            </w:r>
          </w:p>
        </w:tc>
      </w:tr>
      <w:tr>
        <w:trPr>
          <w:trHeight w:val="237"/>
        </w:trPr>
        <w:tc>
          <w:tcPr>
            <w:tcW w:w="7080" w:type="dxa"/>
            <w:vAlign w:val="bottom"/>
          </w:tcPr>
          <w:p>
            <w:pPr>
              <w:ind w:left="160"/>
              <w:spacing w:after="0"/>
              <w:rPr>
                <w:sz w:val="20"/>
                <w:szCs w:val="20"/>
                <w:color w:val="auto"/>
              </w:rPr>
            </w:pPr>
            <w:r>
              <w:rPr>
                <w:rFonts w:ascii="Arial" w:cs="Arial" w:eastAsia="Arial" w:hAnsi="Arial"/>
                <w:sz w:val="15"/>
                <w:szCs w:val="15"/>
                <w:color w:val="auto"/>
              </w:rPr>
              <w:t>Third Quarter</w:t>
            </w:r>
          </w:p>
        </w:tc>
        <w:tc>
          <w:tcPr>
            <w:tcW w:w="3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29.34</w:t>
            </w:r>
          </w:p>
        </w:tc>
        <w:tc>
          <w:tcPr>
            <w:tcW w:w="120" w:type="dxa"/>
            <w:vAlign w:val="bottom"/>
          </w:tcPr>
          <w:p>
            <w:pPr>
              <w:spacing w:after="0"/>
              <w:rPr>
                <w:sz w:val="20"/>
                <w:szCs w:val="20"/>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23.93</w:t>
            </w:r>
          </w:p>
        </w:tc>
        <w:tc>
          <w:tcPr>
            <w:tcW w:w="100" w:type="dxa"/>
            <w:vAlign w:val="bottom"/>
          </w:tcPr>
          <w:p>
            <w:pPr>
              <w:spacing w:after="0"/>
              <w:rPr>
                <w:sz w:val="20"/>
                <w:szCs w:val="20"/>
                <w:color w:val="auto"/>
              </w:rPr>
            </w:pP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0"/>
              <w:spacing w:after="0"/>
              <w:rPr>
                <w:sz w:val="20"/>
                <w:szCs w:val="20"/>
                <w:color w:val="auto"/>
              </w:rPr>
            </w:pPr>
            <w:r>
              <w:rPr>
                <w:rFonts w:ascii="Arial" w:cs="Arial" w:eastAsia="Arial" w:hAnsi="Arial"/>
                <w:sz w:val="15"/>
                <w:szCs w:val="15"/>
                <w:color w:val="auto"/>
              </w:rPr>
              <w:t>0.09</w:t>
            </w:r>
          </w:p>
        </w:tc>
      </w:tr>
      <w:tr>
        <w:trPr>
          <w:trHeight w:val="254"/>
        </w:trPr>
        <w:tc>
          <w:tcPr>
            <w:tcW w:w="70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Second Quarter</w:t>
            </w: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26.53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23.57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0.09</w:t>
            </w:r>
          </w:p>
        </w:tc>
      </w:tr>
      <w:tr>
        <w:trPr>
          <w:trHeight w:val="228"/>
        </w:trPr>
        <w:tc>
          <w:tcPr>
            <w:tcW w:w="7080" w:type="dxa"/>
            <w:vAlign w:val="bottom"/>
          </w:tcPr>
          <w:p>
            <w:pPr>
              <w:ind w:left="160"/>
              <w:spacing w:after="0"/>
              <w:rPr>
                <w:sz w:val="20"/>
                <w:szCs w:val="20"/>
                <w:color w:val="auto"/>
              </w:rPr>
            </w:pPr>
            <w:r>
              <w:rPr>
                <w:rFonts w:ascii="Arial" w:cs="Arial" w:eastAsia="Arial" w:hAnsi="Arial"/>
                <w:sz w:val="15"/>
                <w:szCs w:val="15"/>
                <w:color w:val="auto"/>
              </w:rPr>
              <w:t>First Quarter</w:t>
            </w:r>
          </w:p>
        </w:tc>
        <w:tc>
          <w:tcPr>
            <w:tcW w:w="3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24.48</w:t>
            </w:r>
          </w:p>
        </w:tc>
        <w:tc>
          <w:tcPr>
            <w:tcW w:w="120" w:type="dxa"/>
            <w:vAlign w:val="bottom"/>
          </w:tcPr>
          <w:p>
            <w:pPr>
              <w:spacing w:after="0"/>
              <w:rPr>
                <w:sz w:val="19"/>
                <w:szCs w:val="19"/>
                <w:color w:val="auto"/>
              </w:rPr>
            </w:pPr>
          </w:p>
        </w:tc>
        <w:tc>
          <w:tcPr>
            <w:tcW w:w="340" w:type="dxa"/>
            <w:vAlign w:val="bottom"/>
          </w:tcPr>
          <w:p>
            <w:pPr>
              <w:jc w:val="right"/>
              <w:ind w:right="16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19.40</w:t>
            </w:r>
          </w:p>
        </w:tc>
        <w:tc>
          <w:tcPr>
            <w:tcW w:w="100" w:type="dxa"/>
            <w:vAlign w:val="bottom"/>
          </w:tcPr>
          <w:p>
            <w:pPr>
              <w:spacing w:after="0"/>
              <w:rPr>
                <w:sz w:val="19"/>
                <w:szCs w:val="19"/>
                <w:color w:val="auto"/>
              </w:rPr>
            </w:pP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0"/>
              <w:spacing w:after="0"/>
              <w:rPr>
                <w:sz w:val="20"/>
                <w:szCs w:val="20"/>
                <w:color w:val="auto"/>
              </w:rPr>
            </w:pPr>
            <w:r>
              <w:rPr>
                <w:rFonts w:ascii="Arial" w:cs="Arial" w:eastAsia="Arial" w:hAnsi="Arial"/>
                <w:sz w:val="15"/>
                <w:szCs w:val="15"/>
                <w:color w:val="auto"/>
              </w:rPr>
              <w:t>0.09</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February 13, 2017, there were 208 stockholders of record of our common stock.</w:t>
      </w:r>
    </w:p>
    <w:p>
      <w:pPr>
        <w:spacing w:after="0" w:line="195" w:lineRule="exact"/>
        <w:rPr>
          <w:sz w:val="20"/>
          <w:szCs w:val="20"/>
          <w:color w:val="auto"/>
        </w:rPr>
      </w:pPr>
    </w:p>
    <w:p>
      <w:pPr>
        <w:jc w:val="both"/>
        <w:ind w:firstLine="454"/>
        <w:spacing w:after="0" w:line="262" w:lineRule="auto"/>
        <w:rPr>
          <w:sz w:val="20"/>
          <w:szCs w:val="20"/>
          <w:color w:val="auto"/>
        </w:rPr>
      </w:pPr>
      <w:r>
        <w:rPr>
          <w:rFonts w:ascii="Arial" w:cs="Arial" w:eastAsia="Arial" w:hAnsi="Arial"/>
          <w:sz w:val="14"/>
          <w:szCs w:val="14"/>
          <w:color w:val="auto"/>
        </w:rPr>
        <w:t>We expect to continue to pay quarterly cash dividends on our common stock, subject to declaration of our board of directors. The amount of future cash dividends, if any,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Our board of directors has declared a cash dividend of $0.14 per share of common stock which will be paid on March 30, 2017 to stockholders of record as of March 21, 2017. See Item 7, “Management’s Discussion and Analysis of Financial Condition and Results of Operations—Liquidity and Capital Resources—Dividends.”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contains information for common shares repurchased during the fourth quarter of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rPr>
              <w:t>Total Number of Shares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Purchased as Part of</w:t>
            </w:r>
          </w:p>
        </w:tc>
        <w:tc>
          <w:tcPr>
            <w:tcW w:w="320" w:type="dxa"/>
            <w:vAlign w:val="bottom"/>
          </w:tcPr>
          <w:p>
            <w:pPr>
              <w:spacing w:after="0"/>
              <w:rPr>
                <w:sz w:val="10"/>
                <w:szCs w:val="10"/>
                <w:color w:val="auto"/>
              </w:rPr>
            </w:pPr>
          </w:p>
        </w:tc>
        <w:tc>
          <w:tcPr>
            <w:tcW w:w="1580" w:type="dxa"/>
            <w:vAlign w:val="bottom"/>
            <w:gridSpan w:val="2"/>
          </w:tcPr>
          <w:p>
            <w:pPr>
              <w:jc w:val="center"/>
              <w:spacing w:after="0" w:line="123" w:lineRule="exact"/>
              <w:rPr>
                <w:sz w:val="20"/>
                <w:szCs w:val="20"/>
                <w:color w:val="auto"/>
              </w:rPr>
            </w:pPr>
            <w:r>
              <w:rPr>
                <w:rFonts w:ascii="Arial" w:cs="Arial" w:eastAsia="Arial" w:hAnsi="Arial"/>
                <w:sz w:val="11"/>
                <w:szCs w:val="11"/>
                <w:b w:val="1"/>
                <w:bCs w:val="1"/>
                <w:color w:val="auto"/>
              </w:rPr>
              <w:t>Approximate Dollar Value of</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Total Number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Publicly Announced Plans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jc w:val="center"/>
              <w:ind w:right="72"/>
              <w:spacing w:after="0" w:line="123" w:lineRule="exact"/>
              <w:rPr>
                <w:sz w:val="20"/>
                <w:szCs w:val="20"/>
                <w:color w:val="auto"/>
              </w:rPr>
            </w:pPr>
            <w:r>
              <w:rPr>
                <w:rFonts w:ascii="Arial" w:cs="Arial" w:eastAsia="Arial" w:hAnsi="Arial"/>
                <w:sz w:val="11"/>
                <w:szCs w:val="11"/>
                <w:b w:val="1"/>
                <w:bCs w:val="1"/>
                <w:color w:val="auto"/>
              </w:rPr>
              <w:t>Shares that May Yet Be</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Shares Purchased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Average Price Paid</w:t>
            </w:r>
          </w:p>
        </w:tc>
        <w:tc>
          <w:tcPr>
            <w:tcW w:w="16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or Programs</w:t>
            </w:r>
          </w:p>
        </w:tc>
        <w:tc>
          <w:tcPr>
            <w:tcW w:w="320" w:type="dxa"/>
            <w:vAlign w:val="bottom"/>
          </w:tcPr>
          <w:p>
            <w:pPr>
              <w:spacing w:after="0"/>
              <w:rPr>
                <w:sz w:val="10"/>
                <w:szCs w:val="10"/>
                <w:color w:val="auto"/>
              </w:rPr>
            </w:pPr>
          </w:p>
        </w:tc>
        <w:tc>
          <w:tcPr>
            <w:tcW w:w="1580" w:type="dxa"/>
            <w:vAlign w:val="bottom"/>
            <w:gridSpan w:val="2"/>
          </w:tcPr>
          <w:p>
            <w:pPr>
              <w:jc w:val="center"/>
              <w:spacing w:after="0" w:line="123" w:lineRule="exact"/>
              <w:rPr>
                <w:sz w:val="20"/>
                <w:szCs w:val="20"/>
                <w:color w:val="auto"/>
              </w:rPr>
            </w:pPr>
            <w:r>
              <w:rPr>
                <w:rFonts w:ascii="Arial" w:cs="Arial" w:eastAsia="Arial" w:hAnsi="Arial"/>
                <w:sz w:val="11"/>
                <w:szCs w:val="11"/>
                <w:b w:val="1"/>
                <w:bCs w:val="1"/>
                <w:color w:val="auto"/>
              </w:rPr>
              <w:t>Purchased Under the Plans</w:t>
            </w:r>
          </w:p>
        </w:tc>
        <w:tc>
          <w:tcPr>
            <w:tcW w:w="0" w:type="dxa"/>
            <w:vAlign w:val="bottom"/>
          </w:tcPr>
          <w:p>
            <w:pPr>
              <w:spacing w:after="0"/>
              <w:rPr>
                <w:sz w:val="1"/>
                <w:szCs w:val="1"/>
                <w:color w:val="auto"/>
              </w:rPr>
            </w:pPr>
          </w:p>
        </w:tc>
      </w:tr>
      <w:tr>
        <w:trPr>
          <w:trHeight w:val="15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Period 2016</w:t>
            </w:r>
          </w:p>
        </w:tc>
        <w:tc>
          <w:tcPr>
            <w:tcW w:w="12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w:t>
            </w: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Per Share</w:t>
            </w:r>
          </w:p>
        </w:tc>
        <w:tc>
          <w:tcPr>
            <w:tcW w:w="32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w:t>
            </w:r>
          </w:p>
        </w:tc>
        <w:tc>
          <w:tcPr>
            <w:tcW w:w="3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rPr>
              <w:t>or Programs</w:t>
            </w: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October 1 to October 31</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0"/>
              <w:spacing w:after="0"/>
              <w:rPr>
                <w:sz w:val="20"/>
                <w:szCs w:val="20"/>
                <w:color w:val="auto"/>
              </w:rPr>
            </w:pPr>
            <w:r>
              <w:rPr>
                <w:rFonts w:ascii="Arial" w:cs="Arial" w:eastAsia="Arial" w:hAnsi="Arial"/>
                <w:sz w:val="15"/>
                <w:szCs w:val="15"/>
                <w:color w:val="auto"/>
              </w:rPr>
              <w:t>November 1 to November 30</w:t>
            </w:r>
          </w:p>
        </w:tc>
        <w:tc>
          <w:tcPr>
            <w:tcW w:w="1280" w:type="dxa"/>
            <w:vAlign w:val="bottom"/>
          </w:tcPr>
          <w:p>
            <w:pPr>
              <w:jc w:val="right"/>
              <w:ind w:right="73"/>
              <w:spacing w:after="0"/>
              <w:rPr>
                <w:sz w:val="20"/>
                <w:szCs w:val="20"/>
                <w:color w:val="auto"/>
              </w:rPr>
            </w:pPr>
            <w:r>
              <w:rPr>
                <w:rFonts w:ascii="Arial" w:cs="Arial" w:eastAsia="Arial" w:hAnsi="Arial"/>
                <w:sz w:val="15"/>
                <w:szCs w:val="15"/>
                <w:color w:val="auto"/>
              </w:rPr>
              <w:t>2,513,633</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72"/>
              <w:spacing w:after="0"/>
              <w:rPr>
                <w:sz w:val="20"/>
                <w:szCs w:val="20"/>
                <w:color w:val="auto"/>
              </w:rPr>
            </w:pPr>
            <w:r>
              <w:rPr>
                <w:rFonts w:ascii="Arial" w:cs="Arial" w:eastAsia="Arial" w:hAnsi="Arial"/>
                <w:sz w:val="15"/>
                <w:szCs w:val="15"/>
                <w:color w:val="auto"/>
              </w:rPr>
              <w:t>24.72</w:t>
            </w:r>
          </w:p>
        </w:tc>
        <w:tc>
          <w:tcPr>
            <w:tcW w:w="320" w:type="dxa"/>
            <w:vAlign w:val="bottom"/>
          </w:tcPr>
          <w:p>
            <w:pPr>
              <w:spacing w:after="0"/>
              <w:rPr>
                <w:sz w:val="20"/>
                <w:szCs w:val="20"/>
                <w:color w:val="auto"/>
              </w:rPr>
            </w:pPr>
          </w:p>
        </w:tc>
        <w:tc>
          <w:tcPr>
            <w:tcW w:w="1600" w:type="dxa"/>
            <w:vAlign w:val="bottom"/>
          </w:tcPr>
          <w:p>
            <w:pPr>
              <w:jc w:val="right"/>
              <w:ind w:right="56"/>
              <w:spacing w:after="0"/>
              <w:rPr>
                <w:sz w:val="20"/>
                <w:szCs w:val="20"/>
                <w:color w:val="auto"/>
              </w:rPr>
            </w:pPr>
            <w:r>
              <w:rPr>
                <w:rFonts w:ascii="Arial" w:cs="Arial" w:eastAsia="Arial" w:hAnsi="Arial"/>
                <w:sz w:val="15"/>
                <w:szCs w:val="15"/>
                <w:color w:val="auto"/>
              </w:rPr>
              <w:t>2,513,633</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32"/>
              <w:spacing w:after="0"/>
              <w:rPr>
                <w:sz w:val="20"/>
                <w:szCs w:val="20"/>
                <w:color w:val="auto"/>
              </w:rPr>
            </w:pPr>
            <w:r>
              <w:rPr>
                <w:rFonts w:ascii="Arial" w:cs="Arial" w:eastAsia="Arial" w:hAnsi="Arial"/>
                <w:sz w:val="15"/>
                <w:szCs w:val="15"/>
                <w:color w:val="auto"/>
              </w:rPr>
              <w:t>37,874,267</w:t>
            </w:r>
          </w:p>
        </w:tc>
        <w:tc>
          <w:tcPr>
            <w:tcW w:w="0" w:type="dxa"/>
            <w:vAlign w:val="bottom"/>
          </w:tcPr>
          <w:p>
            <w:pPr>
              <w:spacing w:after="0"/>
              <w:rPr>
                <w:sz w:val="1"/>
                <w:szCs w:val="1"/>
                <w:color w:val="auto"/>
              </w:rPr>
            </w:pPr>
          </w:p>
        </w:tc>
      </w:tr>
      <w:tr>
        <w:trPr>
          <w:trHeight w:val="24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December 1 to December 31</w:t>
            </w: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5"/>
                <w:szCs w:val="15"/>
                <w:color w:val="auto"/>
              </w:rPr>
              <w:t>1,467,039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5"/>
                <w:szCs w:val="15"/>
                <w:color w:val="auto"/>
              </w:rPr>
              <w:t>25.82</w:t>
            </w:r>
          </w:p>
        </w:tc>
        <w:tc>
          <w:tcPr>
            <w:tcW w:w="32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rPr>
              <w:t>1,467,039</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tcPr>
          <w:p>
            <w:pPr>
              <w:ind w:left="320"/>
              <w:spacing w:after="0"/>
              <w:rPr>
                <w:sz w:val="20"/>
                <w:szCs w:val="20"/>
                <w:color w:val="auto"/>
              </w:rPr>
            </w:pPr>
            <w:r>
              <w:rPr>
                <w:rFonts w:ascii="Arial" w:cs="Arial" w:eastAsia="Arial" w:hAnsi="Arial"/>
                <w:sz w:val="15"/>
                <w:szCs w:val="15"/>
                <w:color w:val="auto"/>
              </w:rPr>
              <w:t>Total</w:t>
            </w: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5"/>
                <w:szCs w:val="15"/>
                <w:color w:val="auto"/>
              </w:rPr>
              <w:t>3,980,672</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72"/>
              <w:spacing w:after="0"/>
              <w:rPr>
                <w:sz w:val="20"/>
                <w:szCs w:val="20"/>
                <w:color w:val="auto"/>
              </w:rPr>
            </w:pPr>
            <w:r>
              <w:rPr>
                <w:rFonts w:ascii="Arial" w:cs="Arial" w:eastAsia="Arial" w:hAnsi="Arial"/>
                <w:sz w:val="15"/>
                <w:szCs w:val="15"/>
                <w:color w:val="auto"/>
              </w:rPr>
              <w:t>25.12</w:t>
            </w:r>
          </w:p>
        </w:tc>
        <w:tc>
          <w:tcPr>
            <w:tcW w:w="320" w:type="dxa"/>
            <w:vAlign w:val="bottom"/>
          </w:tcPr>
          <w:p>
            <w:pPr>
              <w:spacing w:after="0"/>
              <w:rPr>
                <w:sz w:val="18"/>
                <w:szCs w:val="18"/>
                <w:color w:val="auto"/>
              </w:rPr>
            </w:pPr>
          </w:p>
        </w:tc>
        <w:tc>
          <w:tcPr>
            <w:tcW w:w="160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color w:val="auto"/>
              </w:rPr>
              <w:t>3,980,672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80"/>
              <w:spacing w:after="0"/>
              <w:rPr>
                <w:sz w:val="20"/>
                <w:szCs w:val="20"/>
                <w:color w:val="auto"/>
              </w:rPr>
            </w:pPr>
            <w:r>
              <w:rPr>
                <w:rFonts w:ascii="Arial" w:cs="Arial" w:eastAsia="Arial" w:hAnsi="Arial"/>
                <w:sz w:val="10"/>
                <w:szCs w:val="10"/>
                <w:color w:val="auto"/>
              </w:rPr>
              <w:t>________________________</w:t>
            </w: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60" w:hanging="288"/>
        <w:spacing w:after="0"/>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shares repurchased in open market transactions pursuant to the Share Repurchase Program (as defined below).</w:t>
      </w:r>
    </w:p>
    <w:p>
      <w:pPr>
        <w:spacing w:after="0" w:line="23" w:lineRule="exact"/>
        <w:rPr>
          <w:rFonts w:ascii="Arial" w:cs="Arial" w:eastAsia="Arial" w:hAnsi="Arial"/>
          <w:sz w:val="15"/>
          <w:szCs w:val="15"/>
          <w:color w:val="auto"/>
        </w:rPr>
      </w:pPr>
    </w:p>
    <w:p>
      <w:pPr>
        <w:jc w:val="both"/>
        <w:ind w:left="360" w:hanging="288"/>
        <w:spacing w:after="0" w:line="241"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Share repurchases were made pursuant to a share repurchase program (the "Share Repurchase Program") authorized by our board of directors on November 2, 2016. This program was announced on November 3, 2016 and allowed for the purchase of up to $100 million of outstanding shares of our common stock in privately negotiated transactions or in the open market, or otherwise. The Share Repurchase Program expired on December 31, 2016. Further share repurchases would require authorization by our board of directors.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0"/>
          </w:cols>
          <w:pgMar w:left="240" w:top="835" w:right="2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color w:val="auto"/>
        </w:rPr>
        <w:t>Stock Performance Graph</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following graph shows a comparison from April 17, 2014, the date our common stock commenced trading on the NASDAQ Global Select Market, through December 31, 2016 of the cumulative total return for our common stock, the S&amp;P 500 Index, S&amp;P Software and Services Select Index and the NASDAQ Composite. The comparison assumes $100 was invested on April 17, 2014 in our common stock and in each of the indices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-4445</wp:posOffset>
            </wp:positionV>
            <wp:extent cx="5311775" cy="2149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1775" cy="214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stock price performance depicted in the above graph is not necessarily indicative of future price performance. The stock performance graph shall not be deemed “soliciting material” or to be “filed” with the SEC, nor shall such information be incorporated by reference into any future filing by us under the Securities Act or the Exchange Act, except to the extent that we specifically incorporate the graph by reference in such filing.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835" w:right="239" w:bottom="1440" w:gutter="0" w:footer="0" w:header="0"/>
        </w:sectPr>
      </w:pPr>
    </w:p>
    <w:bookmarkStart w:id="30" w:name="page31"/>
    <w:bookmarkEnd w:id="30"/>
    <w:p>
      <w:pPr>
        <w:spacing w:after="0"/>
        <w:tabs>
          <w:tab w:leader="none" w:pos="108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following selected financial data should be read in conjunction with Item 7, “Management’s Discussion and Analysis of Financial Condition and Results of Operations,” and our consolidated financial statements and notes thereto contained in Item 8, “Financial Statements and Supplementary Data,” of this Annual Report on Form 10-K.</w:t>
      </w:r>
    </w:p>
    <w:p>
      <w:pPr>
        <w:spacing w:after="0" w:line="190"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The consolidated statements of operations data and consolidated statements of cash flows data for the years ended December 31, 2016, 2015 and 2014 and the consolidated balance sheet data as of December 31, 2016 and 2015 are derived from our audited consolidated financial statements contained in Item 8, “Financial Statements and Supplementary Data,” of this Annual Report on Form 10-K. The consolidated statements of operations data and consolidated statements of cash flows data for the years ended December 31, 2013 and 2012 and the consolidated balance sheet data as of December 31, 2014 and 2013 are derived from audited consolidated financial statements not included in this Annual Report on Form 10-K. The consolidated balance sheet data as of December 31, 2013 and 2012 is derived from unaudited consolidated financial statements not included in this Annual Report on Form 10-K. The unaudited consolidated financial statements have been prepared on the same basis as our audited consolidated financial statements and, in the opinion of management, reflect all adjustments, consisting of normal recurring adjustments, necessary for a fair presentation of this data. Our historical results are not necessarily indicative of the results to be expected in the future. All amounts presented below are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93"/>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87"/>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7"/>
              <w:spacing w:after="0"/>
              <w:rPr>
                <w:sz w:val="20"/>
                <w:szCs w:val="20"/>
                <w:color w:val="auto"/>
              </w:rPr>
            </w:pPr>
            <w:r>
              <w:rPr>
                <w:rFonts w:ascii="Arial" w:cs="Arial" w:eastAsia="Arial" w:hAnsi="Arial"/>
                <w:sz w:val="11"/>
                <w:szCs w:val="11"/>
                <w:b w:val="1"/>
                <w:bCs w:val="1"/>
                <w:color w:val="auto"/>
              </w:rPr>
              <w:t>2015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67"/>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67"/>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67"/>
              <w:spacing w:after="0"/>
              <w:rPr>
                <w:sz w:val="20"/>
                <w:szCs w:val="20"/>
                <w:color w:val="auto"/>
              </w:rPr>
            </w:pPr>
            <w:r>
              <w:rPr>
                <w:rFonts w:ascii="Arial" w:cs="Arial" w:eastAsia="Arial" w:hAnsi="Arial"/>
                <w:sz w:val="11"/>
                <w:szCs w:val="11"/>
                <w:b w:val="1"/>
                <w:bCs w:val="1"/>
                <w:color w:val="auto"/>
              </w:rPr>
              <w:t>2012</w:t>
            </w:r>
          </w:p>
        </w:tc>
      </w:tr>
      <w:tr>
        <w:trPr>
          <w:trHeight w:val="52"/>
        </w:trPr>
        <w:tc>
          <w:tcPr>
            <w:tcW w:w="5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0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Statements of Operations Data:</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3,373,387</w:t>
            </w:r>
          </w:p>
        </w:tc>
        <w:tc>
          <w:tcPr>
            <w:tcW w:w="120" w:type="dxa"/>
            <w:vAlign w:val="bottom"/>
          </w:tcPr>
          <w:p>
            <w:pPr>
              <w:spacing w:after="0"/>
              <w:rPr>
                <w:sz w:val="20"/>
                <w:szCs w:val="20"/>
                <w:color w:val="auto"/>
              </w:rPr>
            </w:pPr>
          </w:p>
        </w:tc>
        <w:tc>
          <w:tcPr>
            <w:tcW w:w="2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2,960,896</w:t>
            </w:r>
          </w:p>
        </w:tc>
        <w:tc>
          <w:tcPr>
            <w:tcW w:w="3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2,631,417</w:t>
            </w:r>
          </w:p>
        </w:tc>
        <w:tc>
          <w:tcPr>
            <w:tcW w:w="120" w:type="dxa"/>
            <w:vAlign w:val="bottom"/>
          </w:tcPr>
          <w:p>
            <w:pPr>
              <w:spacing w:after="0"/>
              <w:rPr>
                <w:sz w:val="20"/>
                <w:szCs w:val="20"/>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2,523,546</w:t>
            </w:r>
          </w:p>
        </w:tc>
        <w:tc>
          <w:tcPr>
            <w:tcW w:w="120" w:type="dxa"/>
            <w:vAlign w:val="bottom"/>
          </w:tcPr>
          <w:p>
            <w:pPr>
              <w:spacing w:after="0"/>
              <w:rPr>
                <w:sz w:val="20"/>
                <w:szCs w:val="20"/>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2,382,148</w:t>
            </w:r>
          </w:p>
        </w:tc>
      </w:tr>
      <w:tr>
        <w:trPr>
          <w:trHeight w:val="254"/>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459,572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459,769</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421,345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380,930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(6,586)</w:t>
            </w:r>
          </w:p>
        </w:tc>
      </w:tr>
      <w:tr>
        <w:trPr>
          <w:trHeight w:val="237"/>
        </w:trPr>
        <w:tc>
          <w:tcPr>
            <w:tcW w:w="5240" w:type="dxa"/>
            <w:vAlign w:val="bottom"/>
          </w:tcPr>
          <w:p>
            <w:pPr>
              <w:ind w:left="20"/>
              <w:spacing w:after="0"/>
              <w:rPr>
                <w:sz w:val="20"/>
                <w:szCs w:val="20"/>
                <w:color w:val="auto"/>
              </w:rPr>
            </w:pPr>
            <w:r>
              <w:rPr>
                <w:rFonts w:ascii="Arial" w:cs="Arial" w:eastAsia="Arial" w:hAnsi="Arial"/>
                <w:sz w:val="15"/>
                <w:szCs w:val="15"/>
                <w:color w:val="auto"/>
              </w:rPr>
              <w:t>Income (loss) from continuing operations</w:t>
            </w:r>
          </w:p>
        </w:tc>
        <w:tc>
          <w:tcPr>
            <w:tcW w:w="24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241,390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234,555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110,873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52,066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(215,427)</w:t>
            </w:r>
          </w:p>
        </w:tc>
      </w:tr>
      <w:tr>
        <w:trPr>
          <w:trHeight w:val="254"/>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discontinued operations, net of tax</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5,549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314,408</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(149,697)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(394,410)</w:t>
            </w:r>
          </w:p>
        </w:tc>
      </w:tr>
      <w:tr>
        <w:trPr>
          <w:trHeight w:val="237"/>
        </w:trPr>
        <w:tc>
          <w:tcPr>
            <w:tcW w:w="5240" w:type="dxa"/>
            <w:vAlign w:val="bottom"/>
          </w:tcPr>
          <w:p>
            <w:pPr>
              <w:ind w:left="20"/>
              <w:spacing w:after="0"/>
              <w:rPr>
                <w:sz w:val="20"/>
                <w:szCs w:val="20"/>
                <w:color w:val="auto"/>
              </w:rPr>
            </w:pPr>
            <w:r>
              <w:rPr>
                <w:rFonts w:ascii="Arial" w:cs="Arial" w:eastAsia="Arial" w:hAnsi="Arial"/>
                <w:sz w:val="15"/>
                <w:szCs w:val="15"/>
                <w:color w:val="auto"/>
              </w:rPr>
              <w:t>Net income (loss) attributable to Sabre Corporation</w:t>
            </w:r>
          </w:p>
        </w:tc>
        <w:tc>
          <w:tcPr>
            <w:tcW w:w="24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242,562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545,482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69,223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(100,494)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(611,356)</w:t>
            </w:r>
          </w:p>
        </w:tc>
      </w:tr>
      <w:tr>
        <w:trPr>
          <w:trHeight w:val="254"/>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stockholders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242,562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545,482</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57,842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(137,198)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(645,939)</w:t>
            </w:r>
          </w:p>
        </w:tc>
      </w:tr>
      <w:tr>
        <w:trPr>
          <w:trHeight w:val="203"/>
        </w:trPr>
        <w:tc>
          <w:tcPr>
            <w:tcW w:w="5240" w:type="dxa"/>
            <w:vAlign w:val="bottom"/>
          </w:tcPr>
          <w:p>
            <w:pPr>
              <w:ind w:left="20"/>
              <w:spacing w:after="0"/>
              <w:rPr>
                <w:sz w:val="20"/>
                <w:szCs w:val="20"/>
                <w:color w:val="auto"/>
              </w:rPr>
            </w:pPr>
            <w:r>
              <w:rPr>
                <w:rFonts w:ascii="Arial" w:cs="Arial" w:eastAsia="Arial" w:hAnsi="Arial"/>
                <w:sz w:val="15"/>
                <w:szCs w:val="15"/>
                <w:color w:val="auto"/>
              </w:rPr>
              <w:t>Net Income (loss) per share attributable to common stockholders: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2"/>
        </w:trPr>
        <w:tc>
          <w:tcPr>
            <w:tcW w:w="5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5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0.87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0.24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r>
      <w:tr>
        <w:trPr>
          <w:trHeight w:val="237"/>
        </w:trPr>
        <w:tc>
          <w:tcPr>
            <w:tcW w:w="5240" w:type="dxa"/>
            <w:vAlign w:val="bottom"/>
          </w:tcPr>
          <w:p>
            <w:pPr>
              <w:ind w:left="140"/>
              <w:spacing w:after="0"/>
              <w:rPr>
                <w:sz w:val="20"/>
                <w:szCs w:val="20"/>
                <w:color w:val="auto"/>
              </w:rPr>
            </w:pPr>
            <w:r>
              <w:rPr>
                <w:rFonts w:ascii="Arial" w:cs="Arial" w:eastAsia="Arial" w:hAnsi="Arial"/>
                <w:sz w:val="15"/>
                <w:szCs w:val="15"/>
                <w:color w:val="auto"/>
              </w:rPr>
              <w:t>Diluted</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0.86</w:t>
            </w:r>
          </w:p>
        </w:tc>
        <w:tc>
          <w:tcPr>
            <w:tcW w:w="120" w:type="dxa"/>
            <w:vAlign w:val="bottom"/>
          </w:tcPr>
          <w:p>
            <w:pPr>
              <w:spacing w:after="0"/>
              <w:rPr>
                <w:sz w:val="20"/>
                <w:szCs w:val="20"/>
                <w:color w:val="auto"/>
              </w:rPr>
            </w:pPr>
          </w:p>
        </w:tc>
        <w:tc>
          <w:tcPr>
            <w:tcW w:w="2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1.95</w:t>
            </w:r>
          </w:p>
        </w:tc>
        <w:tc>
          <w:tcPr>
            <w:tcW w:w="3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0.23</w:t>
            </w:r>
          </w:p>
        </w:tc>
        <w:tc>
          <w:tcPr>
            <w:tcW w:w="120" w:type="dxa"/>
            <w:vAlign w:val="bottom"/>
          </w:tcPr>
          <w:p>
            <w:pPr>
              <w:spacing w:after="0"/>
              <w:rPr>
                <w:sz w:val="20"/>
                <w:szCs w:val="20"/>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(0.74)</w:t>
            </w:r>
          </w:p>
        </w:tc>
        <w:tc>
          <w:tcPr>
            <w:tcW w:w="120" w:type="dxa"/>
            <w:vAlign w:val="bottom"/>
          </w:tcPr>
          <w:p>
            <w:pPr>
              <w:spacing w:after="0"/>
              <w:rPr>
                <w:sz w:val="20"/>
                <w:szCs w:val="20"/>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(3.65)</w:t>
            </w:r>
          </w:p>
        </w:tc>
      </w:tr>
      <w:tr>
        <w:trPr>
          <w:trHeight w:val="23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Weighted-average common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5240" w:type="dxa"/>
            <w:vAlign w:val="bottom"/>
          </w:tcPr>
          <w:p>
            <w:pPr>
              <w:ind w:left="140"/>
              <w:spacing w:after="0"/>
              <w:rPr>
                <w:sz w:val="20"/>
                <w:szCs w:val="20"/>
                <w:color w:val="auto"/>
              </w:rPr>
            </w:pPr>
            <w:r>
              <w:rPr>
                <w:rFonts w:ascii="Arial" w:cs="Arial" w:eastAsia="Arial" w:hAnsi="Arial"/>
                <w:sz w:val="15"/>
                <w:szCs w:val="15"/>
                <w:color w:val="auto"/>
              </w:rPr>
              <w:t>Basic</w:t>
            </w:r>
          </w:p>
        </w:tc>
        <w:tc>
          <w:tcPr>
            <w:tcW w:w="24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277,546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273,139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238,633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178,125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177,206</w:t>
            </w:r>
          </w:p>
        </w:tc>
      </w:tr>
      <w:tr>
        <w:trPr>
          <w:trHeight w:val="254"/>
        </w:trPr>
        <w:tc>
          <w:tcPr>
            <w:tcW w:w="5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282,752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280,067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246,747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184,978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177,206</w:t>
            </w:r>
          </w:p>
        </w:tc>
      </w:tr>
      <w:tr>
        <w:trPr>
          <w:trHeight w:val="245"/>
        </w:trPr>
        <w:tc>
          <w:tcPr>
            <w:tcW w:w="5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Statements of Cash Flows Data:</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5"/>
                <w:szCs w:val="15"/>
                <w:color w:val="auto"/>
              </w:rPr>
              <w:t>Cash provided by operating activities</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699,400</w:t>
            </w:r>
          </w:p>
        </w:tc>
        <w:tc>
          <w:tcPr>
            <w:tcW w:w="120" w:type="dxa"/>
            <w:vAlign w:val="bottom"/>
          </w:tcPr>
          <w:p>
            <w:pPr>
              <w:spacing w:after="0"/>
              <w:rPr>
                <w:sz w:val="20"/>
                <w:szCs w:val="20"/>
                <w:color w:val="auto"/>
              </w:rPr>
            </w:pPr>
          </w:p>
        </w:tc>
        <w:tc>
          <w:tcPr>
            <w:tcW w:w="2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529,207</w:t>
            </w:r>
          </w:p>
        </w:tc>
        <w:tc>
          <w:tcPr>
            <w:tcW w:w="3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387,659</w:t>
            </w:r>
          </w:p>
        </w:tc>
        <w:tc>
          <w:tcPr>
            <w:tcW w:w="120" w:type="dxa"/>
            <w:vAlign w:val="bottom"/>
          </w:tcPr>
          <w:p>
            <w:pPr>
              <w:spacing w:after="0"/>
              <w:rPr>
                <w:sz w:val="20"/>
                <w:szCs w:val="20"/>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228,232</w:t>
            </w:r>
          </w:p>
        </w:tc>
        <w:tc>
          <w:tcPr>
            <w:tcW w:w="120" w:type="dxa"/>
            <w:vAlign w:val="bottom"/>
          </w:tcPr>
          <w:p>
            <w:pPr>
              <w:spacing w:after="0"/>
              <w:rPr>
                <w:sz w:val="20"/>
                <w:szCs w:val="20"/>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308,164</w:t>
            </w:r>
          </w:p>
        </w:tc>
      </w:tr>
      <w:tr>
        <w:trPr>
          <w:trHeight w:val="254"/>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(445,808)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(729,041)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(258,791)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(239,999)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(209,815)</w:t>
            </w:r>
          </w:p>
        </w:tc>
      </w:tr>
      <w:tr>
        <w:trPr>
          <w:trHeight w:val="237"/>
        </w:trPr>
        <w:tc>
          <w:tcPr>
            <w:tcW w:w="5240" w:type="dxa"/>
            <w:vAlign w:val="bottom"/>
          </w:tcPr>
          <w:p>
            <w:pPr>
              <w:ind w:left="20"/>
              <w:spacing w:after="0"/>
              <w:rPr>
                <w:sz w:val="20"/>
                <w:szCs w:val="20"/>
                <w:color w:val="auto"/>
              </w:rPr>
            </w:pPr>
            <w:r>
              <w:rPr>
                <w:rFonts w:ascii="Arial" w:cs="Arial" w:eastAsia="Arial" w:hAnsi="Arial"/>
                <w:sz w:val="15"/>
                <w:szCs w:val="15"/>
                <w:color w:val="auto"/>
              </w:rPr>
              <w:t>Cash provided by (used in) financing activities</w:t>
            </w:r>
          </w:p>
        </w:tc>
        <w:tc>
          <w:tcPr>
            <w:tcW w:w="24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(190,025)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93,144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(71,945)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262,172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(25,120)</w:t>
            </w:r>
          </w:p>
        </w:tc>
      </w:tr>
      <w:tr>
        <w:trPr>
          <w:trHeight w:val="254"/>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to property and equipment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327,647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286,697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227,227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209,523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167,043</w:t>
            </w:r>
          </w:p>
        </w:tc>
      </w:tr>
      <w:tr>
        <w:trPr>
          <w:trHeight w:val="237"/>
        </w:trPr>
        <w:tc>
          <w:tcPr>
            <w:tcW w:w="5240" w:type="dxa"/>
            <w:vAlign w:val="bottom"/>
          </w:tcPr>
          <w:p>
            <w:pPr>
              <w:ind w:left="20"/>
              <w:spacing w:after="0"/>
              <w:rPr>
                <w:sz w:val="20"/>
                <w:szCs w:val="20"/>
                <w:color w:val="auto"/>
              </w:rPr>
            </w:pPr>
            <w:r>
              <w:rPr>
                <w:rFonts w:ascii="Arial" w:cs="Arial" w:eastAsia="Arial" w:hAnsi="Arial"/>
                <w:sz w:val="15"/>
                <w:szCs w:val="15"/>
                <w:color w:val="auto"/>
              </w:rPr>
              <w:t>Cash payments for interest</w:t>
            </w:r>
          </w:p>
        </w:tc>
        <w:tc>
          <w:tcPr>
            <w:tcW w:w="24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151,495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154,307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197,782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255,620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264,990</w:t>
            </w:r>
          </w:p>
        </w:tc>
      </w:tr>
      <w:tr>
        <w:trPr>
          <w:trHeight w:val="254"/>
        </w:trPr>
        <w:tc>
          <w:tcPr>
            <w:tcW w:w="5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5"/>
                <w:szCs w:val="15"/>
                <w:b w:val="1"/>
                <w:bCs w:val="1"/>
                <w:color w:val="auto"/>
              </w:rPr>
              <w:t>Other Financial Data:</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2"/>
        </w:trPr>
        <w:tc>
          <w:tcPr>
            <w:tcW w:w="5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Gross Profit</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1,460,675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1,316,820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1,146,792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1,060,302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998,607</w:t>
            </w:r>
          </w:p>
        </w:tc>
      </w:tr>
      <w:tr>
        <w:trPr>
          <w:trHeight w:val="237"/>
        </w:trPr>
        <w:tc>
          <w:tcPr>
            <w:tcW w:w="5240" w:type="dxa"/>
            <w:vAlign w:val="bottom"/>
          </w:tcPr>
          <w:p>
            <w:pPr>
              <w:ind w:left="20"/>
              <w:spacing w:after="0"/>
              <w:rPr>
                <w:sz w:val="20"/>
                <w:szCs w:val="20"/>
                <w:color w:val="auto"/>
              </w:rPr>
            </w:pPr>
            <w:r>
              <w:rPr>
                <w:rFonts w:ascii="Arial" w:cs="Arial" w:eastAsia="Arial" w:hAnsi="Arial"/>
                <w:sz w:val="15"/>
                <w:szCs w:val="15"/>
                <w:color w:val="auto"/>
              </w:rPr>
              <w:t>Adjusted Net Income</w:t>
            </w:r>
          </w:p>
        </w:tc>
        <w:tc>
          <w:tcPr>
            <w:tcW w:w="24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370,937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308,072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232,477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182,187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147,734</w:t>
            </w:r>
          </w:p>
        </w:tc>
      </w:tr>
      <w:tr>
        <w:trPr>
          <w:trHeight w:val="254"/>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1,046,646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941,587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840,028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778,754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731,412</w:t>
            </w:r>
          </w:p>
        </w:tc>
      </w:tr>
      <w:tr>
        <w:trPr>
          <w:trHeight w:val="237"/>
        </w:trPr>
        <w:tc>
          <w:tcPr>
            <w:tcW w:w="5240" w:type="dxa"/>
            <w:vAlign w:val="bottom"/>
          </w:tcPr>
          <w:p>
            <w:pPr>
              <w:ind w:left="20"/>
              <w:spacing w:after="0"/>
              <w:rPr>
                <w:sz w:val="20"/>
                <w:szCs w:val="20"/>
                <w:color w:val="auto"/>
              </w:rPr>
            </w:pPr>
            <w:r>
              <w:rPr>
                <w:rFonts w:ascii="Arial" w:cs="Arial" w:eastAsia="Arial" w:hAnsi="Arial"/>
                <w:sz w:val="15"/>
                <w:szCs w:val="15"/>
                <w:color w:val="auto"/>
              </w:rPr>
              <w:t>Adjusted Capital Expenditures</w:t>
            </w:r>
          </w:p>
        </w:tc>
        <w:tc>
          <w:tcPr>
            <w:tcW w:w="24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411,052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350,079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265,038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268,337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245,586</w:t>
            </w:r>
          </w:p>
        </w:tc>
      </w:tr>
      <w:tr>
        <w:trPr>
          <w:trHeight w:val="254"/>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Free Cash Flow</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371,753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242,510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160,432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18,709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141,121</w:t>
            </w:r>
          </w:p>
        </w:tc>
      </w:tr>
      <w:tr>
        <w:trPr>
          <w:trHeight w:val="245"/>
        </w:trPr>
        <w:tc>
          <w:tcPr>
            <w:tcW w:w="5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Key Metrics: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03"/>
        </w:trPr>
        <w:tc>
          <w:tcPr>
            <w:tcW w:w="5240" w:type="dxa"/>
            <w:vAlign w:val="bottom"/>
          </w:tcPr>
          <w:p>
            <w:pPr>
              <w:ind w:left="20"/>
              <w:spacing w:after="0"/>
              <w:rPr>
                <w:sz w:val="20"/>
                <w:szCs w:val="20"/>
                <w:color w:val="auto"/>
              </w:rPr>
            </w:pPr>
            <w:r>
              <w:rPr>
                <w:rFonts w:ascii="Arial" w:cs="Arial" w:eastAsia="Arial" w:hAnsi="Arial"/>
                <w:sz w:val="15"/>
                <w:szCs w:val="15"/>
                <w:color w:val="auto"/>
              </w:rPr>
              <w:t>Travel Network</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2"/>
        </w:trPr>
        <w:tc>
          <w:tcPr>
            <w:tcW w:w="5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5"/>
        </w:trPr>
        <w:tc>
          <w:tcPr>
            <w:tcW w:w="52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Direct Billable Bookings - Air</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445,050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384,309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321,962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314,275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326,175</w:t>
            </w:r>
          </w:p>
        </w:tc>
      </w:tr>
      <w:tr>
        <w:trPr>
          <w:trHeight w:val="237"/>
        </w:trPr>
        <w:tc>
          <w:tcPr>
            <w:tcW w:w="5240" w:type="dxa"/>
            <w:vAlign w:val="bottom"/>
          </w:tcPr>
          <w:p>
            <w:pPr>
              <w:ind w:left="240"/>
              <w:spacing w:after="0"/>
              <w:rPr>
                <w:sz w:val="20"/>
                <w:szCs w:val="20"/>
                <w:color w:val="auto"/>
              </w:rPr>
            </w:pPr>
            <w:r>
              <w:rPr>
                <w:rFonts w:ascii="Arial" w:cs="Arial" w:eastAsia="Arial" w:hAnsi="Arial"/>
                <w:sz w:val="15"/>
                <w:szCs w:val="15"/>
                <w:color w:val="auto"/>
              </w:rPr>
              <w:t>Direct Billable Bookings - Non-Air</w:t>
            </w:r>
          </w:p>
        </w:tc>
        <w:tc>
          <w:tcPr>
            <w:tcW w:w="24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60,421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58,414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54,122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53,503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53,669</w:t>
            </w:r>
          </w:p>
        </w:tc>
      </w:tr>
      <w:tr>
        <w:trPr>
          <w:trHeight w:val="254"/>
        </w:trPr>
        <w:tc>
          <w:tcPr>
            <w:tcW w:w="52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Direct Billable Bookings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505,471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442,723</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376,084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367,778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379,844</w:t>
            </w:r>
          </w:p>
        </w:tc>
      </w:tr>
      <w:tr>
        <w:trPr>
          <w:trHeight w:val="228"/>
        </w:trPr>
        <w:tc>
          <w:tcPr>
            <w:tcW w:w="5240" w:type="dxa"/>
            <w:vAlign w:val="bottom"/>
          </w:tcPr>
          <w:p>
            <w:pPr>
              <w:ind w:left="20"/>
              <w:spacing w:after="0"/>
              <w:rPr>
                <w:sz w:val="20"/>
                <w:szCs w:val="20"/>
                <w:color w:val="auto"/>
              </w:rPr>
            </w:pPr>
            <w:r>
              <w:rPr>
                <w:rFonts w:ascii="Arial" w:cs="Arial" w:eastAsia="Arial" w:hAnsi="Arial"/>
                <w:sz w:val="15"/>
                <w:szCs w:val="15"/>
                <w:color w:val="auto"/>
              </w:rPr>
              <w:t>Airline Solutions Passengers Boarded</w:t>
            </w:r>
          </w:p>
        </w:tc>
        <w:tc>
          <w:tcPr>
            <w:tcW w:w="240" w:type="dxa"/>
            <w:vAlign w:val="bottom"/>
          </w:tcPr>
          <w:p>
            <w:pPr>
              <w:spacing w:after="0"/>
              <w:rPr>
                <w:sz w:val="19"/>
                <w:szCs w:val="19"/>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789,260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584,876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510,713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478,088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
              <w:spacing w:after="0"/>
              <w:rPr>
                <w:sz w:val="20"/>
                <w:szCs w:val="20"/>
                <w:color w:val="auto"/>
              </w:rPr>
            </w:pPr>
            <w:r>
              <w:rPr>
                <w:rFonts w:ascii="Arial" w:cs="Arial" w:eastAsia="Arial" w:hAnsi="Arial"/>
                <w:sz w:val="15"/>
                <w:szCs w:val="15"/>
                <w:color w:val="auto"/>
              </w:rPr>
              <w:t>405,420</w:t>
            </w:r>
          </w:p>
        </w:tc>
      </w:tr>
      <w:tr>
        <w:trPr>
          <w:trHeight w:val="711"/>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527"/>
              <w:spacing w:after="0"/>
              <w:rPr>
                <w:sz w:val="20"/>
                <w:szCs w:val="20"/>
                <w:color w:val="auto"/>
              </w:rPr>
            </w:pPr>
            <w:r>
              <w:rPr>
                <w:rFonts w:ascii="Arial" w:cs="Arial" w:eastAsia="Arial" w:hAnsi="Arial"/>
                <w:sz w:val="15"/>
                <w:szCs w:val="15"/>
                <w:color w:val="auto"/>
              </w:rPr>
              <w:t>29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835"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As of December 31,</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93"/>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Arial" w:cs="Arial" w:eastAsia="Arial" w:hAnsi="Arial"/>
                <w:sz w:val="11"/>
                <w:szCs w:val="11"/>
                <w:b w:val="1"/>
                <w:bCs w:val="1"/>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1"/>
                <w:szCs w:val="11"/>
                <w:b w:val="1"/>
                <w:bCs w:val="1"/>
                <w:color w:val="auto"/>
              </w:rPr>
              <w:t>2012</w:t>
            </w:r>
          </w:p>
        </w:tc>
      </w:tr>
      <w:tr>
        <w:trPr>
          <w:trHeight w:val="52"/>
        </w:trPr>
        <w:tc>
          <w:tcPr>
            <w:tcW w:w="5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05"/>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Consolidated Balance Sheet Data:</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364,114</w:t>
            </w:r>
          </w:p>
        </w:tc>
        <w:tc>
          <w:tcPr>
            <w:tcW w:w="120" w:type="dxa"/>
            <w:vAlign w:val="bottom"/>
          </w:tcPr>
          <w:p>
            <w:pPr>
              <w:spacing w:after="0"/>
              <w:rPr>
                <w:sz w:val="20"/>
                <w:szCs w:val="20"/>
                <w:color w:val="auto"/>
              </w:rPr>
            </w:pP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321,132</w:t>
            </w:r>
          </w:p>
        </w:tc>
        <w:tc>
          <w:tcPr>
            <w:tcW w:w="10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155,679</w:t>
            </w:r>
          </w:p>
        </w:tc>
        <w:tc>
          <w:tcPr>
            <w:tcW w:w="100" w:type="dxa"/>
            <w:vAlign w:val="bottom"/>
          </w:tcPr>
          <w:p>
            <w:pPr>
              <w:spacing w:after="0"/>
              <w:rPr>
                <w:sz w:val="20"/>
                <w:szCs w:val="20"/>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308,236</w:t>
            </w:r>
          </w:p>
        </w:tc>
        <w:tc>
          <w:tcPr>
            <w:tcW w:w="100" w:type="dxa"/>
            <w:vAlign w:val="bottom"/>
          </w:tcPr>
          <w:p>
            <w:pPr>
              <w:spacing w:after="0"/>
              <w:rPr>
                <w:sz w:val="20"/>
                <w:szCs w:val="20"/>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126,695</w:t>
            </w:r>
          </w:p>
        </w:tc>
      </w:tr>
      <w:tr>
        <w:trPr>
          <w:trHeight w:val="254"/>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5,724,570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5,393,627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4,643,073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4,755,708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4,711,245</w:t>
            </w:r>
          </w:p>
        </w:tc>
      </w:tr>
      <w:tr>
        <w:trPr>
          <w:trHeight w:val="245"/>
        </w:trPr>
        <w:tc>
          <w:tcPr>
            <w:tcW w:w="5260" w:type="dxa"/>
            <w:vAlign w:val="bottom"/>
          </w:tcPr>
          <w:p>
            <w:pPr>
              <w:ind w:left="20"/>
              <w:spacing w:after="0"/>
              <w:rPr>
                <w:sz w:val="20"/>
                <w:szCs w:val="20"/>
                <w:color w:val="auto"/>
              </w:rPr>
            </w:pPr>
            <w:r>
              <w:rPr>
                <w:rFonts w:ascii="Arial" w:cs="Arial" w:eastAsia="Arial" w:hAnsi="Arial"/>
                <w:sz w:val="15"/>
                <w:szCs w:val="15"/>
                <w:color w:val="auto"/>
              </w:rPr>
              <w:t>Long-term debt</w:t>
            </w:r>
            <w:r>
              <w:rPr>
                <w:rFonts w:ascii="Arial" w:cs="Arial" w:eastAsia="Arial" w:hAnsi="Arial"/>
                <w:sz w:val="19"/>
                <w:szCs w:val="19"/>
                <w:color w:val="auto"/>
                <w:vertAlign w:val="superscript"/>
              </w:rPr>
              <w:t>(1)</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3,276,281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3,169,344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3,040,009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3,643,548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3,420,927</w:t>
            </w:r>
          </w:p>
        </w:tc>
      </w:tr>
      <w:tr>
        <w:trPr>
          <w:trHeight w:val="245"/>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Working capital deficit</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(312,977)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(222,400)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(268,272)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(428,569)</w:t>
            </w:r>
          </w:p>
        </w:tc>
      </w:tr>
      <w:tr>
        <w:trPr>
          <w:trHeight w:val="237"/>
        </w:trPr>
        <w:tc>
          <w:tcPr>
            <w:tcW w:w="5260" w:type="dxa"/>
            <w:vAlign w:val="bottom"/>
          </w:tcPr>
          <w:p>
            <w:pPr>
              <w:ind w:left="20"/>
              <w:spacing w:after="0"/>
              <w:rPr>
                <w:sz w:val="20"/>
                <w:szCs w:val="20"/>
                <w:color w:val="auto"/>
              </w:rPr>
            </w:pPr>
            <w:r>
              <w:rPr>
                <w:rFonts w:ascii="Arial" w:cs="Arial" w:eastAsia="Arial" w:hAnsi="Arial"/>
                <w:sz w:val="15"/>
                <w:szCs w:val="15"/>
                <w:color w:val="auto"/>
              </w:rPr>
              <w:t>Redeemable preferred stock</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634,843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598,139</w:t>
            </w:r>
          </w:p>
        </w:tc>
      </w:tr>
      <w:tr>
        <w:trPr>
          <w:trHeight w:val="254"/>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2,579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1,438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621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88</w:t>
            </w:r>
          </w:p>
        </w:tc>
      </w:tr>
      <w:tr>
        <w:trPr>
          <w:trHeight w:val="228"/>
        </w:trPr>
        <w:tc>
          <w:tcPr>
            <w:tcW w:w="5260" w:type="dxa"/>
            <w:vAlign w:val="bottom"/>
          </w:tcPr>
          <w:p>
            <w:pPr>
              <w:ind w:left="20"/>
              <w:spacing w:after="0"/>
              <w:rPr>
                <w:sz w:val="20"/>
                <w:szCs w:val="20"/>
                <w:color w:val="auto"/>
              </w:rPr>
            </w:pPr>
            <w:r>
              <w:rPr>
                <w:rFonts w:ascii="Arial" w:cs="Arial" w:eastAsia="Arial" w:hAnsi="Arial"/>
                <w:sz w:val="15"/>
                <w:szCs w:val="15"/>
                <w:color w:val="auto"/>
              </w:rPr>
              <w:t>Total stockholders’ equity</w:t>
            </w:r>
          </w:p>
        </w:tc>
        <w:tc>
          <w:tcPr>
            <w:tcW w:w="24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625,615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484,140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84,383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5"/>
                <w:szCs w:val="15"/>
                <w:color w:val="auto"/>
              </w:rPr>
              <w:t>(952,536)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(876,875)</w:t>
            </w:r>
          </w:p>
        </w:tc>
      </w:tr>
      <w:tr>
        <w:trPr>
          <w:trHeight w:val="131"/>
        </w:trPr>
        <w:tc>
          <w:tcPr>
            <w:tcW w:w="5260" w:type="dxa"/>
            <w:vAlign w:val="bottom"/>
          </w:tcPr>
          <w:p>
            <w:pPr>
              <w:ind w:left="140"/>
              <w:spacing w:after="0"/>
              <w:rPr>
                <w:sz w:val="20"/>
                <w:szCs w:val="20"/>
                <w:color w:val="auto"/>
              </w:rPr>
            </w:pPr>
            <w:r>
              <w:rPr>
                <w:rFonts w:ascii="Arial" w:cs="Arial" w:eastAsia="Arial" w:hAnsi="Arial"/>
                <w:sz w:val="10"/>
                <w:szCs w:val="10"/>
                <w:color w:val="auto"/>
              </w:rPr>
              <w:t>________________________________</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1" w:lineRule="exact"/>
        <w:rPr>
          <w:sz w:val="20"/>
          <w:szCs w:val="20"/>
          <w:color w:val="auto"/>
        </w:rPr>
      </w:pPr>
    </w:p>
    <w:p>
      <w:pPr>
        <w:jc w:val="both"/>
        <w:ind w:left="360" w:hanging="215"/>
        <w:spacing w:after="0" w:line="241" w:lineRule="auto"/>
        <w:tabs>
          <w:tab w:leader="none" w:pos="3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the fourth quarter of 2015, we adopted new accounting standards that changed the presentation of deferred tax assets and liabilities and debt issuance costs; see Note 1, Summary of Business and Significant Accounting Policies for additional information. We applied the new guidance on a retrospective basis to the balance sheet data as of December 31, 2014. The balance sheet data as of December 2013 and 2012 were not adjusted.</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reconciliation of net income (loss) attributable to common stockholders to Adjusted Net Income and Adjusted EBITDA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93"/>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87"/>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307"/>
              <w:spacing w:after="0"/>
              <w:rPr>
                <w:sz w:val="20"/>
                <w:szCs w:val="20"/>
                <w:color w:val="auto"/>
              </w:rPr>
            </w:pPr>
            <w:r>
              <w:rPr>
                <w:rFonts w:ascii="Arial" w:cs="Arial" w:eastAsia="Arial" w:hAnsi="Arial"/>
                <w:sz w:val="11"/>
                <w:szCs w:val="11"/>
                <w:b w:val="1"/>
                <w:bCs w:val="1"/>
                <w:color w:val="auto"/>
              </w:rPr>
              <w:t>2015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67"/>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47"/>
              <w:spacing w:after="0"/>
              <w:rPr>
                <w:sz w:val="20"/>
                <w:szCs w:val="20"/>
                <w:color w:val="auto"/>
              </w:rPr>
            </w:pPr>
            <w:r>
              <w:rPr>
                <w:rFonts w:ascii="Arial" w:cs="Arial" w:eastAsia="Arial" w:hAnsi="Arial"/>
                <w:sz w:val="11"/>
                <w:szCs w:val="11"/>
                <w:b w:val="1"/>
                <w:bCs w:val="1"/>
                <w:color w:val="auto"/>
              </w:rPr>
              <w:t>2013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67"/>
              <w:spacing w:after="0"/>
              <w:rPr>
                <w:sz w:val="20"/>
                <w:szCs w:val="20"/>
                <w:color w:val="auto"/>
              </w:rPr>
            </w:pPr>
            <w:r>
              <w:rPr>
                <w:rFonts w:ascii="Arial" w:cs="Arial" w:eastAsia="Arial" w:hAnsi="Arial"/>
                <w:sz w:val="11"/>
                <w:szCs w:val="11"/>
                <w:b w:val="1"/>
                <w:bCs w:val="1"/>
                <w:color w:val="auto"/>
              </w:rPr>
              <w:t>2012</w:t>
            </w:r>
          </w:p>
        </w:tc>
      </w:tr>
      <w:tr>
        <w:trPr>
          <w:trHeight w:val="52"/>
        </w:trPr>
        <w:tc>
          <w:tcPr>
            <w:tcW w:w="5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common stockholders</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242,562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545,482</w:t>
            </w:r>
          </w:p>
        </w:tc>
        <w:tc>
          <w:tcPr>
            <w:tcW w:w="440" w:type="dxa"/>
            <w:vAlign w:val="bottom"/>
            <w:gridSpan w:val="3"/>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57,842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(645,939)</w:t>
            </w:r>
          </w:p>
        </w:tc>
      </w:tr>
      <w:tr>
        <w:trPr>
          <w:trHeight w:val="237"/>
        </w:trPr>
        <w:tc>
          <w:tcPr>
            <w:tcW w:w="5220" w:type="dxa"/>
            <w:vAlign w:val="bottom"/>
          </w:tcPr>
          <w:p>
            <w:pPr>
              <w:ind w:left="160"/>
              <w:spacing w:after="0"/>
              <w:rPr>
                <w:sz w:val="20"/>
                <w:szCs w:val="20"/>
                <w:color w:val="auto"/>
              </w:rPr>
            </w:pPr>
            <w:r>
              <w:rPr>
                <w:rFonts w:ascii="Arial" w:cs="Arial" w:eastAsia="Arial" w:hAnsi="Arial"/>
                <w:sz w:val="15"/>
                <w:szCs w:val="15"/>
                <w:color w:val="auto"/>
              </w:rPr>
              <w:t>Net (income) loss from discontinued operations, net of tax</w:t>
            </w:r>
          </w:p>
        </w:tc>
        <w:tc>
          <w:tcPr>
            <w:tcW w:w="240" w:type="dxa"/>
            <w:vAlign w:val="bottom"/>
          </w:tcPr>
          <w:p>
            <w:pPr>
              <w:spacing w:after="0"/>
              <w:rPr>
                <w:sz w:val="20"/>
                <w:szCs w:val="20"/>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(5,549)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(314,408)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38,918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149,697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394,410</w:t>
            </w:r>
          </w:p>
        </w:tc>
      </w:tr>
      <w:tr>
        <w:trPr>
          <w:trHeight w:val="254"/>
        </w:trPr>
        <w:tc>
          <w:tcPr>
            <w:tcW w:w="5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income (loss) attributable to noncontrolling interests</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4,377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2,732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2,863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1,519</w:t>
            </w:r>
          </w:p>
        </w:tc>
      </w:tr>
      <w:tr>
        <w:trPr>
          <w:trHeight w:val="238"/>
        </w:trPr>
        <w:tc>
          <w:tcPr>
            <w:tcW w:w="5220" w:type="dxa"/>
            <w:vAlign w:val="bottom"/>
          </w:tcPr>
          <w:p>
            <w:pPr>
              <w:ind w:left="160"/>
              <w:spacing w:after="0"/>
              <w:rPr>
                <w:sz w:val="20"/>
                <w:szCs w:val="20"/>
                <w:color w:val="auto"/>
              </w:rPr>
            </w:pPr>
            <w:r>
              <w:rPr>
                <w:rFonts w:ascii="Arial" w:cs="Arial" w:eastAsia="Arial" w:hAnsi="Arial"/>
                <w:sz w:val="15"/>
                <w:szCs w:val="15"/>
                <w:color w:val="auto"/>
              </w:rPr>
              <w:t>Preferred stock dividends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11,381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36,704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34,583</w:t>
            </w:r>
          </w:p>
        </w:tc>
      </w:tr>
      <w:tr>
        <w:trPr>
          <w:trHeight w:val="23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(loss) from continuing operations</w:t>
            </w: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241,390</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234,555</w:t>
            </w:r>
          </w:p>
        </w:tc>
        <w:tc>
          <w:tcPr>
            <w:tcW w:w="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110,873</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52,066</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(215,427)</w:t>
            </w:r>
          </w:p>
        </w:tc>
      </w:tr>
      <w:tr>
        <w:trPr>
          <w:trHeight w:val="203"/>
        </w:trPr>
        <w:tc>
          <w:tcPr>
            <w:tcW w:w="522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2"/>
        </w:trPr>
        <w:tc>
          <w:tcPr>
            <w:tcW w:w="5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5"/>
        </w:trPr>
        <w:tc>
          <w:tcPr>
            <w:tcW w:w="5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Impairment</w:t>
            </w:r>
            <w:r>
              <w:rPr>
                <w:rFonts w:ascii="Arial" w:cs="Arial" w:eastAsia="Arial" w:hAnsi="Arial"/>
                <w:sz w:val="19"/>
                <w:szCs w:val="19"/>
                <w:color w:val="auto"/>
                <w:vertAlign w:val="superscript"/>
              </w:rPr>
              <w:t>(2)</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44,054</w:t>
            </w:r>
          </w:p>
        </w:tc>
      </w:tr>
      <w:tr>
        <w:trPr>
          <w:trHeight w:val="237"/>
        </w:trPr>
        <w:tc>
          <w:tcPr>
            <w:tcW w:w="5220" w:type="dxa"/>
            <w:vAlign w:val="bottom"/>
          </w:tcPr>
          <w:p>
            <w:pPr>
              <w:ind w:left="160"/>
              <w:spacing w:after="0"/>
              <w:rPr>
                <w:sz w:val="20"/>
                <w:szCs w:val="20"/>
                <w:color w:val="auto"/>
              </w:rPr>
            </w:pPr>
            <w:r>
              <w:rPr>
                <w:rFonts w:ascii="Arial" w:cs="Arial" w:eastAsia="Arial" w:hAnsi="Arial"/>
                <w:sz w:val="15"/>
                <w:szCs w:val="15"/>
                <w:color w:val="auto"/>
              </w:rPr>
              <w:t>Gain on sale of business and assets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(25,850)</w:t>
            </w:r>
          </w:p>
        </w:tc>
      </w:tr>
      <w:tr>
        <w:trPr>
          <w:trHeight w:val="254"/>
        </w:trPr>
        <w:tc>
          <w:tcPr>
            <w:tcW w:w="5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Acquisition-related amortization</w:t>
            </w:r>
            <w:r>
              <w:rPr>
                <w:rFonts w:ascii="Arial" w:cs="Arial" w:eastAsia="Arial" w:hAnsi="Arial"/>
                <w:sz w:val="19"/>
                <w:szCs w:val="19"/>
                <w:color w:val="auto"/>
                <w:vertAlign w:val="superscript"/>
              </w:rPr>
              <w:t>(3a)</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143,425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108,121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99,383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132,685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129,869</w:t>
            </w:r>
          </w:p>
        </w:tc>
      </w:tr>
      <w:tr>
        <w:trPr>
          <w:trHeight w:val="237"/>
        </w:trPr>
        <w:tc>
          <w:tcPr>
            <w:tcW w:w="5220" w:type="dxa"/>
            <w:vAlign w:val="bottom"/>
          </w:tcPr>
          <w:p>
            <w:pPr>
              <w:ind w:left="160"/>
              <w:spacing w:after="0"/>
              <w:rPr>
                <w:sz w:val="20"/>
                <w:szCs w:val="20"/>
                <w:color w:val="auto"/>
              </w:rPr>
            </w:pPr>
            <w:r>
              <w:rPr>
                <w:rFonts w:ascii="Arial" w:cs="Arial" w:eastAsia="Arial" w:hAnsi="Arial"/>
                <w:sz w:val="15"/>
                <w:szCs w:val="15"/>
                <w:color w:val="auto"/>
              </w:rPr>
              <w:t>Loss on extinguishment of debt</w:t>
            </w:r>
          </w:p>
        </w:tc>
        <w:tc>
          <w:tcPr>
            <w:tcW w:w="240" w:type="dxa"/>
            <w:vAlign w:val="bottom"/>
          </w:tcPr>
          <w:p>
            <w:pPr>
              <w:spacing w:after="0"/>
              <w:rPr>
                <w:sz w:val="20"/>
                <w:szCs w:val="20"/>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3,683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38,783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33,538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12,181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w:t>
            </w:r>
          </w:p>
        </w:tc>
      </w:tr>
      <w:tr>
        <w:trPr>
          <w:trHeight w:val="254"/>
        </w:trPr>
        <w:tc>
          <w:tcPr>
            <w:tcW w:w="5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net</w:t>
            </w:r>
            <w:r>
              <w:rPr>
                <w:rFonts w:ascii="Arial" w:cs="Arial" w:eastAsia="Arial" w:hAnsi="Arial"/>
                <w:sz w:val="19"/>
                <w:szCs w:val="19"/>
                <w:color w:val="auto"/>
                <w:vertAlign w:val="superscript"/>
              </w:rPr>
              <w:t>(5)</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(27,617)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(91,377)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63,860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6,635</w:t>
            </w:r>
          </w:p>
        </w:tc>
      </w:tr>
      <w:tr>
        <w:trPr>
          <w:trHeight w:val="245"/>
        </w:trPr>
        <w:tc>
          <w:tcPr>
            <w:tcW w:w="5220" w:type="dxa"/>
            <w:vAlign w:val="bottom"/>
          </w:tcPr>
          <w:p>
            <w:pPr>
              <w:ind w:left="160"/>
              <w:spacing w:after="0"/>
              <w:rPr>
                <w:sz w:val="20"/>
                <w:szCs w:val="20"/>
                <w:color w:val="auto"/>
              </w:rPr>
            </w:pPr>
            <w:r>
              <w:rPr>
                <w:rFonts w:ascii="Arial" w:cs="Arial" w:eastAsia="Arial" w:hAnsi="Arial"/>
                <w:sz w:val="15"/>
                <w:szCs w:val="15"/>
                <w:color w:val="auto"/>
              </w:rPr>
              <w:t>Restructuring and other costs</w:t>
            </w:r>
            <w:r>
              <w:rPr>
                <w:rFonts w:ascii="Arial" w:cs="Arial" w:eastAsia="Arial" w:hAnsi="Arial"/>
                <w:sz w:val="19"/>
                <w:szCs w:val="19"/>
                <w:color w:val="auto"/>
                <w:vertAlign w:val="superscript"/>
              </w:rPr>
              <w:t>(6)</w:t>
            </w:r>
          </w:p>
        </w:tc>
        <w:tc>
          <w:tcPr>
            <w:tcW w:w="24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18,286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9,256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10,470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27,921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5,408</w:t>
            </w:r>
          </w:p>
        </w:tc>
      </w:tr>
      <w:tr>
        <w:trPr>
          <w:trHeight w:val="245"/>
        </w:trPr>
        <w:tc>
          <w:tcPr>
            <w:tcW w:w="5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Acquisition-related costs</w:t>
            </w:r>
            <w:r>
              <w:rPr>
                <w:rFonts w:ascii="Arial" w:cs="Arial" w:eastAsia="Arial" w:hAnsi="Arial"/>
                <w:sz w:val="19"/>
                <w:szCs w:val="19"/>
                <w:color w:val="auto"/>
                <w:vertAlign w:val="superscript"/>
              </w:rPr>
              <w:t>(7)</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779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r>
      <w:tr>
        <w:trPr>
          <w:trHeight w:val="245"/>
        </w:trPr>
        <w:tc>
          <w:tcPr>
            <w:tcW w:w="5220" w:type="dxa"/>
            <w:vAlign w:val="bottom"/>
          </w:tcPr>
          <w:p>
            <w:pPr>
              <w:ind w:left="160"/>
              <w:spacing w:after="0"/>
              <w:rPr>
                <w:sz w:val="20"/>
                <w:szCs w:val="20"/>
                <w:color w:val="auto"/>
              </w:rPr>
            </w:pPr>
            <w:r>
              <w:rPr>
                <w:rFonts w:ascii="Arial" w:cs="Arial" w:eastAsia="Arial" w:hAnsi="Arial"/>
                <w:sz w:val="15"/>
                <w:szCs w:val="15"/>
                <w:color w:val="auto"/>
              </w:rPr>
              <w:t>Litigation costs</w:t>
            </w:r>
            <w:r>
              <w:rPr>
                <w:rFonts w:ascii="Arial" w:cs="Arial" w:eastAsia="Arial" w:hAnsi="Arial"/>
                <w:sz w:val="19"/>
                <w:szCs w:val="19"/>
                <w:color w:val="auto"/>
                <w:vertAlign w:val="superscript"/>
              </w:rPr>
              <w:t>(8)</w:t>
            </w:r>
          </w:p>
        </w:tc>
        <w:tc>
          <w:tcPr>
            <w:tcW w:w="24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46,995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16,709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14,144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18,514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396,412</w:t>
            </w:r>
          </w:p>
        </w:tc>
      </w:tr>
      <w:tr>
        <w:trPr>
          <w:trHeight w:val="225"/>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Stock-based compensation</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48,524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29,971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20,094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3,387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4,365</w:t>
            </w:r>
          </w:p>
        </w:tc>
      </w:tr>
      <w:tr>
        <w:trPr>
          <w:trHeight w:val="245"/>
        </w:trPr>
        <w:tc>
          <w:tcPr>
            <w:tcW w:w="5220" w:type="dxa"/>
            <w:vAlign w:val="bottom"/>
          </w:tcPr>
          <w:p>
            <w:pPr>
              <w:ind w:left="160"/>
              <w:spacing w:after="0"/>
              <w:rPr>
                <w:sz w:val="20"/>
                <w:szCs w:val="20"/>
                <w:color w:val="auto"/>
              </w:rPr>
            </w:pPr>
            <w:r>
              <w:rPr>
                <w:rFonts w:ascii="Arial" w:cs="Arial" w:eastAsia="Arial" w:hAnsi="Arial"/>
                <w:sz w:val="15"/>
                <w:szCs w:val="15"/>
                <w:color w:val="auto"/>
              </w:rPr>
              <w:t>Management fees</w:t>
            </w:r>
            <w:r>
              <w:rPr>
                <w:rFonts w:ascii="Arial" w:cs="Arial" w:eastAsia="Arial" w:hAnsi="Arial"/>
                <w:sz w:val="19"/>
                <w:szCs w:val="19"/>
                <w:color w:val="auto"/>
                <w:vertAlign w:val="superscript"/>
              </w:rPr>
              <w:t>(9)</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23,701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8,761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7,769</w:t>
            </w:r>
          </w:p>
        </w:tc>
      </w:tr>
      <w:tr>
        <w:trPr>
          <w:trHeight w:val="245"/>
        </w:trPr>
        <w:tc>
          <w:tcPr>
            <w:tcW w:w="5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Tax impact of net income adjustments</w:t>
            </w:r>
            <w:r>
              <w:rPr>
                <w:rFonts w:ascii="Arial" w:cs="Arial" w:eastAsia="Arial" w:hAnsi="Arial"/>
                <w:sz w:val="19"/>
                <w:szCs w:val="19"/>
                <w:color w:val="auto"/>
                <w:vertAlign w:val="superscript"/>
              </w:rPr>
              <w:t>(10), (12)</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(104,528)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(52,383)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(143,586)</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(73,633)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(205,501)</w:t>
            </w:r>
          </w:p>
        </w:tc>
      </w:tr>
      <w:tr>
        <w:trPr>
          <w:trHeight w:val="24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Adjusted Net Income from continuing operations</w:t>
            </w: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370,937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308,072</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232,477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182,187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147,734</w:t>
            </w:r>
          </w:p>
        </w:tc>
      </w:tr>
      <w:tr>
        <w:trPr>
          <w:trHeight w:val="205"/>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Net Income from continuing operations per share</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440" w:type="dxa"/>
            <w:vAlign w:val="bottom"/>
            <w:gridSpan w:val="3"/>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0.94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0.98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0.81</w:t>
            </w:r>
          </w:p>
        </w:tc>
      </w:tr>
      <w:tr>
        <w:trPr>
          <w:trHeight w:val="245"/>
        </w:trPr>
        <w:tc>
          <w:tcPr>
            <w:tcW w:w="5220" w:type="dxa"/>
            <w:vAlign w:val="bottom"/>
          </w:tcPr>
          <w:p>
            <w:pPr>
              <w:ind w:left="20"/>
              <w:spacing w:after="0"/>
              <w:rPr>
                <w:sz w:val="20"/>
                <w:szCs w:val="20"/>
                <w:color w:val="auto"/>
              </w:rPr>
            </w:pPr>
            <w:r>
              <w:rPr>
                <w:rFonts w:ascii="Arial" w:cs="Arial" w:eastAsia="Arial" w:hAnsi="Arial"/>
                <w:sz w:val="15"/>
                <w:szCs w:val="15"/>
                <w:color w:val="auto"/>
              </w:rPr>
              <w:t>Diluted weighted-average common shares outstanding</w:t>
            </w:r>
            <w:r>
              <w:rPr>
                <w:rFonts w:ascii="Arial" w:cs="Arial" w:eastAsia="Arial" w:hAnsi="Arial"/>
                <w:sz w:val="19"/>
                <w:szCs w:val="19"/>
                <w:color w:val="auto"/>
                <w:vertAlign w:val="superscript"/>
              </w:rPr>
              <w:t>(11)</w:t>
            </w:r>
          </w:p>
        </w:tc>
        <w:tc>
          <w:tcPr>
            <w:tcW w:w="24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282,752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280,067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246,747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184,978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182,830</w:t>
            </w:r>
          </w:p>
        </w:tc>
      </w:tr>
      <w:tr>
        <w:trPr>
          <w:trHeight w:val="245"/>
        </w:trPr>
        <w:tc>
          <w:tcPr>
            <w:tcW w:w="5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12"/>
        </w:trPr>
        <w:tc>
          <w:tcPr>
            <w:tcW w:w="5220" w:type="dxa"/>
            <w:vAlign w:val="bottom"/>
          </w:tcPr>
          <w:p>
            <w:pPr>
              <w:ind w:left="20"/>
              <w:spacing w:after="0"/>
              <w:rPr>
                <w:sz w:val="20"/>
                <w:szCs w:val="20"/>
                <w:color w:val="auto"/>
              </w:rPr>
            </w:pPr>
            <w:r>
              <w:rPr>
                <w:rFonts w:ascii="Arial" w:cs="Arial" w:eastAsia="Arial" w:hAnsi="Arial"/>
                <w:sz w:val="15"/>
                <w:szCs w:val="15"/>
                <w:color w:val="auto"/>
              </w:rPr>
              <w:t>Adjusted Net Income from continuing operations</w:t>
            </w:r>
          </w:p>
        </w:tc>
        <w:tc>
          <w:tcPr>
            <w:tcW w:w="240" w:type="dxa"/>
            <w:vAlign w:val="bottom"/>
          </w:tcPr>
          <w:p>
            <w:pPr>
              <w:spacing w:after="0"/>
              <w:rPr>
                <w:sz w:val="18"/>
                <w:szCs w:val="18"/>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370,937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308,072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232,477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182,187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147,734</w:t>
            </w:r>
          </w:p>
        </w:tc>
      </w:tr>
      <w:tr>
        <w:trPr>
          <w:trHeight w:val="23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5"/>
        </w:trPr>
        <w:tc>
          <w:tcPr>
            <w:tcW w:w="5220" w:type="dxa"/>
            <w:vAlign w:val="bottom"/>
          </w:tcPr>
          <w:p>
            <w:pPr>
              <w:ind w:left="160"/>
              <w:spacing w:after="0"/>
              <w:rPr>
                <w:sz w:val="20"/>
                <w:szCs w:val="20"/>
                <w:color w:val="auto"/>
              </w:rPr>
            </w:pPr>
            <w:r>
              <w:rPr>
                <w:rFonts w:ascii="Arial" w:cs="Arial" w:eastAsia="Arial" w:hAnsi="Arial"/>
                <w:sz w:val="15"/>
                <w:szCs w:val="15"/>
                <w:color w:val="auto"/>
              </w:rPr>
              <w:t>Depreciation and amortization of property and equipment</w:t>
            </w:r>
            <w:r>
              <w:rPr>
                <w:rFonts w:ascii="Arial" w:cs="Arial" w:eastAsia="Arial" w:hAnsi="Arial"/>
                <w:sz w:val="19"/>
                <w:szCs w:val="19"/>
                <w:color w:val="auto"/>
                <w:vertAlign w:val="superscript"/>
              </w:rPr>
              <w:t>(3b)</w:t>
            </w:r>
          </w:p>
        </w:tc>
        <w:tc>
          <w:tcPr>
            <w:tcW w:w="24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233,303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213,520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157,592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123,414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96,668</w:t>
            </w:r>
          </w:p>
        </w:tc>
      </w:tr>
      <w:tr>
        <w:trPr>
          <w:trHeight w:val="245"/>
        </w:trPr>
        <w:tc>
          <w:tcPr>
            <w:tcW w:w="5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Amortization of capitalized implementation costs</w:t>
            </w:r>
            <w:r>
              <w:rPr>
                <w:rFonts w:ascii="Arial" w:cs="Arial" w:eastAsia="Arial" w:hAnsi="Arial"/>
                <w:sz w:val="19"/>
                <w:szCs w:val="19"/>
                <w:color w:val="auto"/>
                <w:vertAlign w:val="superscript"/>
              </w:rPr>
              <w:t>(3c)</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37,258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31,441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35,859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34,143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19,439</w:t>
            </w:r>
          </w:p>
        </w:tc>
      </w:tr>
      <w:tr>
        <w:trPr>
          <w:trHeight w:val="245"/>
        </w:trPr>
        <w:tc>
          <w:tcPr>
            <w:tcW w:w="5220" w:type="dxa"/>
            <w:vAlign w:val="bottom"/>
          </w:tcPr>
          <w:p>
            <w:pPr>
              <w:ind w:left="160"/>
              <w:spacing w:after="0"/>
              <w:rPr>
                <w:sz w:val="20"/>
                <w:szCs w:val="20"/>
                <w:color w:val="auto"/>
              </w:rPr>
            </w:pPr>
            <w:r>
              <w:rPr>
                <w:rFonts w:ascii="Arial" w:cs="Arial" w:eastAsia="Arial" w:hAnsi="Arial"/>
                <w:sz w:val="15"/>
                <w:szCs w:val="15"/>
                <w:color w:val="auto"/>
              </w:rPr>
              <w:t>Amortization of upfront incentive consideration</w:t>
            </w:r>
            <w:r>
              <w:rPr>
                <w:rFonts w:ascii="Arial" w:cs="Arial" w:eastAsia="Arial" w:hAnsi="Arial"/>
                <w:sz w:val="19"/>
                <w:szCs w:val="19"/>
                <w:color w:val="auto"/>
                <w:vertAlign w:val="superscript"/>
              </w:rPr>
              <w:t>(4)</w:t>
            </w:r>
          </w:p>
        </w:tc>
        <w:tc>
          <w:tcPr>
            <w:tcW w:w="24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55,724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43,521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45,358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36,649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36,527</w:t>
            </w:r>
          </w:p>
        </w:tc>
      </w:tr>
      <w:tr>
        <w:trPr>
          <w:trHeight w:val="245"/>
        </w:trPr>
        <w:tc>
          <w:tcPr>
            <w:tcW w:w="5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Interest expense, net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158,251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173,298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218,877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274,689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232,450</w:t>
            </w:r>
          </w:p>
        </w:tc>
      </w:tr>
      <w:tr>
        <w:trPr>
          <w:trHeight w:val="216"/>
        </w:trPr>
        <w:tc>
          <w:tcPr>
            <w:tcW w:w="5220" w:type="dxa"/>
            <w:vAlign w:val="bottom"/>
          </w:tcPr>
          <w:p>
            <w:pPr>
              <w:ind w:left="160"/>
              <w:spacing w:after="0"/>
              <w:rPr>
                <w:sz w:val="20"/>
                <w:szCs w:val="20"/>
                <w:color w:val="auto"/>
              </w:rPr>
            </w:pPr>
            <w:r>
              <w:rPr>
                <w:rFonts w:ascii="Arial" w:cs="Arial" w:eastAsia="Arial" w:hAnsi="Arial"/>
                <w:sz w:val="15"/>
                <w:szCs w:val="15"/>
                <w:color w:val="auto"/>
              </w:rPr>
              <w:t>Remaining provision (benefit) for income taxes</w:t>
            </w:r>
          </w:p>
        </w:tc>
        <w:tc>
          <w:tcPr>
            <w:tcW w:w="240" w:type="dxa"/>
            <w:vAlign w:val="bottom"/>
          </w:tcPr>
          <w:p>
            <w:pPr>
              <w:spacing w:after="0"/>
              <w:rPr>
                <w:sz w:val="18"/>
                <w:szCs w:val="18"/>
                <w:color w:val="auto"/>
              </w:rPr>
            </w:pPr>
          </w:p>
        </w:tc>
        <w:tc>
          <w:tcPr>
            <w:tcW w:w="920" w:type="dxa"/>
            <w:vAlign w:val="bottom"/>
          </w:tcPr>
          <w:p>
            <w:pPr>
              <w:jc w:val="right"/>
              <w:ind w:right="47"/>
              <w:spacing w:after="0"/>
              <w:rPr>
                <w:sz w:val="20"/>
                <w:szCs w:val="20"/>
                <w:color w:val="auto"/>
              </w:rPr>
            </w:pPr>
            <w:r>
              <w:rPr>
                <w:rFonts w:ascii="Arial" w:cs="Arial" w:eastAsia="Arial" w:hAnsi="Arial"/>
                <w:sz w:val="15"/>
                <w:szCs w:val="15"/>
                <w:color w:val="auto"/>
              </w:rPr>
              <w:t>191,173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171,735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149,865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127,672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198,594</w:t>
            </w:r>
          </w:p>
        </w:tc>
      </w:tr>
      <w:tr>
        <w:trPr>
          <w:trHeight w:val="30"/>
        </w:trPr>
        <w:tc>
          <w:tcPr>
            <w:tcW w:w="5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5"/>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1,046,646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941,587</w:t>
            </w:r>
          </w:p>
        </w:tc>
        <w:tc>
          <w:tcPr>
            <w:tcW w:w="440" w:type="dxa"/>
            <w:vAlign w:val="bottom"/>
            <w:gridSpan w:val="3"/>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840,028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778,754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731,412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777"/>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507"/>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844" w:right="239" w:bottom="1440" w:gutter="0" w:footer="0" w:header="0"/>
        </w:sectPr>
      </w:pPr>
    </w:p>
    <w:bookmarkStart w:id="32" w:name="page33"/>
    <w:bookmarkEnd w:id="32"/>
    <w:p>
      <w:pPr>
        <w:ind w:firstLine="454"/>
        <w:spacing w:after="0" w:line="245" w:lineRule="auto"/>
        <w:rPr>
          <w:sz w:val="20"/>
          <w:szCs w:val="20"/>
          <w:color w:val="auto"/>
        </w:rPr>
      </w:pPr>
      <w:r>
        <w:rPr>
          <w:rFonts w:ascii="Arial" w:cs="Arial" w:eastAsia="Arial" w:hAnsi="Arial"/>
          <w:sz w:val="15"/>
          <w:szCs w:val="15"/>
          <w:color w:val="auto"/>
        </w:rPr>
        <w:t>The following tables set forth the reconciliation of operating income (loss) in our statement of operations to Adjusted Gross Profit and Adjusted EBITDA by business segment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8"/>
          </w:tcPr>
          <w:p>
            <w:pPr>
              <w:ind w:left="300"/>
              <w:spacing w:after="0"/>
              <w:rPr>
                <w:sz w:val="20"/>
                <w:szCs w:val="20"/>
                <w:color w:val="auto"/>
              </w:rPr>
            </w:pPr>
            <w:r>
              <w:rPr>
                <w:rFonts w:ascii="Arial" w:cs="Arial" w:eastAsia="Arial" w:hAnsi="Arial"/>
                <w:sz w:val="11"/>
                <w:szCs w:val="11"/>
                <w:b w:val="1"/>
                <w:bCs w:val="1"/>
                <w:color w:val="auto"/>
              </w:rPr>
              <w:t>Year Ended December 31, 2016</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5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rPr>
              <w:t>Airline and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3"/>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Travel</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tcPr>
          <w:p>
            <w:pPr>
              <w:jc w:val="center"/>
              <w:ind w:right="400"/>
              <w:spacing w:after="0" w:line="123" w:lineRule="exact"/>
              <w:rPr>
                <w:sz w:val="20"/>
                <w:szCs w:val="20"/>
                <w:color w:val="auto"/>
              </w:rPr>
            </w:pPr>
            <w:r>
              <w:rPr>
                <w:rFonts w:ascii="Arial" w:cs="Arial" w:eastAsia="Arial" w:hAnsi="Arial"/>
                <w:sz w:val="11"/>
                <w:szCs w:val="11"/>
                <w:b w:val="1"/>
                <w:bCs w:val="1"/>
                <w:color w:val="auto"/>
              </w:rPr>
              <w:t>Hospitality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9"/>
        </w:trPr>
        <w:tc>
          <w:tcPr>
            <w:tcW w:w="5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tcPr>
          <w:p>
            <w:pPr>
              <w:ind w:left="120"/>
              <w:spacing w:after="0"/>
              <w:rPr>
                <w:sz w:val="20"/>
                <w:szCs w:val="20"/>
                <w:color w:val="auto"/>
              </w:rPr>
            </w:pPr>
            <w:r>
              <w:rPr>
                <w:rFonts w:ascii="Arial" w:cs="Arial" w:eastAsia="Arial" w:hAnsi="Arial"/>
                <w:sz w:val="11"/>
                <w:szCs w:val="11"/>
                <w:b w:val="1"/>
                <w:bCs w:val="1"/>
                <w:color w:val="auto"/>
              </w:rPr>
              <w:t>Network</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Solutions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ind w:left="100"/>
              <w:spacing w:after="0"/>
              <w:rPr>
                <w:sz w:val="20"/>
                <w:szCs w:val="20"/>
                <w:color w:val="auto"/>
              </w:rPr>
            </w:pPr>
            <w:r>
              <w:rPr>
                <w:rFonts w:ascii="Arial" w:cs="Arial" w:eastAsia="Arial" w:hAnsi="Arial"/>
                <w:sz w:val="11"/>
                <w:szCs w:val="11"/>
                <w:b w:val="1"/>
                <w:bCs w:val="1"/>
                <w:color w:val="auto"/>
              </w:rPr>
              <w:t>Corporate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Total</w:t>
            </w:r>
          </w:p>
        </w:tc>
      </w:tr>
      <w:tr>
        <w:trPr>
          <w:trHeight w:val="23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3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835,248</w:t>
            </w: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rPr>
              <w:t>217,631</w:t>
            </w: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(593,307)</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459,572</w:t>
            </w:r>
          </w:p>
        </w:tc>
        <w:tc>
          <w:tcPr>
            <w:tcW w:w="80" w:type="dxa"/>
            <w:vAlign w:val="bottom"/>
          </w:tcPr>
          <w:p>
            <w:pPr>
              <w:spacing w:after="0"/>
              <w:rPr>
                <w:sz w:val="20"/>
                <w:szCs w:val="20"/>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5"/>
                <w:szCs w:val="15"/>
                <w:color w:val="auto"/>
              </w:rPr>
              <w:t>Add back:</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4"/>
        </w:trPr>
        <w:tc>
          <w:tcPr>
            <w:tcW w:w="5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general and administrative</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132,537</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71,685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421,931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626,153</w:t>
            </w:r>
          </w:p>
        </w:tc>
        <w:tc>
          <w:tcPr>
            <w:tcW w:w="80" w:type="dxa"/>
            <w:vAlign w:val="bottom"/>
          </w:tcPr>
          <w:p>
            <w:pPr>
              <w:spacing w:after="0"/>
              <w:rPr>
                <w:sz w:val="22"/>
                <w:szCs w:val="22"/>
                <w:color w:val="auto"/>
              </w:rPr>
            </w:pPr>
          </w:p>
        </w:tc>
      </w:tr>
      <w:tr>
        <w:trPr>
          <w:trHeight w:val="237"/>
        </w:trPr>
        <w:tc>
          <w:tcPr>
            <w:tcW w:w="5560" w:type="dxa"/>
            <w:vAlign w:val="bottom"/>
          </w:tcPr>
          <w:p>
            <w:pPr>
              <w:ind w:left="240"/>
              <w:spacing w:after="0"/>
              <w:rPr>
                <w:sz w:val="20"/>
                <w:szCs w:val="20"/>
                <w:color w:val="auto"/>
              </w:rPr>
            </w:pPr>
            <w:r>
              <w:rPr>
                <w:rFonts w:ascii="Arial" w:cs="Arial" w:eastAsia="Arial" w:hAnsi="Arial"/>
                <w:sz w:val="15"/>
                <w:szCs w:val="15"/>
                <w:color w:val="auto"/>
              </w:rPr>
              <w:t>Cost of revenue adjustments: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4"/>
        </w:trPr>
        <w:tc>
          <w:tcPr>
            <w:tcW w:w="55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72,110</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153,204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62,039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287,353</w:t>
            </w:r>
          </w:p>
        </w:tc>
        <w:tc>
          <w:tcPr>
            <w:tcW w:w="80" w:type="dxa"/>
            <w:vAlign w:val="bottom"/>
          </w:tcPr>
          <w:p>
            <w:pPr>
              <w:spacing w:after="0"/>
              <w:rPr>
                <w:sz w:val="22"/>
                <w:szCs w:val="22"/>
                <w:color w:val="auto"/>
              </w:rPr>
            </w:pPr>
          </w:p>
        </w:tc>
      </w:tr>
      <w:tr>
        <w:trPr>
          <w:trHeight w:val="245"/>
        </w:trPr>
        <w:tc>
          <w:tcPr>
            <w:tcW w:w="5560" w:type="dxa"/>
            <w:vAlign w:val="bottom"/>
          </w:tcPr>
          <w:p>
            <w:pPr>
              <w:ind w:left="460"/>
              <w:spacing w:after="0"/>
              <w:rPr>
                <w:sz w:val="20"/>
                <w:szCs w:val="20"/>
                <w:color w:val="auto"/>
              </w:rPr>
            </w:pPr>
            <w:r>
              <w:rPr>
                <w:rFonts w:ascii="Arial" w:cs="Arial" w:eastAsia="Arial" w:hAnsi="Arial"/>
                <w:sz w:val="15"/>
                <w:szCs w:val="15"/>
                <w:color w:val="auto"/>
              </w:rPr>
              <w:t xml:space="preserve">Restructuring and other costs </w:t>
            </w:r>
            <w:r>
              <w:rPr>
                <w:rFonts w:ascii="Arial" w:cs="Arial" w:eastAsia="Arial" w:hAnsi="Arial"/>
                <w:sz w:val="19"/>
                <w:szCs w:val="19"/>
                <w:color w:val="auto"/>
                <w:vertAlign w:val="superscript"/>
              </w:rPr>
              <w:t>(6)</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12,660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12,660</w:t>
            </w:r>
          </w:p>
        </w:tc>
        <w:tc>
          <w:tcPr>
            <w:tcW w:w="80" w:type="dxa"/>
            <w:vAlign w:val="bottom"/>
          </w:tcPr>
          <w:p>
            <w:pPr>
              <w:spacing w:after="0"/>
              <w:rPr>
                <w:sz w:val="21"/>
                <w:szCs w:val="21"/>
                <w:color w:val="auto"/>
              </w:rPr>
            </w:pPr>
          </w:p>
        </w:tc>
      </w:tr>
      <w:tr>
        <w:trPr>
          <w:trHeight w:val="245"/>
        </w:trPr>
        <w:tc>
          <w:tcPr>
            <w:tcW w:w="55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of upfront incentive consideration</w:t>
            </w:r>
            <w:r>
              <w:rPr>
                <w:rFonts w:ascii="Arial" w:cs="Arial" w:eastAsia="Arial" w:hAnsi="Arial"/>
                <w:sz w:val="19"/>
                <w:szCs w:val="19"/>
                <w:color w:val="auto"/>
                <w:vertAlign w:val="superscript"/>
              </w:rPr>
              <w:t>(4)</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55,724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55,724</w:t>
            </w:r>
          </w:p>
        </w:tc>
        <w:tc>
          <w:tcPr>
            <w:tcW w:w="80" w:type="dxa"/>
            <w:vAlign w:val="bottom"/>
          </w:tcPr>
          <w:p>
            <w:pPr>
              <w:spacing w:after="0"/>
              <w:rPr>
                <w:sz w:val="21"/>
                <w:szCs w:val="21"/>
                <w:color w:val="auto"/>
              </w:rPr>
            </w:pPr>
          </w:p>
        </w:tc>
      </w:tr>
      <w:tr>
        <w:trPr>
          <w:trHeight w:val="238"/>
        </w:trPr>
        <w:tc>
          <w:tcPr>
            <w:tcW w:w="5560" w:type="dxa"/>
            <w:vAlign w:val="bottom"/>
          </w:tcPr>
          <w:p>
            <w:pPr>
              <w:ind w:left="460"/>
              <w:spacing w:after="0"/>
              <w:rPr>
                <w:sz w:val="20"/>
                <w:szCs w:val="20"/>
                <w:color w:val="auto"/>
              </w:rPr>
            </w:pPr>
            <w:r>
              <w:rPr>
                <w:rFonts w:ascii="Arial" w:cs="Arial" w:eastAsia="Arial" w:hAnsi="Arial"/>
                <w:sz w:val="15"/>
                <w:szCs w:val="15"/>
                <w:color w:val="auto"/>
              </w:rPr>
              <w:t>Stock-based compensation</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19,213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19,213</w:t>
            </w:r>
          </w:p>
        </w:tc>
        <w:tc>
          <w:tcPr>
            <w:tcW w:w="80" w:type="dxa"/>
            <w:vAlign w:val="bottom"/>
          </w:tcPr>
          <w:p>
            <w:pPr>
              <w:spacing w:after="0"/>
              <w:rPr>
                <w:sz w:val="20"/>
                <w:szCs w:val="20"/>
                <w:color w:val="auto"/>
              </w:rPr>
            </w:pPr>
          </w:p>
        </w:tc>
      </w:tr>
      <w:tr>
        <w:trPr>
          <w:trHeight w:val="221"/>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Gross Profit</w:t>
            </w: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1,095,619</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rPr>
              <w:t>442,520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(77,464)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1,460,675</w:t>
            </w:r>
          </w:p>
        </w:tc>
        <w:tc>
          <w:tcPr>
            <w:tcW w:w="80" w:type="dxa"/>
            <w:vAlign w:val="bottom"/>
          </w:tcPr>
          <w:p>
            <w:pPr>
              <w:spacing w:after="0"/>
              <w:rPr>
                <w:sz w:val="19"/>
                <w:szCs w:val="19"/>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8"/>
              <w:spacing w:after="0"/>
              <w:rPr>
                <w:sz w:val="20"/>
                <w:szCs w:val="20"/>
                <w:color w:val="auto"/>
              </w:rPr>
            </w:pPr>
            <w:r>
              <w:rPr>
                <w:rFonts w:ascii="Arial" w:cs="Arial" w:eastAsia="Arial" w:hAnsi="Arial"/>
                <w:sz w:val="15"/>
                <w:szCs w:val="15"/>
                <w:color w:val="auto"/>
              </w:rPr>
              <w:t>(132,537)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(71,685)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(421,931)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(626,153)</w:t>
            </w:r>
          </w:p>
        </w:tc>
        <w:tc>
          <w:tcPr>
            <w:tcW w:w="80" w:type="dxa"/>
            <w:vAlign w:val="bottom"/>
          </w:tcPr>
          <w:p>
            <w:pPr>
              <w:spacing w:after="0"/>
              <w:rPr>
                <w:sz w:val="20"/>
                <w:szCs w:val="20"/>
                <w:color w:val="auto"/>
              </w:rPr>
            </w:pPr>
          </w:p>
        </w:tc>
      </w:tr>
      <w:tr>
        <w:trPr>
          <w:trHeight w:val="254"/>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Joint venture equity income</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2,780</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2,780</w:t>
            </w:r>
          </w:p>
        </w:tc>
        <w:tc>
          <w:tcPr>
            <w:tcW w:w="80" w:type="dxa"/>
            <w:vAlign w:val="bottom"/>
          </w:tcPr>
          <w:p>
            <w:pPr>
              <w:spacing w:after="0"/>
              <w:rPr>
                <w:sz w:val="22"/>
                <w:szCs w:val="2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5"/>
                <w:szCs w:val="15"/>
                <w:color w:val="auto"/>
              </w:rPr>
              <w:t>Selling, general and administrative adjustments: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4"/>
        </w:trPr>
        <w:tc>
          <w:tcPr>
            <w:tcW w:w="5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4,826</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1,228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120,579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126,633</w:t>
            </w:r>
          </w:p>
        </w:tc>
        <w:tc>
          <w:tcPr>
            <w:tcW w:w="80" w:type="dxa"/>
            <w:vAlign w:val="bottom"/>
          </w:tcPr>
          <w:p>
            <w:pPr>
              <w:spacing w:after="0"/>
              <w:rPr>
                <w:sz w:val="22"/>
                <w:szCs w:val="22"/>
                <w:color w:val="auto"/>
              </w:rPr>
            </w:pPr>
          </w:p>
        </w:tc>
      </w:tr>
      <w:tr>
        <w:trPr>
          <w:trHeight w:val="245"/>
        </w:trPr>
        <w:tc>
          <w:tcPr>
            <w:tcW w:w="5560" w:type="dxa"/>
            <w:vAlign w:val="bottom"/>
          </w:tcPr>
          <w:p>
            <w:pPr>
              <w:ind w:left="240"/>
              <w:spacing w:after="0"/>
              <w:rPr>
                <w:sz w:val="20"/>
                <w:szCs w:val="20"/>
                <w:color w:val="auto"/>
              </w:rPr>
            </w:pPr>
            <w:r>
              <w:rPr>
                <w:rFonts w:ascii="Arial" w:cs="Arial" w:eastAsia="Arial" w:hAnsi="Arial"/>
                <w:sz w:val="15"/>
                <w:szCs w:val="15"/>
                <w:color w:val="auto"/>
              </w:rPr>
              <w:t xml:space="preserve">Restructuring and other costs </w:t>
            </w:r>
            <w:r>
              <w:rPr>
                <w:rFonts w:ascii="Arial" w:cs="Arial" w:eastAsia="Arial" w:hAnsi="Arial"/>
                <w:sz w:val="19"/>
                <w:szCs w:val="19"/>
                <w:color w:val="auto"/>
                <w:vertAlign w:val="superscript"/>
              </w:rPr>
              <w:t>(6)</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5,626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5,626</w:t>
            </w:r>
          </w:p>
        </w:tc>
        <w:tc>
          <w:tcPr>
            <w:tcW w:w="80" w:type="dxa"/>
            <w:vAlign w:val="bottom"/>
          </w:tcPr>
          <w:p>
            <w:pPr>
              <w:spacing w:after="0"/>
              <w:rPr>
                <w:sz w:val="21"/>
                <w:szCs w:val="21"/>
                <w:color w:val="auto"/>
              </w:rPr>
            </w:pPr>
          </w:p>
        </w:tc>
      </w:tr>
      <w:tr>
        <w:trPr>
          <w:trHeight w:val="245"/>
        </w:trPr>
        <w:tc>
          <w:tcPr>
            <w:tcW w:w="5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Acquisition-related costs</w:t>
            </w:r>
            <w:r>
              <w:rPr>
                <w:rFonts w:ascii="Arial" w:cs="Arial" w:eastAsia="Arial" w:hAnsi="Arial"/>
                <w:sz w:val="19"/>
                <w:szCs w:val="19"/>
                <w:color w:val="auto"/>
                <w:vertAlign w:val="superscript"/>
              </w:rPr>
              <w:t>(7)</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779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779</w:t>
            </w:r>
          </w:p>
        </w:tc>
        <w:tc>
          <w:tcPr>
            <w:tcW w:w="80" w:type="dxa"/>
            <w:vAlign w:val="bottom"/>
          </w:tcPr>
          <w:p>
            <w:pPr>
              <w:spacing w:after="0"/>
              <w:rPr>
                <w:sz w:val="21"/>
                <w:szCs w:val="21"/>
                <w:color w:val="auto"/>
              </w:rPr>
            </w:pPr>
          </w:p>
        </w:tc>
      </w:tr>
      <w:tr>
        <w:trPr>
          <w:trHeight w:val="245"/>
        </w:trPr>
        <w:tc>
          <w:tcPr>
            <w:tcW w:w="5560" w:type="dxa"/>
            <w:vAlign w:val="bottom"/>
          </w:tcPr>
          <w:p>
            <w:pPr>
              <w:ind w:left="240"/>
              <w:spacing w:after="0"/>
              <w:rPr>
                <w:sz w:val="20"/>
                <w:szCs w:val="20"/>
                <w:color w:val="auto"/>
              </w:rPr>
            </w:pPr>
            <w:r>
              <w:rPr>
                <w:rFonts w:ascii="Arial" w:cs="Arial" w:eastAsia="Arial" w:hAnsi="Arial"/>
                <w:sz w:val="15"/>
                <w:szCs w:val="15"/>
                <w:color w:val="auto"/>
              </w:rPr>
              <w:t>Litigation costs</w:t>
            </w:r>
            <w:r>
              <w:rPr>
                <w:rFonts w:ascii="Arial" w:cs="Arial" w:eastAsia="Arial" w:hAnsi="Arial"/>
                <w:sz w:val="19"/>
                <w:szCs w:val="19"/>
                <w:color w:val="auto"/>
                <w:vertAlign w:val="superscript"/>
              </w:rPr>
              <w:t>(8)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46,995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46,995</w:t>
            </w:r>
          </w:p>
        </w:tc>
        <w:tc>
          <w:tcPr>
            <w:tcW w:w="80" w:type="dxa"/>
            <w:vAlign w:val="bottom"/>
          </w:tcPr>
          <w:p>
            <w:pPr>
              <w:spacing w:after="0"/>
              <w:rPr>
                <w:sz w:val="21"/>
                <w:szCs w:val="21"/>
                <w:color w:val="auto"/>
              </w:rPr>
            </w:pPr>
          </w:p>
        </w:tc>
      </w:tr>
      <w:tr>
        <w:trPr>
          <w:trHeight w:val="238"/>
        </w:trPr>
        <w:tc>
          <w:tcPr>
            <w:tcW w:w="5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29,311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29,311</w:t>
            </w:r>
          </w:p>
        </w:tc>
        <w:tc>
          <w:tcPr>
            <w:tcW w:w="80" w:type="dxa"/>
            <w:vAlign w:val="bottom"/>
          </w:tcPr>
          <w:p>
            <w:pPr>
              <w:spacing w:after="0"/>
              <w:rPr>
                <w:sz w:val="20"/>
                <w:szCs w:val="20"/>
                <w:color w:val="auto"/>
              </w:rPr>
            </w:pPr>
          </w:p>
        </w:tc>
      </w:tr>
      <w:tr>
        <w:trPr>
          <w:trHeight w:val="218"/>
        </w:trPr>
        <w:tc>
          <w:tcPr>
            <w:tcW w:w="556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34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rPr>
              <w:t>970,688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5"/>
                <w:szCs w:val="15"/>
                <w:color w:val="auto"/>
              </w:rPr>
              <w:t>372,063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(296,105)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1,046,646</w:t>
            </w:r>
          </w:p>
        </w:tc>
        <w:tc>
          <w:tcPr>
            <w:tcW w:w="8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360"/>
              <w:spacing w:after="0"/>
              <w:rPr>
                <w:sz w:val="20"/>
                <w:szCs w:val="20"/>
                <w:color w:val="auto"/>
              </w:rPr>
            </w:pPr>
            <w:r>
              <w:rPr>
                <w:rFonts w:ascii="Arial" w:cs="Arial" w:eastAsia="Arial" w:hAnsi="Arial"/>
                <w:sz w:val="11"/>
                <w:szCs w:val="11"/>
                <w:b w:val="1"/>
                <w:bCs w:val="1"/>
                <w:color w:val="auto"/>
              </w:rPr>
              <w:t>Year Ended December 31, 2015</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28"/>
        </w:trPr>
        <w:tc>
          <w:tcPr>
            <w:tcW w:w="5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Airline and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3"/>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tcPr>
          <w:p>
            <w:pPr>
              <w:ind w:left="220"/>
              <w:spacing w:after="0" w:line="123" w:lineRule="exact"/>
              <w:rPr>
                <w:sz w:val="20"/>
                <w:szCs w:val="20"/>
                <w:color w:val="auto"/>
              </w:rPr>
            </w:pPr>
            <w:r>
              <w:rPr>
                <w:rFonts w:ascii="Arial" w:cs="Arial" w:eastAsia="Arial" w:hAnsi="Arial"/>
                <w:sz w:val="11"/>
                <w:szCs w:val="11"/>
                <w:b w:val="1"/>
                <w:bCs w:val="1"/>
                <w:color w:val="auto"/>
              </w:rPr>
              <w:t>Travel</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tcPr>
          <w:p>
            <w:pPr>
              <w:jc w:val="center"/>
              <w:ind w:right="260"/>
              <w:spacing w:after="0" w:line="123" w:lineRule="exact"/>
              <w:rPr>
                <w:sz w:val="20"/>
                <w:szCs w:val="20"/>
                <w:color w:val="auto"/>
              </w:rPr>
            </w:pPr>
            <w:r>
              <w:rPr>
                <w:rFonts w:ascii="Arial" w:cs="Arial" w:eastAsia="Arial" w:hAnsi="Arial"/>
                <w:sz w:val="11"/>
                <w:szCs w:val="11"/>
                <w:b w:val="1"/>
                <w:bCs w:val="1"/>
                <w:color w:val="auto"/>
              </w:rPr>
              <w:t>Hospitality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9"/>
        </w:trPr>
        <w:tc>
          <w:tcPr>
            <w:tcW w:w="55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Network</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Solutions</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1"/>
                <w:szCs w:val="11"/>
                <w:b w:val="1"/>
                <w:bCs w:val="1"/>
                <w:color w:val="auto"/>
              </w:rPr>
              <w:t>Corporate</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1"/>
                <w:szCs w:val="11"/>
                <w:b w:val="1"/>
                <w:bCs w:val="1"/>
                <w:color w:val="auto"/>
              </w:rPr>
              <w:t>Total</w:t>
            </w:r>
          </w:p>
        </w:tc>
      </w:tr>
      <w:tr>
        <w:trPr>
          <w:trHeight w:val="233"/>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751,546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180,448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(472,225)</w:t>
            </w: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459,769</w:t>
            </w:r>
          </w:p>
        </w:tc>
        <w:tc>
          <w:tcPr>
            <w:tcW w:w="80" w:type="dxa"/>
            <w:vAlign w:val="bottom"/>
            <w:shd w:val="clear" w:color="auto" w:fill="CCEEFF"/>
          </w:tcPr>
          <w:p>
            <w:pPr>
              <w:spacing w:after="0"/>
              <w:rPr>
                <w:sz w:val="20"/>
                <w:szCs w:val="20"/>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5"/>
                <w:szCs w:val="15"/>
                <w:color w:val="auto"/>
              </w:rPr>
              <w:t>Add back:</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4"/>
        </w:trPr>
        <w:tc>
          <w:tcPr>
            <w:tcW w:w="5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general and administrative</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116,511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62,247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378,319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557,077</w:t>
            </w:r>
          </w:p>
        </w:tc>
        <w:tc>
          <w:tcPr>
            <w:tcW w:w="80" w:type="dxa"/>
            <w:vAlign w:val="bottom"/>
            <w:shd w:val="clear" w:color="auto" w:fill="CCEEFF"/>
          </w:tcPr>
          <w:p>
            <w:pPr>
              <w:spacing w:after="0"/>
              <w:rPr>
                <w:sz w:val="22"/>
                <w:szCs w:val="22"/>
                <w:color w:val="auto"/>
              </w:rPr>
            </w:pPr>
          </w:p>
        </w:tc>
      </w:tr>
      <w:tr>
        <w:trPr>
          <w:trHeight w:val="237"/>
        </w:trPr>
        <w:tc>
          <w:tcPr>
            <w:tcW w:w="5560" w:type="dxa"/>
            <w:vAlign w:val="bottom"/>
          </w:tcPr>
          <w:p>
            <w:pPr>
              <w:ind w:left="240"/>
              <w:spacing w:after="0"/>
              <w:rPr>
                <w:sz w:val="20"/>
                <w:szCs w:val="20"/>
                <w:color w:val="auto"/>
              </w:rPr>
            </w:pPr>
            <w:r>
              <w:rPr>
                <w:rFonts w:ascii="Arial" w:cs="Arial" w:eastAsia="Arial" w:hAnsi="Arial"/>
                <w:sz w:val="15"/>
                <w:szCs w:val="15"/>
                <w:color w:val="auto"/>
              </w:rPr>
              <w:t>Cost of revenue adjustments: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4"/>
        </w:trPr>
        <w:tc>
          <w:tcPr>
            <w:tcW w:w="55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62,337</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142,109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40,089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244,535</w:t>
            </w:r>
          </w:p>
        </w:tc>
        <w:tc>
          <w:tcPr>
            <w:tcW w:w="80" w:type="dxa"/>
            <w:vAlign w:val="bottom"/>
            <w:shd w:val="clear" w:color="auto" w:fill="CCEEFF"/>
          </w:tcPr>
          <w:p>
            <w:pPr>
              <w:spacing w:after="0"/>
              <w:rPr>
                <w:sz w:val="22"/>
                <w:szCs w:val="22"/>
                <w:color w:val="auto"/>
              </w:rPr>
            </w:pPr>
          </w:p>
        </w:tc>
      </w:tr>
      <w:tr>
        <w:trPr>
          <w:trHeight w:val="245"/>
        </w:trPr>
        <w:tc>
          <w:tcPr>
            <w:tcW w:w="5560" w:type="dxa"/>
            <w:vAlign w:val="bottom"/>
          </w:tcPr>
          <w:p>
            <w:pPr>
              <w:ind w:left="460"/>
              <w:spacing w:after="0"/>
              <w:rPr>
                <w:sz w:val="20"/>
                <w:szCs w:val="20"/>
                <w:color w:val="auto"/>
              </w:rPr>
            </w:pPr>
            <w:r>
              <w:rPr>
                <w:rFonts w:ascii="Arial" w:cs="Arial" w:eastAsia="Arial" w:hAnsi="Arial"/>
                <w:sz w:val="15"/>
                <w:szCs w:val="15"/>
                <w:color w:val="auto"/>
              </w:rPr>
              <w:t>Amortization of upfront incentive consideration</w:t>
            </w:r>
            <w:r>
              <w:rPr>
                <w:rFonts w:ascii="Arial" w:cs="Arial" w:eastAsia="Arial" w:hAnsi="Arial"/>
                <w:sz w:val="19"/>
                <w:szCs w:val="19"/>
                <w:color w:val="auto"/>
                <w:vertAlign w:val="superscript"/>
              </w:rPr>
              <w:t>(4)</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43,521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43,521</w:t>
            </w:r>
          </w:p>
        </w:tc>
        <w:tc>
          <w:tcPr>
            <w:tcW w:w="80" w:type="dxa"/>
            <w:vAlign w:val="bottom"/>
          </w:tcPr>
          <w:p>
            <w:pPr>
              <w:spacing w:after="0"/>
              <w:rPr>
                <w:sz w:val="21"/>
                <w:szCs w:val="21"/>
                <w:color w:val="auto"/>
              </w:rPr>
            </w:pPr>
          </w:p>
        </w:tc>
      </w:tr>
      <w:tr>
        <w:trPr>
          <w:trHeight w:val="238"/>
        </w:trPr>
        <w:tc>
          <w:tcPr>
            <w:tcW w:w="55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Stock-based compensation</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11,918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11,918</w:t>
            </w:r>
          </w:p>
        </w:tc>
        <w:tc>
          <w:tcPr>
            <w:tcW w:w="80" w:type="dxa"/>
            <w:vAlign w:val="bottom"/>
            <w:shd w:val="clear" w:color="auto" w:fill="CCEEFF"/>
          </w:tcPr>
          <w:p>
            <w:pPr>
              <w:spacing w:after="0"/>
              <w:rPr>
                <w:sz w:val="20"/>
                <w:szCs w:val="20"/>
                <w:color w:val="auto"/>
              </w:rPr>
            </w:pPr>
          </w:p>
        </w:tc>
      </w:tr>
      <w:tr>
        <w:trPr>
          <w:trHeight w:val="224"/>
        </w:trPr>
        <w:tc>
          <w:tcPr>
            <w:tcW w:w="5560" w:type="dxa"/>
            <w:vAlign w:val="bottom"/>
          </w:tcPr>
          <w:p>
            <w:pPr>
              <w:ind w:left="20"/>
              <w:spacing w:after="0"/>
              <w:rPr>
                <w:sz w:val="20"/>
                <w:szCs w:val="20"/>
                <w:color w:val="auto"/>
              </w:rPr>
            </w:pPr>
            <w:r>
              <w:rPr>
                <w:rFonts w:ascii="Arial" w:cs="Arial" w:eastAsia="Arial" w:hAnsi="Arial"/>
                <w:sz w:val="15"/>
                <w:szCs w:val="15"/>
                <w:color w:val="auto"/>
              </w:rPr>
              <w:t>Adjusted Gross Profit</w:t>
            </w:r>
          </w:p>
        </w:tc>
        <w:tc>
          <w:tcPr>
            <w:tcW w:w="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973,915</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384,804</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(41,899)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1,316,820</w:t>
            </w:r>
          </w:p>
        </w:tc>
        <w:tc>
          <w:tcPr>
            <w:tcW w:w="80" w:type="dxa"/>
            <w:vAlign w:val="bottom"/>
            <w:tcBorders>
              <w:top w:val="single" w:sz="8" w:color="auto"/>
            </w:tcBorders>
          </w:tcPr>
          <w:p>
            <w:pPr>
              <w:spacing w:after="0"/>
              <w:rPr>
                <w:sz w:val="19"/>
                <w:szCs w:val="19"/>
                <w:color w:val="auto"/>
              </w:rPr>
            </w:pPr>
          </w:p>
        </w:tc>
      </w:tr>
      <w:tr>
        <w:trPr>
          <w:trHeight w:val="254"/>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(116,511)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(62,247)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(378,319)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(557,077)</w:t>
            </w:r>
          </w:p>
        </w:tc>
      </w:tr>
      <w:tr>
        <w:trPr>
          <w:trHeight w:val="237"/>
        </w:trPr>
        <w:tc>
          <w:tcPr>
            <w:tcW w:w="5560" w:type="dxa"/>
            <w:vAlign w:val="bottom"/>
          </w:tcPr>
          <w:p>
            <w:pPr>
              <w:ind w:left="20"/>
              <w:spacing w:after="0"/>
              <w:rPr>
                <w:sz w:val="20"/>
                <w:szCs w:val="20"/>
                <w:color w:val="auto"/>
              </w:rPr>
            </w:pPr>
            <w:r>
              <w:rPr>
                <w:rFonts w:ascii="Arial" w:cs="Arial" w:eastAsia="Arial" w:hAnsi="Arial"/>
                <w:sz w:val="15"/>
                <w:szCs w:val="15"/>
                <w:color w:val="auto"/>
              </w:rPr>
              <w:t>Joint venture equity income</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14,842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14,842</w:t>
            </w:r>
          </w:p>
        </w:tc>
        <w:tc>
          <w:tcPr>
            <w:tcW w:w="80" w:type="dxa"/>
            <w:vAlign w:val="bottom"/>
          </w:tcPr>
          <w:p>
            <w:pPr>
              <w:spacing w:after="0"/>
              <w:rPr>
                <w:sz w:val="20"/>
                <w:szCs w:val="20"/>
                <w:color w:val="auto"/>
              </w:rPr>
            </w:pPr>
          </w:p>
        </w:tc>
      </w:tr>
      <w:tr>
        <w:trPr>
          <w:trHeight w:val="254"/>
        </w:trPr>
        <w:tc>
          <w:tcPr>
            <w:tcW w:w="5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Joint venture intangible amortization</w:t>
            </w:r>
            <w:r>
              <w:rPr>
                <w:rFonts w:ascii="Arial" w:cs="Arial" w:eastAsia="Arial" w:hAnsi="Arial"/>
                <w:sz w:val="19"/>
                <w:szCs w:val="19"/>
                <w:color w:val="auto"/>
                <w:vertAlign w:val="superscript"/>
              </w:rPr>
              <w:t>(3a)</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1,602</w:t>
            </w:r>
          </w:p>
        </w:tc>
        <w:tc>
          <w:tcPr>
            <w:tcW w:w="80" w:type="dxa"/>
            <w:vAlign w:val="bottom"/>
            <w:shd w:val="clear" w:color="auto" w:fill="CCEEFF"/>
          </w:tcPr>
          <w:p>
            <w:pPr>
              <w:spacing w:after="0"/>
              <w:rPr>
                <w:sz w:val="22"/>
                <w:szCs w:val="22"/>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5"/>
                <w:szCs w:val="15"/>
                <w:color w:val="auto"/>
              </w:rPr>
              <w:t>Selling, general and administrative adjustments: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4"/>
        </w:trPr>
        <w:tc>
          <w:tcPr>
            <w:tcW w:w="55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3,428</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102,613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106,945</w:t>
            </w:r>
          </w:p>
        </w:tc>
        <w:tc>
          <w:tcPr>
            <w:tcW w:w="80" w:type="dxa"/>
            <w:vAlign w:val="bottom"/>
            <w:shd w:val="clear" w:color="auto" w:fill="CCEEFF"/>
          </w:tcPr>
          <w:p>
            <w:pPr>
              <w:spacing w:after="0"/>
              <w:rPr>
                <w:sz w:val="22"/>
                <w:szCs w:val="22"/>
                <w:color w:val="auto"/>
              </w:rPr>
            </w:pPr>
          </w:p>
        </w:tc>
      </w:tr>
      <w:tr>
        <w:trPr>
          <w:trHeight w:val="245"/>
        </w:trPr>
        <w:tc>
          <w:tcPr>
            <w:tcW w:w="5560" w:type="dxa"/>
            <w:vAlign w:val="bottom"/>
          </w:tcPr>
          <w:p>
            <w:pPr>
              <w:ind w:left="240"/>
              <w:spacing w:after="0"/>
              <w:rPr>
                <w:sz w:val="20"/>
                <w:szCs w:val="20"/>
                <w:color w:val="auto"/>
              </w:rPr>
            </w:pPr>
            <w:r>
              <w:rPr>
                <w:rFonts w:ascii="Arial" w:cs="Arial" w:eastAsia="Arial" w:hAnsi="Arial"/>
                <w:sz w:val="15"/>
                <w:szCs w:val="15"/>
                <w:color w:val="auto"/>
              </w:rPr>
              <w:t>Restructuring and other costs</w:t>
            </w:r>
            <w:r>
              <w:rPr>
                <w:rFonts w:ascii="Arial" w:cs="Arial" w:eastAsia="Arial" w:hAnsi="Arial"/>
                <w:sz w:val="19"/>
                <w:szCs w:val="19"/>
                <w:color w:val="auto"/>
                <w:vertAlign w:val="superscript"/>
              </w:rPr>
              <w:t>(6)</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9,256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9,256</w:t>
            </w:r>
          </w:p>
        </w:tc>
        <w:tc>
          <w:tcPr>
            <w:tcW w:w="80" w:type="dxa"/>
            <w:vAlign w:val="bottom"/>
          </w:tcPr>
          <w:p>
            <w:pPr>
              <w:spacing w:after="0"/>
              <w:rPr>
                <w:sz w:val="21"/>
                <w:szCs w:val="21"/>
                <w:color w:val="auto"/>
              </w:rPr>
            </w:pPr>
          </w:p>
        </w:tc>
      </w:tr>
      <w:tr>
        <w:trPr>
          <w:trHeight w:val="245"/>
        </w:trPr>
        <w:tc>
          <w:tcPr>
            <w:tcW w:w="5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Acquisition-related costs</w:t>
            </w:r>
            <w:r>
              <w:rPr>
                <w:rFonts w:ascii="Arial" w:cs="Arial" w:eastAsia="Arial" w:hAnsi="Arial"/>
                <w:sz w:val="19"/>
                <w:szCs w:val="19"/>
                <w:color w:val="auto"/>
                <w:vertAlign w:val="superscript"/>
              </w:rPr>
              <w:t>(7)</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14,437</w:t>
            </w:r>
          </w:p>
        </w:tc>
        <w:tc>
          <w:tcPr>
            <w:tcW w:w="80" w:type="dxa"/>
            <w:vAlign w:val="bottom"/>
            <w:shd w:val="clear" w:color="auto" w:fill="CCEEFF"/>
          </w:tcPr>
          <w:p>
            <w:pPr>
              <w:spacing w:after="0"/>
              <w:rPr>
                <w:sz w:val="21"/>
                <w:szCs w:val="21"/>
                <w:color w:val="auto"/>
              </w:rPr>
            </w:pPr>
          </w:p>
        </w:tc>
      </w:tr>
      <w:tr>
        <w:trPr>
          <w:trHeight w:val="245"/>
        </w:trPr>
        <w:tc>
          <w:tcPr>
            <w:tcW w:w="5560" w:type="dxa"/>
            <w:vAlign w:val="bottom"/>
          </w:tcPr>
          <w:p>
            <w:pPr>
              <w:ind w:left="240"/>
              <w:spacing w:after="0"/>
              <w:rPr>
                <w:sz w:val="20"/>
                <w:szCs w:val="20"/>
                <w:color w:val="auto"/>
              </w:rPr>
            </w:pPr>
            <w:r>
              <w:rPr>
                <w:rFonts w:ascii="Arial" w:cs="Arial" w:eastAsia="Arial" w:hAnsi="Arial"/>
                <w:sz w:val="15"/>
                <w:szCs w:val="15"/>
                <w:color w:val="auto"/>
              </w:rPr>
              <w:t>Litigation costs</w:t>
            </w:r>
            <w:r>
              <w:rPr>
                <w:rFonts w:ascii="Arial" w:cs="Arial" w:eastAsia="Arial" w:hAnsi="Arial"/>
                <w:sz w:val="19"/>
                <w:szCs w:val="19"/>
                <w:color w:val="auto"/>
                <w:vertAlign w:val="superscript"/>
              </w:rPr>
              <w:t>(8)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16,709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16,709</w:t>
            </w:r>
          </w:p>
        </w:tc>
        <w:tc>
          <w:tcPr>
            <w:tcW w:w="80" w:type="dxa"/>
            <w:vAlign w:val="bottom"/>
          </w:tcPr>
          <w:p>
            <w:pPr>
              <w:spacing w:after="0"/>
              <w:rPr>
                <w:sz w:val="21"/>
                <w:szCs w:val="21"/>
                <w:color w:val="auto"/>
              </w:rPr>
            </w:pPr>
          </w:p>
        </w:tc>
      </w:tr>
      <w:tr>
        <w:trPr>
          <w:trHeight w:val="238"/>
        </w:trPr>
        <w:tc>
          <w:tcPr>
            <w:tcW w:w="55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18,053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18,053</w:t>
            </w:r>
          </w:p>
        </w:tc>
        <w:tc>
          <w:tcPr>
            <w:tcW w:w="80" w:type="dxa"/>
            <w:vAlign w:val="bottom"/>
            <w:shd w:val="clear" w:color="auto" w:fill="CCEEFF"/>
          </w:tcPr>
          <w:p>
            <w:pPr>
              <w:spacing w:after="0"/>
              <w:rPr>
                <w:sz w:val="20"/>
                <w:szCs w:val="20"/>
                <w:color w:val="auto"/>
              </w:rPr>
            </w:pPr>
          </w:p>
        </w:tc>
      </w:tr>
      <w:tr>
        <w:trPr>
          <w:trHeight w:val="218"/>
        </w:trPr>
        <w:tc>
          <w:tcPr>
            <w:tcW w:w="556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877,276</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323,461</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(259,150)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941,587</w:t>
            </w:r>
          </w:p>
        </w:tc>
        <w:tc>
          <w:tcPr>
            <w:tcW w:w="80" w:type="dxa"/>
            <w:vAlign w:val="bottom"/>
            <w:tcBorders>
              <w:top w:val="single" w:sz="8" w:color="auto"/>
              <w:bottom w:val="single" w:sz="8" w:color="auto"/>
            </w:tcBorders>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79"/>
        </w:trPr>
        <w:tc>
          <w:tcPr>
            <w:tcW w:w="556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Arial" w:cs="Arial" w:eastAsia="Arial" w:hAnsi="Arial"/>
                <w:sz w:val="15"/>
                <w:szCs w:val="15"/>
                <w:color w:val="auto"/>
              </w:rPr>
              <w:t>31</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75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Year Ended December 31, 2014</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28"/>
        </w:trPr>
        <w:tc>
          <w:tcPr>
            <w:tcW w:w="5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Airline and</w:t>
            </w: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3"/>
        </w:trPr>
        <w:tc>
          <w:tcPr>
            <w:tcW w:w="5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tcPr>
          <w:p>
            <w:pPr>
              <w:jc w:val="center"/>
              <w:ind w:right="480"/>
              <w:spacing w:after="0" w:line="123" w:lineRule="exact"/>
              <w:rPr>
                <w:sz w:val="20"/>
                <w:szCs w:val="20"/>
                <w:color w:val="auto"/>
              </w:rPr>
            </w:pPr>
            <w:r>
              <w:rPr>
                <w:rFonts w:ascii="Arial" w:cs="Arial" w:eastAsia="Arial" w:hAnsi="Arial"/>
                <w:sz w:val="11"/>
                <w:szCs w:val="11"/>
                <w:b w:val="1"/>
                <w:bCs w:val="1"/>
                <w:color w:val="auto"/>
              </w:rPr>
              <w:t>Travel</w:t>
            </w:r>
          </w:p>
        </w:tc>
        <w:tc>
          <w:tcPr>
            <w:tcW w:w="240" w:type="dxa"/>
            <w:vAlign w:val="bottom"/>
          </w:tcPr>
          <w:p>
            <w:pPr>
              <w:spacing w:after="0"/>
              <w:rPr>
                <w:sz w:val="10"/>
                <w:szCs w:val="10"/>
                <w:color w:val="auto"/>
              </w:rPr>
            </w:pPr>
          </w:p>
        </w:tc>
        <w:tc>
          <w:tcPr>
            <w:tcW w:w="1240" w:type="dxa"/>
            <w:vAlign w:val="bottom"/>
            <w:gridSpan w:val="2"/>
          </w:tcPr>
          <w:p>
            <w:pPr>
              <w:jc w:val="center"/>
              <w:ind w:right="380"/>
              <w:spacing w:after="0" w:line="123" w:lineRule="exact"/>
              <w:rPr>
                <w:sz w:val="20"/>
                <w:szCs w:val="20"/>
                <w:color w:val="auto"/>
              </w:rPr>
            </w:pPr>
            <w:r>
              <w:rPr>
                <w:rFonts w:ascii="Arial" w:cs="Arial" w:eastAsia="Arial" w:hAnsi="Arial"/>
                <w:sz w:val="11"/>
                <w:szCs w:val="11"/>
                <w:b w:val="1"/>
                <w:bCs w:val="1"/>
                <w:color w:val="auto"/>
              </w:rPr>
              <w:t>Hospitality</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59"/>
        </w:trPr>
        <w:tc>
          <w:tcPr>
            <w:tcW w:w="5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Network</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Solutions</w:t>
            </w: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Corporate</w:t>
            </w:r>
          </w:p>
        </w:tc>
        <w:tc>
          <w:tcPr>
            <w:tcW w:w="340" w:type="dxa"/>
            <w:vAlign w:val="bottom"/>
          </w:tcPr>
          <w:p>
            <w:pPr>
              <w:spacing w:after="0"/>
              <w:rPr>
                <w:sz w:val="13"/>
                <w:szCs w:val="13"/>
                <w:color w:val="auto"/>
              </w:rPr>
            </w:pPr>
          </w:p>
        </w:tc>
        <w:tc>
          <w:tcPr>
            <w:tcW w:w="1020" w:type="dxa"/>
            <w:vAlign w:val="bottom"/>
          </w:tcPr>
          <w:p>
            <w:pPr>
              <w:jc w:val="right"/>
              <w:ind w:right="467"/>
              <w:spacing w:after="0"/>
              <w:rPr>
                <w:sz w:val="20"/>
                <w:szCs w:val="20"/>
                <w:color w:val="auto"/>
              </w:rPr>
            </w:pPr>
            <w:r>
              <w:rPr>
                <w:rFonts w:ascii="Arial" w:cs="Arial" w:eastAsia="Arial" w:hAnsi="Arial"/>
                <w:sz w:val="11"/>
                <w:szCs w:val="11"/>
                <w:b w:val="1"/>
                <w:bCs w:val="1"/>
                <w:color w:val="auto"/>
              </w:rPr>
              <w:t>Total</w:t>
            </w:r>
          </w:p>
        </w:tc>
      </w:tr>
      <w:tr>
        <w:trPr>
          <w:trHeight w:val="23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657,326</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176,730</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(412,711)</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421,345</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Add back:</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4"/>
        </w:trPr>
        <w:tc>
          <w:tcPr>
            <w:tcW w:w="5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102,059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56,195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309,340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467,594</w:t>
            </w:r>
          </w:p>
        </w:tc>
      </w:tr>
      <w:tr>
        <w:trPr>
          <w:trHeight w:val="237"/>
        </w:trPr>
        <w:tc>
          <w:tcPr>
            <w:tcW w:w="5600" w:type="dxa"/>
            <w:vAlign w:val="bottom"/>
          </w:tcPr>
          <w:p>
            <w:pPr>
              <w:ind w:left="240"/>
              <w:spacing w:after="0"/>
              <w:rPr>
                <w:sz w:val="20"/>
                <w:szCs w:val="20"/>
                <w:color w:val="auto"/>
              </w:rPr>
            </w:pPr>
            <w:r>
              <w:rPr>
                <w:rFonts w:ascii="Arial" w:cs="Arial" w:eastAsia="Arial" w:hAnsi="Arial"/>
                <w:sz w:val="15"/>
                <w:szCs w:val="15"/>
                <w:color w:val="auto"/>
              </w:rPr>
              <w:t>Cost of revenue adjustments: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4"/>
        </w:trPr>
        <w:tc>
          <w:tcPr>
            <w:tcW w:w="56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58,533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104,926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34,950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198,409</w:t>
            </w:r>
          </w:p>
        </w:tc>
      </w:tr>
      <w:tr>
        <w:trPr>
          <w:trHeight w:val="245"/>
        </w:trPr>
        <w:tc>
          <w:tcPr>
            <w:tcW w:w="5600" w:type="dxa"/>
            <w:vAlign w:val="bottom"/>
          </w:tcPr>
          <w:p>
            <w:pPr>
              <w:ind w:left="460"/>
              <w:spacing w:after="0"/>
              <w:rPr>
                <w:sz w:val="20"/>
                <w:szCs w:val="20"/>
                <w:color w:val="auto"/>
              </w:rPr>
            </w:pPr>
            <w:r>
              <w:rPr>
                <w:rFonts w:ascii="Arial" w:cs="Arial" w:eastAsia="Arial" w:hAnsi="Arial"/>
                <w:sz w:val="15"/>
                <w:szCs w:val="15"/>
                <w:color w:val="auto"/>
              </w:rPr>
              <w:t>Amortization of upfront incentive consideration</w:t>
            </w:r>
            <w:r>
              <w:rPr>
                <w:rFonts w:ascii="Arial" w:cs="Arial" w:eastAsia="Arial" w:hAnsi="Arial"/>
                <w:sz w:val="19"/>
                <w:szCs w:val="19"/>
                <w:color w:val="auto"/>
                <w:vertAlign w:val="superscript"/>
              </w:rPr>
              <w:t>(4)</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45,358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45,358</w:t>
            </w:r>
          </w:p>
        </w:tc>
      </w:tr>
      <w:tr>
        <w:trPr>
          <w:trHeight w:val="245"/>
        </w:trPr>
        <w:tc>
          <w:tcPr>
            <w:tcW w:w="56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Restructuring and other costs</w:t>
            </w:r>
            <w:r>
              <w:rPr>
                <w:rFonts w:ascii="Arial" w:cs="Arial" w:eastAsia="Arial" w:hAnsi="Arial"/>
                <w:sz w:val="19"/>
                <w:szCs w:val="19"/>
                <w:color w:val="auto"/>
                <w:vertAlign w:val="superscript"/>
              </w:rPr>
              <w:t>(6)</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6,042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6,042</w:t>
            </w:r>
          </w:p>
        </w:tc>
      </w:tr>
      <w:tr>
        <w:trPr>
          <w:trHeight w:val="238"/>
        </w:trPr>
        <w:tc>
          <w:tcPr>
            <w:tcW w:w="5600" w:type="dxa"/>
            <w:vAlign w:val="bottom"/>
          </w:tcPr>
          <w:p>
            <w:pPr>
              <w:ind w:left="460"/>
              <w:spacing w:after="0"/>
              <w:rPr>
                <w:sz w:val="20"/>
                <w:szCs w:val="20"/>
                <w:color w:val="auto"/>
              </w:rPr>
            </w:pPr>
            <w:r>
              <w:rPr>
                <w:rFonts w:ascii="Arial" w:cs="Arial" w:eastAsia="Arial" w:hAnsi="Arial"/>
                <w:sz w:val="15"/>
                <w:szCs w:val="15"/>
                <w:color w:val="auto"/>
              </w:rPr>
              <w:t>Stock-based compensation</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1100" w:type="dxa"/>
            <w:vAlign w:val="bottom"/>
          </w:tcPr>
          <w:p>
            <w:pPr>
              <w:jc w:val="right"/>
              <w:ind w:right="47"/>
              <w:spacing w:after="0"/>
              <w:rPr>
                <w:sz w:val="20"/>
                <w:szCs w:val="20"/>
                <w:color w:val="auto"/>
              </w:rPr>
            </w:pPr>
            <w:r>
              <w:rPr>
                <w:rFonts w:ascii="Arial" w:cs="Arial" w:eastAsia="Arial" w:hAnsi="Arial"/>
                <w:sz w:val="15"/>
                <w:szCs w:val="15"/>
                <w:color w:val="auto"/>
              </w:rPr>
              <w:t>8,044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8,044</w:t>
            </w:r>
          </w:p>
        </w:tc>
      </w:tr>
      <w:tr>
        <w:trPr>
          <w:trHeight w:val="221"/>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Gross Profit</w:t>
            </w: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863,276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337,851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1,146,792</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20"/>
                <w:szCs w:val="20"/>
                <w:color w:val="auto"/>
              </w:rPr>
            </w:pPr>
          </w:p>
        </w:tc>
        <w:tc>
          <w:tcPr>
            <w:tcW w:w="1060" w:type="dxa"/>
            <w:vAlign w:val="bottom"/>
          </w:tcPr>
          <w:p>
            <w:pPr>
              <w:jc w:val="right"/>
              <w:ind w:right="8"/>
              <w:spacing w:after="0"/>
              <w:rPr>
                <w:sz w:val="20"/>
                <w:szCs w:val="20"/>
                <w:color w:val="auto"/>
              </w:rPr>
            </w:pPr>
            <w:r>
              <w:rPr>
                <w:rFonts w:ascii="Arial" w:cs="Arial" w:eastAsia="Arial" w:hAnsi="Arial"/>
                <w:sz w:val="15"/>
                <w:szCs w:val="15"/>
                <w:color w:val="auto"/>
              </w:rPr>
              <w:t>(102,059)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(56,195)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(309,340)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(467,594)</w:t>
            </w:r>
          </w:p>
        </w:tc>
      </w:tr>
      <w:tr>
        <w:trPr>
          <w:trHeight w:val="25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Joint venture equity income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12,082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12,082</w:t>
            </w:r>
          </w:p>
        </w:tc>
      </w:tr>
      <w:tr>
        <w:trPr>
          <w:trHeight w:val="245"/>
        </w:trPr>
        <w:tc>
          <w:tcPr>
            <w:tcW w:w="5600" w:type="dxa"/>
            <w:vAlign w:val="bottom"/>
          </w:tcPr>
          <w:p>
            <w:pPr>
              <w:ind w:left="20"/>
              <w:spacing w:after="0"/>
              <w:rPr>
                <w:sz w:val="20"/>
                <w:szCs w:val="20"/>
                <w:color w:val="auto"/>
              </w:rPr>
            </w:pPr>
            <w:r>
              <w:rPr>
                <w:rFonts w:ascii="Arial" w:cs="Arial" w:eastAsia="Arial" w:hAnsi="Arial"/>
                <w:sz w:val="15"/>
                <w:szCs w:val="15"/>
                <w:color w:val="auto"/>
              </w:rPr>
              <w:t>Joint venture intangible amortization</w:t>
            </w:r>
            <w:r>
              <w:rPr>
                <w:rFonts w:ascii="Arial" w:cs="Arial" w:eastAsia="Arial" w:hAnsi="Arial"/>
                <w:sz w:val="19"/>
                <w:szCs w:val="19"/>
                <w:color w:val="auto"/>
                <w:vertAlign w:val="superscript"/>
              </w:rPr>
              <w:t>(3a)</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3,204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3,204</w:t>
            </w:r>
          </w:p>
        </w:tc>
      </w:tr>
      <w:tr>
        <w:trPr>
          <w:trHeight w:val="245"/>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adjustments: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5"/>
        </w:trPr>
        <w:tc>
          <w:tcPr>
            <w:tcW w:w="5600" w:type="dxa"/>
            <w:vAlign w:val="bottom"/>
          </w:tcPr>
          <w:p>
            <w:pPr>
              <w:ind w:left="24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2,174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5"/>
                <w:szCs w:val="15"/>
                <w:color w:val="auto"/>
              </w:rPr>
              <w:t>992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Arial" w:cs="Arial" w:eastAsia="Arial" w:hAnsi="Arial"/>
                <w:sz w:val="15"/>
                <w:szCs w:val="15"/>
                <w:color w:val="auto"/>
              </w:rPr>
              <w:t>88,055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91,221</w:t>
            </w:r>
          </w:p>
        </w:tc>
      </w:tr>
      <w:tr>
        <w:trPr>
          <w:trHeight w:val="245"/>
        </w:trPr>
        <w:tc>
          <w:tcPr>
            <w:tcW w:w="5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Restructuring and other costs</w:t>
            </w:r>
            <w:r>
              <w:rPr>
                <w:rFonts w:ascii="Arial" w:cs="Arial" w:eastAsia="Arial" w:hAnsi="Arial"/>
                <w:sz w:val="19"/>
                <w:szCs w:val="19"/>
                <w:color w:val="auto"/>
                <w:vertAlign w:val="superscript"/>
              </w:rPr>
              <w:t>(6)</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4,428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4,428</w:t>
            </w:r>
          </w:p>
        </w:tc>
      </w:tr>
      <w:tr>
        <w:trPr>
          <w:trHeight w:val="245"/>
        </w:trPr>
        <w:tc>
          <w:tcPr>
            <w:tcW w:w="5600" w:type="dxa"/>
            <w:vAlign w:val="bottom"/>
          </w:tcPr>
          <w:p>
            <w:pPr>
              <w:ind w:left="240"/>
              <w:spacing w:after="0"/>
              <w:rPr>
                <w:sz w:val="20"/>
                <w:szCs w:val="20"/>
                <w:color w:val="auto"/>
              </w:rPr>
            </w:pPr>
            <w:r>
              <w:rPr>
                <w:rFonts w:ascii="Arial" w:cs="Arial" w:eastAsia="Arial" w:hAnsi="Arial"/>
                <w:sz w:val="15"/>
                <w:szCs w:val="15"/>
                <w:color w:val="auto"/>
              </w:rPr>
              <w:t>Litigation costs</w:t>
            </w:r>
            <w:r>
              <w:rPr>
                <w:rFonts w:ascii="Arial" w:cs="Arial" w:eastAsia="Arial" w:hAnsi="Arial"/>
                <w:sz w:val="19"/>
                <w:szCs w:val="19"/>
                <w:color w:val="auto"/>
                <w:vertAlign w:val="superscript"/>
              </w:rPr>
              <w:t>(8)</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Arial" w:cs="Arial" w:eastAsia="Arial" w:hAnsi="Arial"/>
                <w:sz w:val="15"/>
                <w:szCs w:val="15"/>
                <w:color w:val="auto"/>
              </w:rPr>
              <w:t>14,144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14,144</w:t>
            </w:r>
          </w:p>
        </w:tc>
      </w:tr>
      <w:tr>
        <w:trPr>
          <w:trHeight w:val="245"/>
        </w:trPr>
        <w:tc>
          <w:tcPr>
            <w:tcW w:w="5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12,050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12,050</w:t>
            </w:r>
          </w:p>
        </w:tc>
      </w:tr>
      <w:tr>
        <w:trPr>
          <w:trHeight w:val="245"/>
        </w:trPr>
        <w:tc>
          <w:tcPr>
            <w:tcW w:w="5600" w:type="dxa"/>
            <w:vAlign w:val="bottom"/>
          </w:tcPr>
          <w:p>
            <w:pPr>
              <w:ind w:left="240"/>
              <w:spacing w:after="0"/>
              <w:rPr>
                <w:sz w:val="20"/>
                <w:szCs w:val="20"/>
                <w:color w:val="auto"/>
              </w:rPr>
            </w:pPr>
            <w:r>
              <w:rPr>
                <w:rFonts w:ascii="Arial" w:cs="Arial" w:eastAsia="Arial" w:hAnsi="Arial"/>
                <w:sz w:val="15"/>
                <w:szCs w:val="15"/>
                <w:color w:val="auto"/>
              </w:rPr>
              <w:t>Management fees</w:t>
            </w:r>
            <w:r>
              <w:rPr>
                <w:rFonts w:ascii="Arial" w:cs="Arial" w:eastAsia="Arial" w:hAnsi="Arial"/>
                <w:sz w:val="19"/>
                <w:szCs w:val="19"/>
                <w:color w:val="auto"/>
                <w:vertAlign w:val="superscript"/>
              </w:rPr>
              <w:t>(9)</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Arial" w:cs="Arial" w:eastAsia="Arial" w:hAnsi="Arial"/>
                <w:sz w:val="15"/>
                <w:szCs w:val="15"/>
                <w:color w:val="auto"/>
              </w:rPr>
              <w:t>23,701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23,701</w:t>
            </w:r>
          </w:p>
        </w:tc>
      </w:tr>
      <w:tr>
        <w:trPr>
          <w:trHeight w:val="21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778,677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282,648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(221,297)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840,028</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38"/>
        </w:trPr>
        <w:tc>
          <w:tcPr>
            <w:tcW w:w="5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Year Ended December 31, 2013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28"/>
        </w:trPr>
        <w:tc>
          <w:tcPr>
            <w:tcW w:w="5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Airline and</w:t>
            </w: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23"/>
        </w:trPr>
        <w:tc>
          <w:tcPr>
            <w:tcW w:w="5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tcPr>
          <w:p>
            <w:pPr>
              <w:jc w:val="center"/>
              <w:ind w:right="480"/>
              <w:spacing w:after="0" w:line="123" w:lineRule="exact"/>
              <w:rPr>
                <w:sz w:val="20"/>
                <w:szCs w:val="20"/>
                <w:color w:val="auto"/>
              </w:rPr>
            </w:pPr>
            <w:r>
              <w:rPr>
                <w:rFonts w:ascii="Arial" w:cs="Arial" w:eastAsia="Arial" w:hAnsi="Arial"/>
                <w:sz w:val="11"/>
                <w:szCs w:val="11"/>
                <w:b w:val="1"/>
                <w:bCs w:val="1"/>
                <w:color w:val="auto"/>
              </w:rPr>
              <w:t>Travel</w:t>
            </w:r>
          </w:p>
        </w:tc>
        <w:tc>
          <w:tcPr>
            <w:tcW w:w="240" w:type="dxa"/>
            <w:vAlign w:val="bottom"/>
          </w:tcPr>
          <w:p>
            <w:pPr>
              <w:spacing w:after="0"/>
              <w:rPr>
                <w:sz w:val="10"/>
                <w:szCs w:val="10"/>
                <w:color w:val="auto"/>
              </w:rPr>
            </w:pPr>
          </w:p>
        </w:tc>
        <w:tc>
          <w:tcPr>
            <w:tcW w:w="1240" w:type="dxa"/>
            <w:vAlign w:val="bottom"/>
            <w:gridSpan w:val="2"/>
          </w:tcPr>
          <w:p>
            <w:pPr>
              <w:jc w:val="center"/>
              <w:ind w:right="380"/>
              <w:spacing w:after="0" w:line="123" w:lineRule="exact"/>
              <w:rPr>
                <w:sz w:val="20"/>
                <w:szCs w:val="20"/>
                <w:color w:val="auto"/>
              </w:rPr>
            </w:pPr>
            <w:r>
              <w:rPr>
                <w:rFonts w:ascii="Arial" w:cs="Arial" w:eastAsia="Arial" w:hAnsi="Arial"/>
                <w:sz w:val="11"/>
                <w:szCs w:val="11"/>
                <w:b w:val="1"/>
                <w:bCs w:val="1"/>
                <w:color w:val="auto"/>
              </w:rPr>
              <w:t>Hospitality</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59"/>
        </w:trPr>
        <w:tc>
          <w:tcPr>
            <w:tcW w:w="5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Network</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Solutions</w:t>
            </w: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Corporate</w:t>
            </w:r>
          </w:p>
        </w:tc>
        <w:tc>
          <w:tcPr>
            <w:tcW w:w="340" w:type="dxa"/>
            <w:vAlign w:val="bottom"/>
          </w:tcPr>
          <w:p>
            <w:pPr>
              <w:spacing w:after="0"/>
              <w:rPr>
                <w:sz w:val="13"/>
                <w:szCs w:val="13"/>
                <w:color w:val="auto"/>
              </w:rPr>
            </w:pPr>
          </w:p>
        </w:tc>
        <w:tc>
          <w:tcPr>
            <w:tcW w:w="1020" w:type="dxa"/>
            <w:vAlign w:val="bottom"/>
          </w:tcPr>
          <w:p>
            <w:pPr>
              <w:jc w:val="right"/>
              <w:ind w:right="467"/>
              <w:spacing w:after="0"/>
              <w:rPr>
                <w:sz w:val="20"/>
                <w:szCs w:val="20"/>
                <w:color w:val="auto"/>
              </w:rPr>
            </w:pPr>
            <w:r>
              <w:rPr>
                <w:rFonts w:ascii="Arial" w:cs="Arial" w:eastAsia="Arial" w:hAnsi="Arial"/>
                <w:sz w:val="11"/>
                <w:szCs w:val="11"/>
                <w:b w:val="1"/>
                <w:bCs w:val="1"/>
                <w:color w:val="auto"/>
              </w:rPr>
              <w:t>Total</w:t>
            </w:r>
          </w:p>
        </w:tc>
      </w:tr>
      <w:tr>
        <w:trPr>
          <w:trHeight w:val="23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667,498</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135,755</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(422,323)</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380,930</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Add back:</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4"/>
        </w:trPr>
        <w:tc>
          <w:tcPr>
            <w:tcW w:w="5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106,392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51,538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279,523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437,453</w:t>
            </w:r>
          </w:p>
        </w:tc>
      </w:tr>
      <w:tr>
        <w:trPr>
          <w:trHeight w:val="237"/>
        </w:trPr>
        <w:tc>
          <w:tcPr>
            <w:tcW w:w="5600" w:type="dxa"/>
            <w:vAlign w:val="bottom"/>
          </w:tcPr>
          <w:p>
            <w:pPr>
              <w:ind w:left="240"/>
              <w:spacing w:after="0"/>
              <w:rPr>
                <w:sz w:val="20"/>
                <w:szCs w:val="20"/>
                <w:color w:val="auto"/>
              </w:rPr>
            </w:pPr>
            <w:r>
              <w:rPr>
                <w:rFonts w:ascii="Arial" w:cs="Arial" w:eastAsia="Arial" w:hAnsi="Arial"/>
                <w:sz w:val="15"/>
                <w:szCs w:val="15"/>
                <w:color w:val="auto"/>
              </w:rPr>
              <w:t>Cost of revenue adjustments: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4"/>
        </w:trPr>
        <w:tc>
          <w:tcPr>
            <w:tcW w:w="56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50,254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75,093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67,076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192,423</w:t>
            </w:r>
          </w:p>
        </w:tc>
      </w:tr>
      <w:tr>
        <w:trPr>
          <w:trHeight w:val="245"/>
        </w:trPr>
        <w:tc>
          <w:tcPr>
            <w:tcW w:w="5600" w:type="dxa"/>
            <w:vAlign w:val="bottom"/>
          </w:tcPr>
          <w:p>
            <w:pPr>
              <w:ind w:left="460"/>
              <w:spacing w:after="0"/>
              <w:rPr>
                <w:sz w:val="20"/>
                <w:szCs w:val="20"/>
                <w:color w:val="auto"/>
              </w:rPr>
            </w:pPr>
            <w:r>
              <w:rPr>
                <w:rFonts w:ascii="Arial" w:cs="Arial" w:eastAsia="Arial" w:hAnsi="Arial"/>
                <w:sz w:val="15"/>
                <w:szCs w:val="15"/>
                <w:color w:val="auto"/>
              </w:rPr>
              <w:t>Amortization of upfront incentive consideration</w:t>
            </w:r>
            <w:r>
              <w:rPr>
                <w:rFonts w:ascii="Arial" w:cs="Arial" w:eastAsia="Arial" w:hAnsi="Arial"/>
                <w:sz w:val="19"/>
                <w:szCs w:val="19"/>
                <w:color w:val="auto"/>
                <w:vertAlign w:val="superscript"/>
              </w:rPr>
              <w:t>(4)</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36,649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36,649</w:t>
            </w:r>
          </w:p>
        </w:tc>
      </w:tr>
      <w:tr>
        <w:trPr>
          <w:trHeight w:val="245"/>
        </w:trPr>
        <w:tc>
          <w:tcPr>
            <w:tcW w:w="56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Restructuring and other costs</w:t>
            </w:r>
            <w:r>
              <w:rPr>
                <w:rFonts w:ascii="Arial" w:cs="Arial" w:eastAsia="Arial" w:hAnsi="Arial"/>
                <w:sz w:val="19"/>
                <w:szCs w:val="19"/>
                <w:color w:val="auto"/>
                <w:vertAlign w:val="superscript"/>
              </w:rPr>
              <w:t>(6)</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11,491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11,491</w:t>
            </w:r>
          </w:p>
        </w:tc>
      </w:tr>
      <w:tr>
        <w:trPr>
          <w:trHeight w:val="238"/>
        </w:trPr>
        <w:tc>
          <w:tcPr>
            <w:tcW w:w="5600" w:type="dxa"/>
            <w:vAlign w:val="bottom"/>
          </w:tcPr>
          <w:p>
            <w:pPr>
              <w:ind w:left="460"/>
              <w:spacing w:after="0"/>
              <w:rPr>
                <w:sz w:val="20"/>
                <w:szCs w:val="20"/>
                <w:color w:val="auto"/>
              </w:rPr>
            </w:pPr>
            <w:r>
              <w:rPr>
                <w:rFonts w:ascii="Arial" w:cs="Arial" w:eastAsia="Arial" w:hAnsi="Arial"/>
                <w:sz w:val="15"/>
                <w:szCs w:val="15"/>
                <w:color w:val="auto"/>
              </w:rPr>
              <w:t>Stock-based compensation</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1100" w:type="dxa"/>
            <w:vAlign w:val="bottom"/>
          </w:tcPr>
          <w:p>
            <w:pPr>
              <w:jc w:val="right"/>
              <w:ind w:right="47"/>
              <w:spacing w:after="0"/>
              <w:rPr>
                <w:sz w:val="20"/>
                <w:szCs w:val="20"/>
                <w:color w:val="auto"/>
              </w:rPr>
            </w:pPr>
            <w:r>
              <w:rPr>
                <w:rFonts w:ascii="Arial" w:cs="Arial" w:eastAsia="Arial" w:hAnsi="Arial"/>
                <w:sz w:val="15"/>
                <w:szCs w:val="15"/>
                <w:color w:val="auto"/>
              </w:rPr>
              <w:t>1,356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1,356</w:t>
            </w:r>
          </w:p>
        </w:tc>
      </w:tr>
      <w:tr>
        <w:trPr>
          <w:trHeight w:val="23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Gross Profit</w:t>
            </w:r>
          </w:p>
        </w:tc>
        <w:tc>
          <w:tcPr>
            <w:tcW w:w="3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860,793</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262,386</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(62,877)</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1,060,302</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20"/>
                <w:szCs w:val="20"/>
                <w:color w:val="auto"/>
              </w:rPr>
            </w:pPr>
          </w:p>
        </w:tc>
        <w:tc>
          <w:tcPr>
            <w:tcW w:w="1060" w:type="dxa"/>
            <w:vAlign w:val="bottom"/>
          </w:tcPr>
          <w:p>
            <w:pPr>
              <w:jc w:val="right"/>
              <w:ind w:right="8"/>
              <w:spacing w:after="0"/>
              <w:rPr>
                <w:sz w:val="20"/>
                <w:szCs w:val="20"/>
                <w:color w:val="auto"/>
              </w:rPr>
            </w:pPr>
            <w:r>
              <w:rPr>
                <w:rFonts w:ascii="Arial" w:cs="Arial" w:eastAsia="Arial" w:hAnsi="Arial"/>
                <w:sz w:val="15"/>
                <w:szCs w:val="15"/>
                <w:color w:val="auto"/>
              </w:rPr>
              <w:t>(106,392)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(51,538)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(279,523)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(437,453)</w:t>
            </w:r>
          </w:p>
        </w:tc>
      </w:tr>
      <w:tr>
        <w:trPr>
          <w:trHeight w:val="25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Joint venture equity income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12,350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12,350</w:t>
            </w:r>
          </w:p>
        </w:tc>
      </w:tr>
      <w:tr>
        <w:trPr>
          <w:trHeight w:val="245"/>
        </w:trPr>
        <w:tc>
          <w:tcPr>
            <w:tcW w:w="5600" w:type="dxa"/>
            <w:vAlign w:val="bottom"/>
          </w:tcPr>
          <w:p>
            <w:pPr>
              <w:ind w:left="20"/>
              <w:spacing w:after="0"/>
              <w:rPr>
                <w:sz w:val="20"/>
                <w:szCs w:val="20"/>
                <w:color w:val="auto"/>
              </w:rPr>
            </w:pPr>
            <w:r>
              <w:rPr>
                <w:rFonts w:ascii="Arial" w:cs="Arial" w:eastAsia="Arial" w:hAnsi="Arial"/>
                <w:sz w:val="15"/>
                <w:szCs w:val="15"/>
                <w:color w:val="auto"/>
              </w:rPr>
              <w:t>Joint venture intangible amortization</w:t>
            </w:r>
            <w:r>
              <w:rPr>
                <w:rFonts w:ascii="Arial" w:cs="Arial" w:eastAsia="Arial" w:hAnsi="Arial"/>
                <w:sz w:val="19"/>
                <w:szCs w:val="19"/>
                <w:color w:val="auto"/>
                <w:vertAlign w:val="superscript"/>
              </w:rPr>
              <w:t>(3a)</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3,204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3,204</w:t>
            </w:r>
          </w:p>
        </w:tc>
      </w:tr>
      <w:tr>
        <w:trPr>
          <w:trHeight w:val="245"/>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adjustments: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5"/>
        </w:trPr>
        <w:tc>
          <w:tcPr>
            <w:tcW w:w="5600" w:type="dxa"/>
            <w:vAlign w:val="bottom"/>
          </w:tcPr>
          <w:p>
            <w:pPr>
              <w:ind w:left="24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2,253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5"/>
                <w:szCs w:val="15"/>
                <w:color w:val="auto"/>
              </w:rPr>
              <w:t>2,227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Arial" w:cs="Arial" w:eastAsia="Arial" w:hAnsi="Arial"/>
                <w:sz w:val="15"/>
                <w:szCs w:val="15"/>
                <w:color w:val="auto"/>
              </w:rPr>
              <w:t>90,135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94,615</w:t>
            </w:r>
          </w:p>
        </w:tc>
      </w:tr>
      <w:tr>
        <w:trPr>
          <w:trHeight w:val="245"/>
        </w:trPr>
        <w:tc>
          <w:tcPr>
            <w:tcW w:w="5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 xml:space="preserve">Restructuring and other costs </w:t>
            </w:r>
            <w:r>
              <w:rPr>
                <w:rFonts w:ascii="Arial" w:cs="Arial" w:eastAsia="Arial" w:hAnsi="Arial"/>
                <w:sz w:val="19"/>
                <w:szCs w:val="19"/>
                <w:color w:val="auto"/>
                <w:vertAlign w:val="superscript"/>
              </w:rPr>
              <w:t>(6)</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16,430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16,430</w:t>
            </w:r>
          </w:p>
        </w:tc>
      </w:tr>
      <w:tr>
        <w:trPr>
          <w:trHeight w:val="245"/>
        </w:trPr>
        <w:tc>
          <w:tcPr>
            <w:tcW w:w="5600" w:type="dxa"/>
            <w:vAlign w:val="bottom"/>
          </w:tcPr>
          <w:p>
            <w:pPr>
              <w:ind w:left="240"/>
              <w:spacing w:after="0"/>
              <w:rPr>
                <w:sz w:val="20"/>
                <w:szCs w:val="20"/>
                <w:color w:val="auto"/>
              </w:rPr>
            </w:pPr>
            <w:r>
              <w:rPr>
                <w:rFonts w:ascii="Arial" w:cs="Arial" w:eastAsia="Arial" w:hAnsi="Arial"/>
                <w:sz w:val="15"/>
                <w:szCs w:val="15"/>
                <w:color w:val="auto"/>
              </w:rPr>
              <w:t>Litigation costs</w:t>
            </w:r>
            <w:r>
              <w:rPr>
                <w:rFonts w:ascii="Arial" w:cs="Arial" w:eastAsia="Arial" w:hAnsi="Arial"/>
                <w:sz w:val="19"/>
                <w:szCs w:val="19"/>
                <w:color w:val="auto"/>
                <w:vertAlign w:val="superscript"/>
              </w:rPr>
              <w:t>(8)</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Arial" w:cs="Arial" w:eastAsia="Arial" w:hAnsi="Arial"/>
                <w:sz w:val="15"/>
                <w:szCs w:val="15"/>
                <w:color w:val="auto"/>
              </w:rPr>
              <w:t>18,514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18,514</w:t>
            </w:r>
          </w:p>
        </w:tc>
      </w:tr>
      <w:tr>
        <w:trPr>
          <w:trHeight w:val="245"/>
        </w:trPr>
        <w:tc>
          <w:tcPr>
            <w:tcW w:w="56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2,031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2,031</w:t>
            </w:r>
          </w:p>
        </w:tc>
      </w:tr>
      <w:tr>
        <w:trPr>
          <w:trHeight w:val="245"/>
        </w:trPr>
        <w:tc>
          <w:tcPr>
            <w:tcW w:w="5600" w:type="dxa"/>
            <w:vAlign w:val="bottom"/>
          </w:tcPr>
          <w:p>
            <w:pPr>
              <w:ind w:left="240"/>
              <w:spacing w:after="0"/>
              <w:rPr>
                <w:sz w:val="20"/>
                <w:szCs w:val="20"/>
                <w:color w:val="auto"/>
              </w:rPr>
            </w:pPr>
            <w:r>
              <w:rPr>
                <w:rFonts w:ascii="Arial" w:cs="Arial" w:eastAsia="Arial" w:hAnsi="Arial"/>
                <w:sz w:val="15"/>
                <w:szCs w:val="15"/>
                <w:color w:val="auto"/>
              </w:rPr>
              <w:t>Management fees</w:t>
            </w:r>
            <w:r>
              <w:rPr>
                <w:rFonts w:ascii="Arial" w:cs="Arial" w:eastAsia="Arial" w:hAnsi="Arial"/>
                <w:sz w:val="19"/>
                <w:szCs w:val="19"/>
                <w:color w:val="auto"/>
                <w:vertAlign w:val="superscript"/>
              </w:rPr>
              <w:t>(9)</w:t>
            </w: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Arial" w:cs="Arial" w:eastAsia="Arial" w:hAnsi="Arial"/>
                <w:sz w:val="15"/>
                <w:szCs w:val="15"/>
                <w:color w:val="auto"/>
              </w:rPr>
              <w:t>8,761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8,761</w:t>
            </w:r>
          </w:p>
        </w:tc>
      </w:tr>
      <w:tr>
        <w:trPr>
          <w:trHeight w:val="21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772,208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213,075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(206,529)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778,754</w:t>
            </w: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79"/>
        </w:trPr>
        <w:tc>
          <w:tcPr>
            <w:tcW w:w="56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856" w:right="239" w:bottom="1440" w:gutter="0" w:footer="0" w:header="0"/>
        </w:sectPr>
      </w:pPr>
    </w:p>
    <w:bookmarkStart w:id="34" w:name="page35"/>
    <w:bookmarkEnd w:id="34"/>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1"/>
          </w:tcPr>
          <w:p>
            <w:pPr>
              <w:jc w:val="right"/>
              <w:ind w:right="700"/>
              <w:spacing w:after="0"/>
              <w:rPr>
                <w:sz w:val="20"/>
                <w:szCs w:val="20"/>
                <w:color w:val="auto"/>
              </w:rPr>
            </w:pPr>
            <w:r>
              <w:rPr>
                <w:rFonts w:ascii="Arial" w:cs="Arial" w:eastAsia="Arial" w:hAnsi="Arial"/>
                <w:sz w:val="11"/>
                <w:szCs w:val="11"/>
                <w:b w:val="1"/>
                <w:bCs w:val="1"/>
                <w:color w:val="auto"/>
              </w:rPr>
              <w:t>Year Ended December 31, 2012</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28"/>
        </w:trPr>
        <w:tc>
          <w:tcPr>
            <w:tcW w:w="5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4"/>
          </w:tcPr>
          <w:p>
            <w:pPr>
              <w:jc w:val="center"/>
              <w:ind w:left="303"/>
              <w:spacing w:after="0"/>
              <w:rPr>
                <w:sz w:val="20"/>
                <w:szCs w:val="20"/>
                <w:color w:val="auto"/>
              </w:rPr>
            </w:pPr>
            <w:r>
              <w:rPr>
                <w:rFonts w:ascii="Arial" w:cs="Arial" w:eastAsia="Arial" w:hAnsi="Arial"/>
                <w:sz w:val="11"/>
                <w:szCs w:val="11"/>
                <w:b w:val="1"/>
                <w:bCs w:val="1"/>
                <w:color w:val="auto"/>
              </w:rPr>
              <w:t>Airline and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23"/>
        </w:trPr>
        <w:tc>
          <w:tcPr>
            <w:tcW w:w="5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4"/>
          </w:tcPr>
          <w:p>
            <w:pPr>
              <w:jc w:val="right"/>
              <w:ind w:right="466"/>
              <w:spacing w:after="0" w:line="123" w:lineRule="exact"/>
              <w:rPr>
                <w:sz w:val="20"/>
                <w:szCs w:val="20"/>
                <w:color w:val="auto"/>
              </w:rPr>
            </w:pPr>
            <w:r>
              <w:rPr>
                <w:rFonts w:ascii="Arial" w:cs="Arial" w:eastAsia="Arial" w:hAnsi="Arial"/>
                <w:sz w:val="11"/>
                <w:szCs w:val="11"/>
                <w:b w:val="1"/>
                <w:bCs w:val="1"/>
                <w:color w:val="auto"/>
              </w:rPr>
              <w:t>Travel</w:t>
            </w:r>
          </w:p>
        </w:tc>
        <w:tc>
          <w:tcPr>
            <w:tcW w:w="120" w:type="dxa"/>
            <w:vAlign w:val="bottom"/>
          </w:tcPr>
          <w:p>
            <w:pPr>
              <w:spacing w:after="0"/>
              <w:rPr>
                <w:sz w:val="10"/>
                <w:szCs w:val="10"/>
                <w:color w:val="auto"/>
              </w:rPr>
            </w:pPr>
          </w:p>
        </w:tc>
        <w:tc>
          <w:tcPr>
            <w:tcW w:w="980" w:type="dxa"/>
            <w:vAlign w:val="bottom"/>
            <w:gridSpan w:val="4"/>
          </w:tcPr>
          <w:p>
            <w:pPr>
              <w:jc w:val="center"/>
              <w:ind w:left="303"/>
              <w:spacing w:after="0" w:line="123" w:lineRule="exact"/>
              <w:rPr>
                <w:sz w:val="20"/>
                <w:szCs w:val="20"/>
                <w:color w:val="auto"/>
              </w:rPr>
            </w:pPr>
            <w:r>
              <w:rPr>
                <w:rFonts w:ascii="Arial" w:cs="Arial" w:eastAsia="Arial" w:hAnsi="Arial"/>
                <w:sz w:val="11"/>
                <w:szCs w:val="11"/>
                <w:b w:val="1"/>
                <w:bCs w:val="1"/>
                <w:color w:val="auto"/>
              </w:rPr>
              <w:t>Hospitality</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59"/>
        </w:trPr>
        <w:tc>
          <w:tcPr>
            <w:tcW w:w="52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ind w:right="406"/>
              <w:spacing w:after="0"/>
              <w:rPr>
                <w:sz w:val="20"/>
                <w:szCs w:val="20"/>
                <w:color w:val="auto"/>
              </w:rPr>
            </w:pPr>
            <w:r>
              <w:rPr>
                <w:rFonts w:ascii="Arial" w:cs="Arial" w:eastAsia="Arial" w:hAnsi="Arial"/>
                <w:sz w:val="11"/>
                <w:szCs w:val="11"/>
                <w:b w:val="1"/>
                <w:bCs w:val="1"/>
                <w:color w:val="auto"/>
              </w:rPr>
              <w:t>Network</w:t>
            </w:r>
          </w:p>
        </w:tc>
        <w:tc>
          <w:tcPr>
            <w:tcW w:w="1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gridSpan w:val="4"/>
          </w:tcPr>
          <w:p>
            <w:pPr>
              <w:jc w:val="center"/>
              <w:ind w:left="323"/>
              <w:spacing w:after="0"/>
              <w:rPr>
                <w:sz w:val="20"/>
                <w:szCs w:val="20"/>
                <w:color w:val="auto"/>
              </w:rPr>
            </w:pPr>
            <w:r>
              <w:rPr>
                <w:rFonts w:ascii="Arial" w:cs="Arial" w:eastAsia="Arial" w:hAnsi="Arial"/>
                <w:sz w:val="11"/>
                <w:szCs w:val="11"/>
                <w:b w:val="1"/>
                <w:bCs w:val="1"/>
                <w:color w:val="auto"/>
              </w:rPr>
              <w:t>Solutions</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1"/>
                <w:szCs w:val="11"/>
                <w:b w:val="1"/>
                <w:bCs w:val="1"/>
                <w:color w:val="auto"/>
              </w:rPr>
              <w:t>Corporate</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1"/>
                <w:szCs w:val="11"/>
                <w:b w:val="1"/>
                <w:bCs w:val="1"/>
                <w:color w:val="auto"/>
              </w:rPr>
              <w:t>Total</w:t>
            </w:r>
          </w:p>
        </w:tc>
      </w:tr>
      <w:tr>
        <w:trPr>
          <w:trHeight w:val="233"/>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w w:val="99"/>
              </w:rPr>
              <w:t>670,778</w:t>
            </w:r>
          </w:p>
        </w:tc>
        <w:tc>
          <w:tcPr>
            <w:tcW w:w="620" w:type="dxa"/>
            <w:vAlign w:val="bottom"/>
            <w:gridSpan w:val="2"/>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860" w:type="dxa"/>
            <w:vAlign w:val="bottom"/>
            <w:gridSpan w:val="4"/>
            <w:shd w:val="clear" w:color="auto" w:fill="CCEEFF"/>
          </w:tcPr>
          <w:p>
            <w:pPr>
              <w:jc w:val="right"/>
              <w:ind w:right="27"/>
              <w:spacing w:after="0"/>
              <w:rPr>
                <w:sz w:val="20"/>
                <w:szCs w:val="20"/>
                <w:color w:val="auto"/>
              </w:rPr>
            </w:pPr>
            <w:r>
              <w:rPr>
                <w:rFonts w:ascii="Arial" w:cs="Arial" w:eastAsia="Arial" w:hAnsi="Arial"/>
                <w:sz w:val="15"/>
                <w:szCs w:val="15"/>
                <w:color w:val="auto"/>
              </w:rPr>
              <w:t>114,272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(791,636)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(6,586)</w:t>
            </w:r>
          </w:p>
        </w:tc>
      </w:tr>
      <w:tr>
        <w:trPr>
          <w:trHeight w:val="237"/>
        </w:trPr>
        <w:tc>
          <w:tcPr>
            <w:tcW w:w="5260" w:type="dxa"/>
            <w:vAlign w:val="bottom"/>
          </w:tcPr>
          <w:p>
            <w:pPr>
              <w:ind w:left="20"/>
              <w:spacing w:after="0"/>
              <w:rPr>
                <w:sz w:val="20"/>
                <w:szCs w:val="20"/>
                <w:color w:val="auto"/>
              </w:rPr>
            </w:pPr>
            <w:r>
              <w:rPr>
                <w:rFonts w:ascii="Arial" w:cs="Arial" w:eastAsia="Arial" w:hAnsi="Arial"/>
                <w:sz w:val="15"/>
                <w:szCs w:val="15"/>
                <w:color w:val="auto"/>
              </w:rPr>
              <w:t>Add back:</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4"/>
        </w:trPr>
        <w:tc>
          <w:tcPr>
            <w:tcW w:w="52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w w:val="99"/>
              </w:rPr>
              <w:t>101,934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27"/>
              <w:spacing w:after="0"/>
              <w:rPr>
                <w:sz w:val="20"/>
                <w:szCs w:val="20"/>
                <w:color w:val="auto"/>
              </w:rPr>
            </w:pPr>
            <w:r>
              <w:rPr>
                <w:rFonts w:ascii="Arial" w:cs="Arial" w:eastAsia="Arial" w:hAnsi="Arial"/>
                <w:sz w:val="15"/>
                <w:szCs w:val="15"/>
                <w:color w:val="auto"/>
              </w:rPr>
              <w:t>52,754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638,606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793,294</w:t>
            </w:r>
          </w:p>
        </w:tc>
      </w:tr>
      <w:tr>
        <w:trPr>
          <w:trHeight w:val="245"/>
        </w:trPr>
        <w:tc>
          <w:tcPr>
            <w:tcW w:w="5260" w:type="dxa"/>
            <w:vAlign w:val="bottom"/>
          </w:tcPr>
          <w:p>
            <w:pPr>
              <w:ind w:left="240"/>
              <w:spacing w:after="0"/>
              <w:rPr>
                <w:sz w:val="20"/>
                <w:szCs w:val="20"/>
                <w:color w:val="auto"/>
              </w:rPr>
            </w:pPr>
            <w:r>
              <w:rPr>
                <w:rFonts w:ascii="Arial" w:cs="Arial" w:eastAsia="Arial" w:hAnsi="Arial"/>
                <w:sz w:val="15"/>
                <w:szCs w:val="15"/>
                <w:color w:val="auto"/>
              </w:rPr>
              <w:t>Impairment</w:t>
            </w:r>
            <w:r>
              <w:rPr>
                <w:rFonts w:ascii="Arial" w:cs="Arial" w:eastAsia="Arial" w:hAnsi="Arial"/>
                <w:sz w:val="19"/>
                <w:szCs w:val="19"/>
                <w:color w:val="auto"/>
                <w:vertAlign w:val="superscript"/>
              </w:rPr>
              <w:t>(2)</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20,254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5"/>
                <w:szCs w:val="15"/>
                <w:color w:val="auto"/>
              </w:rPr>
              <w:t>20,254</w:t>
            </w:r>
          </w:p>
        </w:tc>
      </w:tr>
      <w:tr>
        <w:trPr>
          <w:trHeight w:val="245"/>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 adjustments:</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5"/>
        </w:trPr>
        <w:tc>
          <w:tcPr>
            <w:tcW w:w="5260" w:type="dxa"/>
            <w:vAlign w:val="bottom"/>
          </w:tcPr>
          <w:p>
            <w:pPr>
              <w:ind w:left="22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gridSpan w:val="3"/>
          </w:tcPr>
          <w:p>
            <w:pPr>
              <w:jc w:val="right"/>
              <w:ind w:right="46"/>
              <w:spacing w:after="0"/>
              <w:rPr>
                <w:sz w:val="20"/>
                <w:szCs w:val="20"/>
                <w:color w:val="auto"/>
              </w:rPr>
            </w:pPr>
            <w:r>
              <w:rPr>
                <w:rFonts w:ascii="Arial" w:cs="Arial" w:eastAsia="Arial" w:hAnsi="Arial"/>
                <w:sz w:val="15"/>
                <w:szCs w:val="15"/>
                <w:color w:val="auto"/>
              </w:rPr>
              <w:t>34,624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4"/>
          </w:tcPr>
          <w:p>
            <w:pPr>
              <w:jc w:val="right"/>
              <w:ind w:right="27"/>
              <w:spacing w:after="0"/>
              <w:rPr>
                <w:sz w:val="20"/>
                <w:szCs w:val="20"/>
                <w:color w:val="auto"/>
              </w:rPr>
            </w:pPr>
            <w:r>
              <w:rPr>
                <w:rFonts w:ascii="Arial" w:cs="Arial" w:eastAsia="Arial" w:hAnsi="Arial"/>
                <w:sz w:val="15"/>
                <w:szCs w:val="15"/>
                <w:color w:val="auto"/>
              </w:rPr>
              <w:t>51,395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63,456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5"/>
                <w:szCs w:val="15"/>
                <w:color w:val="auto"/>
              </w:rPr>
              <w:t>149,475</w:t>
            </w:r>
          </w:p>
        </w:tc>
      </w:tr>
      <w:tr>
        <w:trPr>
          <w:trHeight w:val="245"/>
        </w:trPr>
        <w:tc>
          <w:tcPr>
            <w:tcW w:w="5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Amortization of upfront incentive consideration</w:t>
            </w:r>
            <w:r>
              <w:rPr>
                <w:rFonts w:ascii="Arial" w:cs="Arial" w:eastAsia="Arial" w:hAnsi="Arial"/>
                <w:sz w:val="19"/>
                <w:szCs w:val="19"/>
                <w:color w:val="auto"/>
                <w:vertAlign w:val="superscript"/>
              </w:rPr>
              <w:t>(4)</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36,527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36,527</w:t>
            </w:r>
          </w:p>
        </w:tc>
      </w:tr>
      <w:tr>
        <w:trPr>
          <w:trHeight w:val="245"/>
        </w:trPr>
        <w:tc>
          <w:tcPr>
            <w:tcW w:w="5260" w:type="dxa"/>
            <w:vAlign w:val="bottom"/>
          </w:tcPr>
          <w:p>
            <w:pPr>
              <w:ind w:left="160"/>
              <w:spacing w:after="0"/>
              <w:rPr>
                <w:sz w:val="20"/>
                <w:szCs w:val="20"/>
                <w:color w:val="auto"/>
              </w:rPr>
            </w:pPr>
            <w:r>
              <w:rPr>
                <w:rFonts w:ascii="Arial" w:cs="Arial" w:eastAsia="Arial" w:hAnsi="Arial"/>
                <w:sz w:val="15"/>
                <w:szCs w:val="15"/>
                <w:color w:val="auto"/>
              </w:rPr>
              <w:t>Restructuring and other costs</w:t>
            </w:r>
            <w:r>
              <w:rPr>
                <w:rFonts w:ascii="Arial" w:cs="Arial" w:eastAsia="Arial" w:hAnsi="Arial"/>
                <w:sz w:val="19"/>
                <w:szCs w:val="19"/>
                <w:color w:val="auto"/>
                <w:vertAlign w:val="superscript"/>
              </w:rPr>
              <w:t>(6)</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4,283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5"/>
                <w:szCs w:val="15"/>
                <w:color w:val="auto"/>
              </w:rPr>
              <w:t>4,283</w:t>
            </w:r>
          </w:p>
        </w:tc>
      </w:tr>
      <w:tr>
        <w:trPr>
          <w:trHeight w:val="245"/>
        </w:trPr>
        <w:tc>
          <w:tcPr>
            <w:tcW w:w="5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Litigation costs</w:t>
            </w:r>
            <w:r>
              <w:rPr>
                <w:rFonts w:ascii="Arial" w:cs="Arial" w:eastAsia="Arial" w:hAnsi="Arial"/>
                <w:sz w:val="19"/>
                <w:szCs w:val="19"/>
                <w:color w:val="auto"/>
                <w:vertAlign w:val="superscript"/>
              </w:rPr>
              <w:t>(8)</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38"/>
        </w:trPr>
        <w:tc>
          <w:tcPr>
            <w:tcW w:w="5260" w:type="dxa"/>
            <w:vAlign w:val="bottom"/>
          </w:tcPr>
          <w:p>
            <w:pPr>
              <w:ind w:left="160"/>
              <w:spacing w:after="0"/>
              <w:rPr>
                <w:sz w:val="20"/>
                <w:szCs w:val="20"/>
                <w:color w:val="auto"/>
              </w:rPr>
            </w:pPr>
            <w:r>
              <w:rPr>
                <w:rFonts w:ascii="Arial" w:cs="Arial" w:eastAsia="Arial" w:hAnsi="Arial"/>
                <w:sz w:val="15"/>
                <w:szCs w:val="15"/>
                <w:color w:val="auto"/>
              </w:rPr>
              <w:t>Stock-based compensation</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1,383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5"/>
                <w:szCs w:val="15"/>
                <w:color w:val="auto"/>
              </w:rPr>
              <w:t>1,383</w:t>
            </w:r>
          </w:p>
        </w:tc>
      </w:tr>
      <w:tr>
        <w:trPr>
          <w:trHeight w:val="23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Gross Profit</w:t>
            </w:r>
          </w:p>
        </w:tc>
        <w:tc>
          <w:tcPr>
            <w:tcW w:w="3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gridSpan w:val="3"/>
            <w:shd w:val="clear" w:color="auto" w:fill="CCEEFF"/>
          </w:tcPr>
          <w:p>
            <w:pPr>
              <w:jc w:val="right"/>
              <w:ind w:right="46"/>
              <w:spacing w:after="0"/>
              <w:rPr>
                <w:sz w:val="20"/>
                <w:szCs w:val="20"/>
                <w:color w:val="auto"/>
              </w:rPr>
            </w:pPr>
            <w:r>
              <w:rPr>
                <w:rFonts w:ascii="Arial" w:cs="Arial" w:eastAsia="Arial" w:hAnsi="Arial"/>
                <w:sz w:val="15"/>
                <w:szCs w:val="15"/>
                <w:color w:val="auto"/>
                <w:w w:val="99"/>
              </w:rPr>
              <w:t>843,863</w:t>
            </w: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gridSpan w:val="4"/>
            <w:shd w:val="clear" w:color="auto" w:fill="CCEEFF"/>
          </w:tcPr>
          <w:p>
            <w:pPr>
              <w:jc w:val="right"/>
              <w:ind w:right="27"/>
              <w:spacing w:after="0"/>
              <w:rPr>
                <w:sz w:val="20"/>
                <w:szCs w:val="20"/>
                <w:color w:val="auto"/>
              </w:rPr>
            </w:pPr>
            <w:r>
              <w:rPr>
                <w:rFonts w:ascii="Arial" w:cs="Arial" w:eastAsia="Arial" w:hAnsi="Arial"/>
                <w:sz w:val="15"/>
                <w:szCs w:val="15"/>
                <w:color w:val="auto"/>
              </w:rPr>
              <w:t>218,421</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(63,677)</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998,607</w:t>
            </w:r>
          </w:p>
        </w:tc>
      </w:tr>
      <w:tr>
        <w:trPr>
          <w:trHeight w:val="237"/>
        </w:trPr>
        <w:tc>
          <w:tcPr>
            <w:tcW w:w="526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jc w:val="right"/>
              <w:ind w:right="6"/>
              <w:spacing w:after="0"/>
              <w:rPr>
                <w:sz w:val="20"/>
                <w:szCs w:val="20"/>
                <w:color w:val="auto"/>
              </w:rPr>
            </w:pPr>
            <w:r>
              <w:rPr>
                <w:rFonts w:ascii="Arial" w:cs="Arial" w:eastAsia="Arial" w:hAnsi="Arial"/>
                <w:sz w:val="15"/>
                <w:szCs w:val="15"/>
                <w:color w:val="auto"/>
              </w:rPr>
              <w:t>(101,934)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(52,754)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(638,606)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(793,294)</w:t>
            </w:r>
          </w:p>
        </w:tc>
      </w:tr>
      <w:tr>
        <w:trPr>
          <w:trHeight w:val="254"/>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Joint venture equity income</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21,287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21,287</w:t>
            </w:r>
          </w:p>
        </w:tc>
      </w:tr>
      <w:tr>
        <w:trPr>
          <w:trHeight w:val="245"/>
        </w:trPr>
        <w:tc>
          <w:tcPr>
            <w:tcW w:w="5260" w:type="dxa"/>
            <w:vAlign w:val="bottom"/>
          </w:tcPr>
          <w:p>
            <w:pPr>
              <w:ind w:left="20"/>
              <w:spacing w:after="0"/>
              <w:rPr>
                <w:sz w:val="20"/>
                <w:szCs w:val="20"/>
                <w:color w:val="auto"/>
              </w:rPr>
            </w:pPr>
            <w:r>
              <w:rPr>
                <w:rFonts w:ascii="Arial" w:cs="Arial" w:eastAsia="Arial" w:hAnsi="Arial"/>
                <w:sz w:val="15"/>
                <w:szCs w:val="15"/>
                <w:color w:val="auto"/>
              </w:rPr>
              <w:t>Joint venture intangible amortization</w:t>
            </w:r>
            <w:r>
              <w:rPr>
                <w:rFonts w:ascii="Arial" w:cs="Arial" w:eastAsia="Arial" w:hAnsi="Arial"/>
                <w:sz w:val="19"/>
                <w:szCs w:val="19"/>
                <w:color w:val="auto"/>
                <w:vertAlign w:val="superscript"/>
              </w:rPr>
              <w:t>(3a)</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gridSpan w:val="3"/>
          </w:tcPr>
          <w:p>
            <w:pPr>
              <w:jc w:val="right"/>
              <w:ind w:right="46"/>
              <w:spacing w:after="0"/>
              <w:rPr>
                <w:sz w:val="20"/>
                <w:szCs w:val="20"/>
                <w:color w:val="auto"/>
              </w:rPr>
            </w:pPr>
            <w:r>
              <w:rPr>
                <w:rFonts w:ascii="Arial" w:cs="Arial" w:eastAsia="Arial" w:hAnsi="Arial"/>
                <w:sz w:val="15"/>
                <w:szCs w:val="15"/>
                <w:color w:val="auto"/>
              </w:rPr>
              <w:t>3,200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5"/>
                <w:szCs w:val="15"/>
                <w:color w:val="auto"/>
              </w:rPr>
              <w:t>3,200</w:t>
            </w:r>
          </w:p>
        </w:tc>
      </w:tr>
      <w:tr>
        <w:trPr>
          <w:trHeight w:val="245"/>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adjustments:</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5"/>
        </w:trPr>
        <w:tc>
          <w:tcPr>
            <w:tcW w:w="5260" w:type="dxa"/>
            <w:vAlign w:val="bottom"/>
          </w:tcPr>
          <w:p>
            <w:pPr>
              <w:ind w:left="240"/>
              <w:spacing w:after="0"/>
              <w:rPr>
                <w:sz w:val="20"/>
                <w:szCs w:val="20"/>
                <w:color w:val="auto"/>
              </w:rPr>
            </w:pPr>
            <w:r>
              <w:rPr>
                <w:rFonts w:ascii="Arial" w:cs="Arial" w:eastAsia="Arial" w:hAnsi="Arial"/>
                <w:sz w:val="15"/>
                <w:szCs w:val="15"/>
                <w:color w:val="auto"/>
              </w:rPr>
              <w:t>Depreciation and amortization</w:t>
            </w:r>
            <w:r>
              <w:rPr>
                <w:rFonts w:ascii="Arial" w:cs="Arial" w:eastAsia="Arial" w:hAnsi="Arial"/>
                <w:sz w:val="19"/>
                <w:szCs w:val="19"/>
                <w:color w:val="auto"/>
                <w:vertAlign w:val="superscript"/>
              </w:rPr>
              <w:t>(3)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gridSpan w:val="3"/>
          </w:tcPr>
          <w:p>
            <w:pPr>
              <w:jc w:val="right"/>
              <w:ind w:right="46"/>
              <w:spacing w:after="0"/>
              <w:rPr>
                <w:sz w:val="20"/>
                <w:szCs w:val="20"/>
                <w:color w:val="auto"/>
              </w:rPr>
            </w:pPr>
            <w:r>
              <w:rPr>
                <w:rFonts w:ascii="Arial" w:cs="Arial" w:eastAsia="Arial" w:hAnsi="Arial"/>
                <w:sz w:val="15"/>
                <w:szCs w:val="15"/>
                <w:color w:val="auto"/>
              </w:rPr>
              <w:t>2,036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jc w:val="right"/>
              <w:ind w:right="27"/>
              <w:spacing w:after="0"/>
              <w:rPr>
                <w:sz w:val="20"/>
                <w:szCs w:val="20"/>
                <w:color w:val="auto"/>
              </w:rPr>
            </w:pPr>
            <w:r>
              <w:rPr>
                <w:rFonts w:ascii="Arial" w:cs="Arial" w:eastAsia="Arial" w:hAnsi="Arial"/>
                <w:sz w:val="15"/>
                <w:szCs w:val="15"/>
                <w:color w:val="auto"/>
              </w:rPr>
              <w:t>615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90,650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5"/>
                <w:szCs w:val="15"/>
                <w:color w:val="auto"/>
              </w:rPr>
              <w:t>93,301</w:t>
            </w:r>
          </w:p>
        </w:tc>
      </w:tr>
      <w:tr>
        <w:trPr>
          <w:trHeight w:val="245"/>
        </w:trPr>
        <w:tc>
          <w:tcPr>
            <w:tcW w:w="52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 xml:space="preserve">Restructuring and other costs </w:t>
            </w:r>
            <w:r>
              <w:rPr>
                <w:rFonts w:ascii="Arial" w:cs="Arial" w:eastAsia="Arial" w:hAnsi="Arial"/>
                <w:sz w:val="19"/>
                <w:szCs w:val="19"/>
                <w:color w:val="auto"/>
                <w:vertAlign w:val="superscript"/>
              </w:rPr>
              <w:t>(6)</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1,125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1,125</w:t>
            </w:r>
          </w:p>
        </w:tc>
      </w:tr>
      <w:tr>
        <w:trPr>
          <w:trHeight w:val="245"/>
        </w:trPr>
        <w:tc>
          <w:tcPr>
            <w:tcW w:w="5260" w:type="dxa"/>
            <w:vAlign w:val="bottom"/>
          </w:tcPr>
          <w:p>
            <w:pPr>
              <w:ind w:left="240"/>
              <w:spacing w:after="0"/>
              <w:rPr>
                <w:sz w:val="20"/>
                <w:szCs w:val="20"/>
                <w:color w:val="auto"/>
              </w:rPr>
            </w:pPr>
            <w:r>
              <w:rPr>
                <w:rFonts w:ascii="Arial" w:cs="Arial" w:eastAsia="Arial" w:hAnsi="Arial"/>
                <w:sz w:val="15"/>
                <w:szCs w:val="15"/>
                <w:color w:val="auto"/>
              </w:rPr>
              <w:t>Litigation costs</w:t>
            </w:r>
            <w:r>
              <w:rPr>
                <w:rFonts w:ascii="Arial" w:cs="Arial" w:eastAsia="Arial" w:hAnsi="Arial"/>
                <w:sz w:val="19"/>
                <w:szCs w:val="19"/>
                <w:color w:val="auto"/>
                <w:vertAlign w:val="superscript"/>
              </w:rPr>
              <w:t>(8)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396,435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5"/>
                <w:szCs w:val="15"/>
                <w:color w:val="auto"/>
              </w:rPr>
              <w:t>396,435</w:t>
            </w:r>
          </w:p>
        </w:tc>
      </w:tr>
      <w:tr>
        <w:trPr>
          <w:trHeight w:val="245"/>
        </w:trPr>
        <w:tc>
          <w:tcPr>
            <w:tcW w:w="52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2,982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2,982</w:t>
            </w:r>
          </w:p>
        </w:tc>
      </w:tr>
      <w:tr>
        <w:trPr>
          <w:trHeight w:val="245"/>
        </w:trPr>
        <w:tc>
          <w:tcPr>
            <w:tcW w:w="526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Management fees</w:t>
            </w:r>
            <w:r>
              <w:rPr>
                <w:rFonts w:ascii="Arial" w:cs="Arial" w:eastAsia="Arial" w:hAnsi="Arial"/>
                <w:sz w:val="19"/>
                <w:szCs w:val="19"/>
                <w:color w:val="auto"/>
                <w:vertAlign w:val="superscript"/>
              </w:rPr>
              <w:t>(9)</w:t>
            </w: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7,769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7,769</w:t>
            </w: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w w:val="99"/>
              </w:rPr>
              <w:t>768,452</w:t>
            </w:r>
          </w:p>
        </w:tc>
        <w:tc>
          <w:tcPr>
            <w:tcW w:w="620" w:type="dxa"/>
            <w:vAlign w:val="bottom"/>
            <w:gridSpan w:val="2"/>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860" w:type="dxa"/>
            <w:vAlign w:val="bottom"/>
            <w:gridSpan w:val="4"/>
            <w:shd w:val="clear" w:color="auto" w:fill="CCEEFF"/>
          </w:tcPr>
          <w:p>
            <w:pPr>
              <w:jc w:val="right"/>
              <w:ind w:right="27"/>
              <w:spacing w:after="0"/>
              <w:rPr>
                <w:sz w:val="20"/>
                <w:szCs w:val="20"/>
                <w:color w:val="auto"/>
              </w:rPr>
            </w:pPr>
            <w:r>
              <w:rPr>
                <w:rFonts w:ascii="Arial" w:cs="Arial" w:eastAsia="Arial" w:hAnsi="Arial"/>
                <w:sz w:val="15"/>
                <w:szCs w:val="15"/>
                <w:color w:val="auto"/>
              </w:rPr>
              <w:t>166,282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(203,322)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731,412</w:t>
            </w: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55"/>
        </w:trPr>
        <w:tc>
          <w:tcPr>
            <w:tcW w:w="6320" w:type="dxa"/>
            <w:vAlign w:val="bottom"/>
            <w:gridSpan w:val="4"/>
          </w:tcPr>
          <w:p>
            <w:pPr>
              <w:ind w:left="460"/>
              <w:spacing w:after="0"/>
              <w:rPr>
                <w:sz w:val="20"/>
                <w:szCs w:val="20"/>
                <w:color w:val="auto"/>
              </w:rPr>
            </w:pPr>
            <w:r>
              <w:rPr>
                <w:rFonts w:ascii="Arial" w:cs="Arial" w:eastAsia="Arial" w:hAnsi="Arial"/>
                <w:sz w:val="15"/>
                <w:szCs w:val="15"/>
                <w:color w:val="auto"/>
              </w:rPr>
              <w:t>The components of Adjusted Capital Expenditures are presented below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9"/>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1"/>
                <w:szCs w:val="11"/>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38"/>
        </w:trPr>
        <w:tc>
          <w:tcPr>
            <w:tcW w:w="5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w w:val="97"/>
              </w:rPr>
              <w:t>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1"/>
                <w:szCs w:val="11"/>
                <w:b w:val="1"/>
                <w:bCs w:val="1"/>
                <w:color w:val="auto"/>
                <w:w w:val="97"/>
              </w:rPr>
              <w:t>2015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2014</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2013</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1"/>
                <w:szCs w:val="11"/>
                <w:b w:val="1"/>
                <w:bCs w:val="1"/>
                <w:color w:val="auto"/>
              </w:rPr>
              <w:t>2012</w:t>
            </w:r>
          </w:p>
        </w:tc>
      </w:tr>
      <w:tr>
        <w:trPr>
          <w:trHeight w:val="233"/>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to property and equipment</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327,647</w:t>
            </w:r>
          </w:p>
        </w:tc>
        <w:tc>
          <w:tcPr>
            <w:tcW w:w="680" w:type="dxa"/>
            <w:vAlign w:val="bottom"/>
            <w:gridSpan w:val="3"/>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286,697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227,227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209,523</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167,043</w:t>
            </w:r>
          </w:p>
        </w:tc>
      </w:tr>
      <w:tr>
        <w:trPr>
          <w:trHeight w:val="23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Capitalized implementation costs</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83,405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63,382</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5"/>
                <w:szCs w:val="15"/>
                <w:color w:val="auto"/>
              </w:rPr>
              <w:t>37,811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58,814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78,543</w:t>
            </w:r>
          </w:p>
        </w:tc>
      </w:tr>
      <w:tr>
        <w:trPr>
          <w:trHeight w:val="213"/>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capital expenditures</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411,052</w:t>
            </w:r>
          </w:p>
        </w:tc>
        <w:tc>
          <w:tcPr>
            <w:tcW w:w="680" w:type="dxa"/>
            <w:vAlign w:val="bottom"/>
            <w:gridSpan w:val="3"/>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350,079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46"/>
              <w:spacing w:after="0"/>
              <w:rPr>
                <w:sz w:val="20"/>
                <w:szCs w:val="20"/>
                <w:color w:val="auto"/>
              </w:rPr>
            </w:pPr>
            <w:r>
              <w:rPr>
                <w:rFonts w:ascii="Arial" w:cs="Arial" w:eastAsia="Arial" w:hAnsi="Arial"/>
                <w:sz w:val="15"/>
                <w:szCs w:val="15"/>
                <w:color w:val="auto"/>
              </w:rPr>
              <w:t>265,038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268,337</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245,586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2" w:firstLine="454"/>
        <w:spacing w:after="0" w:line="245" w:lineRule="auto"/>
        <w:rPr>
          <w:sz w:val="20"/>
          <w:szCs w:val="20"/>
          <w:color w:val="auto"/>
        </w:rPr>
      </w:pPr>
      <w:r>
        <w:rPr>
          <w:rFonts w:ascii="Arial" w:cs="Arial" w:eastAsia="Arial" w:hAnsi="Arial"/>
          <w:sz w:val="15"/>
          <w:szCs w:val="15"/>
          <w:color w:val="auto"/>
        </w:rPr>
        <w:t>The following tables present information from our statements of cash flows and sets forth the reconciliation of Free Cash Flow to cash provided by operating activities, the most directly comparable GAAP measure (in thousands):</w:t>
      </w:r>
    </w:p>
    <w:p>
      <w:pPr>
        <w:spacing w:after="0" w:line="240"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5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2015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2012</w:t>
            </w:r>
          </w:p>
        </w:tc>
        <w:tc>
          <w:tcPr>
            <w:tcW w:w="0" w:type="dxa"/>
            <w:vAlign w:val="bottom"/>
          </w:tcPr>
          <w:p>
            <w:pPr>
              <w:spacing w:after="0"/>
              <w:rPr>
                <w:sz w:val="1"/>
                <w:szCs w:val="1"/>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699,400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529,207</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387,659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228,232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308,164</w:t>
            </w: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5"/>
                <w:szCs w:val="15"/>
                <w:color w:val="auto"/>
              </w:rPr>
              <w:t>Cash used in investing activities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(445,808)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(729,041)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(258,791)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5"/>
                <w:szCs w:val="15"/>
                <w:color w:val="auto"/>
              </w:rPr>
              <w:t>(239,999)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(209,815)</w:t>
            </w:r>
          </w:p>
        </w:tc>
        <w:tc>
          <w:tcPr>
            <w:tcW w:w="0" w:type="dxa"/>
            <w:vAlign w:val="bottom"/>
          </w:tcPr>
          <w:p>
            <w:pPr>
              <w:spacing w:after="0"/>
              <w:rPr>
                <w:sz w:val="1"/>
                <w:szCs w:val="1"/>
                <w:color w:val="auto"/>
              </w:rPr>
            </w:pPr>
          </w:p>
        </w:tc>
      </w:tr>
      <w:tr>
        <w:trPr>
          <w:trHeight w:val="254"/>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provided by (used in) financing activities</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(190,025)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93,144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262,172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(25,120)</w:t>
            </w:r>
          </w:p>
        </w:tc>
        <w:tc>
          <w:tcPr>
            <w:tcW w:w="0" w:type="dxa"/>
            <w:vAlign w:val="bottom"/>
          </w:tcPr>
          <w:p>
            <w:pPr>
              <w:spacing w:after="0"/>
              <w:rPr>
                <w:sz w:val="1"/>
                <w:szCs w:val="1"/>
                <w:color w:val="auto"/>
              </w:rPr>
            </w:pPr>
          </w:p>
        </w:tc>
      </w:tr>
      <w:tr>
        <w:trPr>
          <w:trHeight w:val="446"/>
        </w:trPr>
        <w:tc>
          <w:tcPr>
            <w:tcW w:w="5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2015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2012</w:t>
            </w:r>
          </w:p>
        </w:tc>
        <w:tc>
          <w:tcPr>
            <w:tcW w:w="0" w:type="dxa"/>
            <w:vAlign w:val="bottom"/>
          </w:tcPr>
          <w:p>
            <w:pPr>
              <w:spacing w:after="0"/>
              <w:rPr>
                <w:sz w:val="1"/>
                <w:szCs w:val="1"/>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699,400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529,207</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387,659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228,232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308,164</w:t>
            </w:r>
          </w:p>
        </w:tc>
        <w:tc>
          <w:tcPr>
            <w:tcW w:w="0" w:type="dxa"/>
            <w:vAlign w:val="bottom"/>
          </w:tcPr>
          <w:p>
            <w:pPr>
              <w:spacing w:after="0"/>
              <w:rPr>
                <w:sz w:val="1"/>
                <w:szCs w:val="1"/>
                <w:color w:val="auto"/>
              </w:rPr>
            </w:pPr>
          </w:p>
        </w:tc>
      </w:tr>
      <w:tr>
        <w:trPr>
          <w:trHeight w:val="23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Additions to property and equipment</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(327,647)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(286,697)</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(227,227)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(209,523)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(167,043)</w:t>
            </w: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Free Cash Flow</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371,753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242,510</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160,432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18,709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141,121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0"/>
                <w:szCs w:val="10"/>
                <w:color w:val="auto"/>
              </w:rPr>
              <w:t>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2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582" w:hanging="582"/>
        <w:spacing w:after="0" w:line="241" w:lineRule="auto"/>
        <w:tabs>
          <w:tab w:leader="none" w:pos="582"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Net income (loss) attributable to non-controlling interests represents an adjustment to include earnings allocated to non-controlling interest held in (i) Sabre Travel Network Middle East of 40% for all periods presented, (ii) Sabre Australia Technologies I Pty Ltd (“Sabre Pacific”) of 49% through February 24, 2012, the date we sold this business, (iii) Travelocity.com LLC of approximately 9.5% through December 31, 2012, the date we merged this minority interest back into our capital structure, (iv) Sabre Seyahat Dagitim Sistemleri A.S. of 40% beginning in April 2014, and (v) Abacus International Lanka Pte Ltd of 40% beginning in July 2015.</w:t>
      </w:r>
    </w:p>
    <w:p>
      <w:pPr>
        <w:spacing w:after="0" w:line="18" w:lineRule="exact"/>
        <w:rPr>
          <w:rFonts w:ascii="Arial" w:cs="Arial" w:eastAsia="Arial" w:hAnsi="Arial"/>
          <w:sz w:val="15"/>
          <w:szCs w:val="15"/>
          <w:color w:val="auto"/>
        </w:rPr>
      </w:pPr>
    </w:p>
    <w:p>
      <w:pPr>
        <w:ind w:left="582" w:right="60" w:hanging="582"/>
        <w:spacing w:after="0" w:line="245" w:lineRule="auto"/>
        <w:tabs>
          <w:tab w:leader="none" w:pos="582" w:val="left"/>
        </w:tabs>
        <w:numPr>
          <w:ilvl w:val="0"/>
          <w:numId w:val="19"/>
        </w:numPr>
        <w:rPr>
          <w:rFonts w:ascii="Arial" w:cs="Arial" w:eastAsia="Arial" w:hAnsi="Arial"/>
          <w:sz w:val="15"/>
          <w:szCs w:val="15"/>
          <w:color w:val="auto"/>
        </w:rPr>
      </w:pPr>
      <w:r>
        <w:rPr>
          <w:rFonts w:ascii="Arial" w:cs="Arial" w:eastAsia="Arial" w:hAnsi="Arial"/>
          <w:sz w:val="15"/>
          <w:szCs w:val="15"/>
          <w:color w:val="auto"/>
        </w:rPr>
        <w:t>Impairment charges in 2012, represent our share of impairment charges recorded by our previous equity method investment, SAPPL, for $24 million and a $20 million impairment charge on assets associated with an abandoned corporate facility.</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22"/>
          </w:cols>
          <w:pgMar w:left="238" w:top="856" w:right="239" w:bottom="1440" w:gutter="0" w:footer="0" w:header="0"/>
        </w:sectPr>
      </w:pPr>
    </w:p>
    <w:bookmarkStart w:id="35" w:name="page36"/>
    <w:bookmarkEnd w:id="35"/>
    <w:p>
      <w:pPr>
        <w:ind w:left="582" w:hanging="582"/>
        <w:spacing w:after="0"/>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Depreciation and amortization expenses:</w:t>
      </w:r>
    </w:p>
    <w:p>
      <w:pPr>
        <w:jc w:val="both"/>
        <w:ind w:left="1022" w:hanging="286"/>
        <w:spacing w:after="0" w:line="238" w:lineRule="auto"/>
        <w:tabs>
          <w:tab w:leader="none" w:pos="1022" w:val="left"/>
        </w:tabs>
        <w:numPr>
          <w:ilvl w:val="2"/>
          <w:numId w:val="20"/>
        </w:numPr>
        <w:rPr>
          <w:rFonts w:ascii="Arial" w:cs="Arial" w:eastAsia="Arial" w:hAnsi="Arial"/>
          <w:sz w:val="15"/>
          <w:szCs w:val="15"/>
          <w:color w:val="auto"/>
        </w:rPr>
      </w:pPr>
      <w:r>
        <w:rPr>
          <w:rFonts w:ascii="Arial" w:cs="Arial" w:eastAsia="Arial" w:hAnsi="Arial"/>
          <w:sz w:val="15"/>
          <w:szCs w:val="15"/>
          <w:color w:val="auto"/>
        </w:rPr>
        <w:t>Acquisition-related amortization represents amortization of intangible assets from the take-private transaction in 2007 as well as intangibles associated with acquisitions since that date. Also includes amortization of the excess basis in our underlying equity interest in SAPPL's net assets prior to our acquisition of SAPPL on July 1, 2015.</w:t>
      </w:r>
    </w:p>
    <w:p>
      <w:pPr>
        <w:spacing w:after="0" w:line="2" w:lineRule="exact"/>
        <w:rPr>
          <w:rFonts w:ascii="Arial" w:cs="Arial" w:eastAsia="Arial" w:hAnsi="Arial"/>
          <w:sz w:val="15"/>
          <w:szCs w:val="15"/>
          <w:color w:val="auto"/>
        </w:rPr>
      </w:pPr>
    </w:p>
    <w:p>
      <w:pPr>
        <w:ind w:left="1022" w:hanging="286"/>
        <w:spacing w:after="0"/>
        <w:tabs>
          <w:tab w:leader="none" w:pos="1022" w:val="left"/>
        </w:tabs>
        <w:numPr>
          <w:ilvl w:val="2"/>
          <w:numId w:val="20"/>
        </w:numPr>
        <w:rPr>
          <w:rFonts w:ascii="Arial" w:cs="Arial" w:eastAsia="Arial" w:hAnsi="Arial"/>
          <w:sz w:val="15"/>
          <w:szCs w:val="15"/>
          <w:color w:val="auto"/>
        </w:rPr>
      </w:pPr>
      <w:r>
        <w:rPr>
          <w:rFonts w:ascii="Arial" w:cs="Arial" w:eastAsia="Arial" w:hAnsi="Arial"/>
          <w:sz w:val="15"/>
          <w:szCs w:val="15"/>
          <w:color w:val="auto"/>
        </w:rPr>
        <w:t>Depreciation and amortization of property and equipment includes software developed for internal use.</w:t>
      </w:r>
    </w:p>
    <w:p>
      <w:pPr>
        <w:ind w:left="1022" w:right="300" w:hanging="286"/>
        <w:spacing w:after="0" w:line="245" w:lineRule="auto"/>
        <w:tabs>
          <w:tab w:leader="none" w:pos="1022" w:val="left"/>
        </w:tabs>
        <w:numPr>
          <w:ilvl w:val="2"/>
          <w:numId w:val="20"/>
        </w:numPr>
        <w:rPr>
          <w:rFonts w:ascii="Arial" w:cs="Arial" w:eastAsia="Arial" w:hAnsi="Arial"/>
          <w:sz w:val="15"/>
          <w:szCs w:val="15"/>
          <w:color w:val="auto"/>
        </w:rPr>
      </w:pPr>
      <w:r>
        <w:rPr>
          <w:rFonts w:ascii="Arial" w:cs="Arial" w:eastAsia="Arial" w:hAnsi="Arial"/>
          <w:sz w:val="15"/>
          <w:szCs w:val="15"/>
          <w:color w:val="auto"/>
        </w:rPr>
        <w:t>Amortization of capitalized implementation costs represents amortization of upfront costs to implement new customer contracts under our SaaS and hosted revenue model.</w:t>
      </w:r>
    </w:p>
    <w:p>
      <w:pPr>
        <w:spacing w:after="0" w:line="15" w:lineRule="exact"/>
        <w:rPr>
          <w:rFonts w:ascii="Arial" w:cs="Arial" w:eastAsia="Arial" w:hAnsi="Arial"/>
          <w:sz w:val="15"/>
          <w:szCs w:val="15"/>
          <w:color w:val="auto"/>
        </w:rPr>
      </w:pPr>
    </w:p>
    <w:p>
      <w:pPr>
        <w:jc w:val="both"/>
        <w:ind w:left="582" w:hanging="582"/>
        <w:spacing w:after="0"/>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This consideration is made with the objective of increasing the number of clients or to ensure or improve customer loyalty. These service contract terms are established such that the supplier and other fees generated over the life of the contract will exceed the cost of the incentive consideration provided upfront. These service contracts with travel agency subscribers require that the customer commit to achieving certain economic objectives and generally have terms requiring repayment of the upfront incentive consideration if those objectives are not met.</w:t>
      </w:r>
    </w:p>
    <w:p>
      <w:pPr>
        <w:spacing w:after="0" w:line="19" w:lineRule="exact"/>
        <w:rPr>
          <w:rFonts w:ascii="Arial" w:cs="Arial" w:eastAsia="Arial" w:hAnsi="Arial"/>
          <w:sz w:val="15"/>
          <w:szCs w:val="15"/>
          <w:color w:val="auto"/>
        </w:rPr>
      </w:pPr>
    </w:p>
    <w:p>
      <w:pPr>
        <w:jc w:val="both"/>
        <w:ind w:left="582" w:hanging="582"/>
        <w:spacing w:after="0" w:line="239" w:lineRule="auto"/>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2016, other, net primarily includes a gain of $15 million in the fourth quarter from the sale of our available-for-sale marketable securities, and $6 million gain from the first quarter associated with the receipt of an earn-out payment related to the sale of a business in 2013. In 2015, we recognized a gain of $78 million associated with the remeasurement of our previously-held 35% investment in SAPPL to its fair value and a gain of $12 million related to the settlement of pre-existing agreements between us and SAPPL. In 2014, other, net primarily includes a fourth quarter charge of $66 million as a result of an increase to our tax receivable agreement (“TRA”) liability. The increase in our TRA liability is due to a reduction in a valuation allowance maintained against our deferred tax assets. This charge is fully offset by an income tax benefit recognized in the fourth quarter of 2014 from the reduction in the valuation allowance which is included in tax impacts of net income adjustments. In addition, all periods presented include foreign exchange gains and losses related to the remeasurement of foreign currency denominated balances included in our consolidated balance sheets into the relevant functional currency. See Item 7, “Management’s Discussion and Analysis of Financial Condition and Results of Operations—Liquidity and Capital Resources—Tax Receivable Agreement” for additional information regarding the TRA.</w:t>
      </w:r>
    </w:p>
    <w:p>
      <w:pPr>
        <w:spacing w:after="0" w:line="24" w:lineRule="exact"/>
        <w:rPr>
          <w:rFonts w:ascii="Arial" w:cs="Arial" w:eastAsia="Arial" w:hAnsi="Arial"/>
          <w:sz w:val="15"/>
          <w:szCs w:val="15"/>
          <w:color w:val="auto"/>
        </w:rPr>
      </w:pPr>
    </w:p>
    <w:p>
      <w:pPr>
        <w:jc w:val="both"/>
        <w:ind w:left="582" w:hanging="582"/>
        <w:spacing w:after="0"/>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 In 2016, we recognized a $20 million charge to implement a plan to restructure a portion of our global workforce in support of funding our efforts to modernize our technology infrastructure, as well as to align and improve our operational efficiency to reflect expected changes by customers on implementation schedules for certain of Sabre Airline Solutions products, most of which will be paid in 2017. In 2015, we recognized a restructuring charge of $9 million associated with the integration of Abacus, of which $2 million was paid as of December 31, 2016. In 2016, we reduced our restructuring liability by $4 million as a result of the reevaluation of our plan derived from a shift in timing and strategy of originally contemplated actions.</w:t>
      </w:r>
    </w:p>
    <w:p>
      <w:pPr>
        <w:spacing w:after="0" w:line="19" w:lineRule="exact"/>
        <w:rPr>
          <w:rFonts w:ascii="Arial" w:cs="Arial" w:eastAsia="Arial" w:hAnsi="Arial"/>
          <w:sz w:val="15"/>
          <w:szCs w:val="15"/>
          <w:color w:val="auto"/>
        </w:rPr>
      </w:pPr>
    </w:p>
    <w:p>
      <w:pPr>
        <w:ind w:left="582" w:hanging="582"/>
        <w:spacing w:after="0"/>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Acquisition-related costs represent fees and expenses incurred associated with the acquisition of Abacus, the Trust Group and Airpas Aviation.</w:t>
      </w:r>
    </w:p>
    <w:p>
      <w:pPr>
        <w:spacing w:after="0" w:line="23" w:lineRule="exact"/>
        <w:rPr>
          <w:rFonts w:ascii="Arial" w:cs="Arial" w:eastAsia="Arial" w:hAnsi="Arial"/>
          <w:sz w:val="15"/>
          <w:szCs w:val="15"/>
          <w:color w:val="auto"/>
        </w:rPr>
      </w:pPr>
    </w:p>
    <w:p>
      <w:pPr>
        <w:ind w:left="582" w:hanging="582"/>
        <w:spacing w:after="0" w:line="274" w:lineRule="auto"/>
        <w:tabs>
          <w:tab w:leader="none" w:pos="582"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Litigation costs, net represent charges and legal fee reimbursements associated with antitrust litigation, including an accrual of $32 million as of December 31, 2016, representing the trebling of the jury award plus our estimate of attorneys’ fees, expenses and costs in the US Airways litigation. See Item 3, "Legal Proceedings"</w:t>
      </w:r>
    </w:p>
    <w:p>
      <w:pPr>
        <w:ind w:left="582" w:hanging="582"/>
        <w:spacing w:after="0"/>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paid an annual management fee to TPG Global, LLC (“TPG”) and Silver Lake Management Company (“Silver Lake”) in an amount between (i) $5 million and</w:t>
      </w:r>
    </w:p>
    <w:p>
      <w:pPr>
        <w:jc w:val="both"/>
        <w:ind w:left="582" w:firstLine="7"/>
        <w:spacing w:after="0" w:line="242" w:lineRule="auto"/>
        <w:tabs>
          <w:tab w:leader="none" w:pos="786" w:val="left"/>
        </w:tabs>
        <w:numPr>
          <w:ilvl w:val="1"/>
          <w:numId w:val="20"/>
        </w:numPr>
        <w:rPr>
          <w:rFonts w:ascii="Arial" w:cs="Arial" w:eastAsia="Arial" w:hAnsi="Arial"/>
          <w:sz w:val="15"/>
          <w:szCs w:val="15"/>
          <w:color w:val="auto"/>
        </w:rPr>
      </w:pPr>
      <w:r>
        <w:rPr>
          <w:rFonts w:ascii="Arial" w:cs="Arial" w:eastAsia="Arial" w:hAnsi="Arial"/>
          <w:sz w:val="15"/>
          <w:szCs w:val="15"/>
          <w:color w:val="auto"/>
        </w:rPr>
        <w:t>$7 million, plus reimbursement of certain costs incurred by TPG and Silver Lake, pursuant to the management services agreement (the “MSA”). In addition, we paid a $21 million fee, in the aggregate, to TPG and Silver Lake in connection with our initial public offering in 2014. The MSA was terminated in conjunction with our initial public offering.</w:t>
      </w:r>
    </w:p>
    <w:p>
      <w:pPr>
        <w:spacing w:after="0" w:line="17" w:lineRule="exact"/>
        <w:rPr>
          <w:rFonts w:ascii="Arial" w:cs="Arial" w:eastAsia="Arial" w:hAnsi="Arial"/>
          <w:sz w:val="15"/>
          <w:szCs w:val="15"/>
          <w:color w:val="auto"/>
        </w:rPr>
      </w:pPr>
    </w:p>
    <w:p>
      <w:pPr>
        <w:ind w:left="582" w:hanging="582"/>
        <w:spacing w:after="0" w:line="245" w:lineRule="auto"/>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2014, the tax impact on net income adjustments includes a $66 million benefit recognized in the fourth quarter of 2014 from the reduction in a valuation allowance maintained against our deferred tax assets.</w:t>
      </w:r>
    </w:p>
    <w:p>
      <w:pPr>
        <w:spacing w:after="0" w:line="15" w:lineRule="exact"/>
        <w:rPr>
          <w:rFonts w:ascii="Arial" w:cs="Arial" w:eastAsia="Arial" w:hAnsi="Arial"/>
          <w:sz w:val="15"/>
          <w:szCs w:val="15"/>
          <w:color w:val="auto"/>
        </w:rPr>
      </w:pPr>
    </w:p>
    <w:p>
      <w:pPr>
        <w:jc w:val="both"/>
        <w:ind w:left="582" w:hanging="582"/>
        <w:spacing w:after="0" w:line="241" w:lineRule="auto"/>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diluted weighted-average share outstanding presented for the year ended December 31, 2012 differs from GAAP and assumes the inclusion of 5,624,000 common stock equivalents associated with stock-options and restricted stock awards. We recognized a loss from continuing operations during the year ended December 31, 2012, which results in the basic weighted-average shares outstanding and the diluted-weighted average shares outstanding to be the same under GAAP.</w:t>
      </w:r>
    </w:p>
    <w:p>
      <w:pPr>
        <w:spacing w:after="0" w:line="18" w:lineRule="exact"/>
        <w:rPr>
          <w:rFonts w:ascii="Arial" w:cs="Arial" w:eastAsia="Arial" w:hAnsi="Arial"/>
          <w:sz w:val="15"/>
          <w:szCs w:val="15"/>
          <w:color w:val="auto"/>
        </w:rPr>
      </w:pPr>
    </w:p>
    <w:p>
      <w:pPr>
        <w:jc w:val="both"/>
        <w:ind w:left="582" w:hanging="582"/>
        <w:spacing w:after="0" w:line="242" w:lineRule="auto"/>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the first quarter of 2016, we adopted Accounting Standards Update ("ASU") 2016-09, Improvements to Employee Share-Based Payment Accounting. For the year ended December 31, 2016, we recognized $35 million in excess tax benefits associated with employee equity-based awards, as a result of the adoption of this standard. There were no other material impacts to our consolidated financial statements as a result of adopting this updated standard.</w:t>
      </w:r>
    </w:p>
    <w:p>
      <w:pPr>
        <w:spacing w:after="0" w:line="270"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Definitions of Non-GAAP Financial Measures</w:t>
      </w:r>
    </w:p>
    <w:p>
      <w:pPr>
        <w:spacing w:after="0" w:line="115" w:lineRule="exact"/>
        <w:rPr>
          <w:sz w:val="20"/>
          <w:szCs w:val="20"/>
          <w:color w:val="auto"/>
        </w:rPr>
      </w:pPr>
    </w:p>
    <w:p>
      <w:pPr>
        <w:ind w:left="2" w:firstLine="454"/>
        <w:spacing w:after="0" w:line="245" w:lineRule="auto"/>
        <w:rPr>
          <w:sz w:val="20"/>
          <w:szCs w:val="20"/>
          <w:color w:val="auto"/>
        </w:rPr>
      </w:pPr>
      <w:r>
        <w:rPr>
          <w:rFonts w:ascii="Arial" w:cs="Arial" w:eastAsia="Arial" w:hAnsi="Arial"/>
          <w:sz w:val="15"/>
          <w:szCs w:val="15"/>
          <w:color w:val="auto"/>
        </w:rPr>
        <w:t>We have included both financial measures compiled in accordance with GAAP and certain non-GAAP financial measures in this Annual Report on Form 10-K, including Adjusted Gross Profit, Adjusted Net Income, Adjusted EBITDA, Adjusted Capital Expenditures, Free Cash Flow, and ratios based on these financial measures.</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22"/>
          </w:cols>
          <w:pgMar w:left="238" w:top="582" w:right="239" w:bottom="1440" w:gutter="0" w:footer="0" w:header="0"/>
        </w:sectPr>
      </w:pPr>
    </w:p>
    <w:bookmarkStart w:id="36" w:name="page37"/>
    <w:bookmarkEnd w:id="36"/>
    <w:p>
      <w:pPr>
        <w:jc w:val="both"/>
        <w:ind w:firstLine="454"/>
        <w:spacing w:after="0" w:line="242" w:lineRule="auto"/>
        <w:rPr>
          <w:sz w:val="20"/>
          <w:szCs w:val="20"/>
          <w:color w:val="auto"/>
        </w:rPr>
      </w:pPr>
      <w:r>
        <w:rPr>
          <w:rFonts w:ascii="Arial" w:cs="Arial" w:eastAsia="Arial" w:hAnsi="Arial"/>
          <w:sz w:val="15"/>
          <w:szCs w:val="15"/>
          <w:color w:val="auto"/>
        </w:rPr>
        <w:t>We define Adjusted Gross Profit as operating income (loss) adjusted for selling, general and administrative expenses, impairment, amortization of upfront incentive consideration, and the cost of revenue portion of depreciation and amortization, restructuring and other costs, litigation costs, and stock-based compensation included in cost of revenue.</w:t>
      </w:r>
    </w:p>
    <w:p>
      <w:pPr>
        <w:spacing w:after="0" w:line="190"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define Adjusted Net Income as net income attributable to common stockholders adjusted for income (loss) from discontinued operations, net of tax, net income attributable to noncontrolling interests, preferred stock dividends, impairment, gain on sale of business and assets, acquisition-related amortization, loss on extinguishment of debt, other, net, restructuring and other costs, acquisition-related costs, litigation costs (reimbursements), net, stock-based compensation, management fees, and tax impact of net income adjustments.</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define Adjusted EBITDA as Adjusted Net Income adjusted for depreciation and amortization of property and equipment, amortization of capitalized implementation costs, amortization of upfront incentive consideration, interest expense, net, and the remaining provision (benefit) for income taxes. This Adjusted EBITDA metric differs from (i) the EBITDA metric referenced in the section entitled “—Liquidity and Capital Resources—Senior Secured Credit Facilities,” which is calculated for the purposes of compliance with our debt covenants, and (ii) the Pre-VCP EBITDA and EBITDA metrics referenced in the section entitled “Compensation Discussion and Analysis” in our 2016 Proxy Statement, which are calculated for the purposes of our annual incentive compensation program and performance-based awards, respectively.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define Adjusted Capital Expenditures as additions to property and equipment and capitalized implementation costs.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define Free Cash Flow as cash provided by operating activities less cash used in additions to property and equipment.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define Adjusted Net Income from continuing operations per share as Adjusted Net Income divided by the applicable share count.</w:t>
      </w:r>
    </w:p>
    <w:p>
      <w:pPr>
        <w:spacing w:after="0" w:line="195"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and meet working capital requirements. Adjusted Capital Expenditures include cash flows used in investing activities, for property and equipment, and cash flows used in operating activities, for capitalized implementation costs. Our management uses this combined metric in making product investment decisions and determining development resource requirements. We also believe that Adjusted Gross Profit, Adjusted Net Income, Adjusted EBITDA and Adjusted Capital Expenditures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96"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Adjusted Gross Profit, Adjusted Net Income, Adjusted EBITDA, Adjusted Capital Expenditures,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94" w:lineRule="exact"/>
        <w:rPr>
          <w:sz w:val="20"/>
          <w:szCs w:val="20"/>
          <w:color w:val="auto"/>
        </w:rPr>
      </w:pPr>
    </w:p>
    <w:p>
      <w:pPr>
        <w:ind w:left="740" w:hanging="300"/>
        <w:spacing w:after="0" w:line="245" w:lineRule="auto"/>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these non-GAAP financial measures exclude certain recurring, non-cash charges such as stock-based compensation expense and amortization of acquired intangible assets</w:t>
      </w:r>
    </w:p>
    <w:p>
      <w:pPr>
        <w:spacing w:after="0" w:line="40"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Gross Profit and Adjusted EBITDA do not reflect cash requirements for such replacements;</w:t>
      </w:r>
    </w:p>
    <w:p>
      <w:pPr>
        <w:spacing w:after="0" w:line="89" w:lineRule="exact"/>
        <w:rPr>
          <w:rFonts w:ascii="Arial" w:cs="Arial" w:eastAsia="Arial" w:hAnsi="Arial"/>
          <w:sz w:val="15"/>
          <w:szCs w:val="15"/>
          <w:color w:val="auto"/>
        </w:rPr>
      </w:pPr>
    </w:p>
    <w:p>
      <w:pPr>
        <w:ind w:left="740" w:hanging="300"/>
        <w:spacing w:after="0"/>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Adjusted Net Income and Adjusted EBITDA do not reflect changes in, or cash requirements for, our working capital needs;</w:t>
      </w:r>
    </w:p>
    <w:p>
      <w:pPr>
        <w:spacing w:after="0" w:line="97" w:lineRule="exact"/>
        <w:rPr>
          <w:rFonts w:ascii="Arial" w:cs="Arial" w:eastAsia="Arial" w:hAnsi="Arial"/>
          <w:sz w:val="15"/>
          <w:szCs w:val="15"/>
          <w:color w:val="auto"/>
        </w:rPr>
      </w:pPr>
    </w:p>
    <w:p>
      <w:pPr>
        <w:ind w:left="740" w:hanging="300"/>
        <w:spacing w:after="0"/>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Adjusted EBITDA does not reflect the interest expense or the cash requirements necessary to service interest or principal payments on our indebtedness;</w:t>
      </w:r>
    </w:p>
    <w:p>
      <w:pPr>
        <w:spacing w:after="0" w:line="97" w:lineRule="exact"/>
        <w:rPr>
          <w:rFonts w:ascii="Arial" w:cs="Arial" w:eastAsia="Arial" w:hAnsi="Arial"/>
          <w:sz w:val="15"/>
          <w:szCs w:val="15"/>
          <w:color w:val="auto"/>
        </w:rPr>
      </w:pPr>
    </w:p>
    <w:p>
      <w:pPr>
        <w:ind w:left="740" w:hanging="300"/>
        <w:spacing w:after="0"/>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Adjusted EBITDA does not reflect tax payments that may represent a reduction in cash available to us;</w:t>
      </w:r>
    </w:p>
    <w:p>
      <w:pPr>
        <w:spacing w:after="0" w:line="97"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89"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 companies, including companies in our industry, may calculate Adjusted Gross Profit, Adjusted Net Income, Adjusted EBITDA, Adjusted Capital Expenditures, or Free Cash Flow differently, which reduces their usefulness as comparative measures.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20"/>
          </w:cols>
          <w:pgMar w:left="240" w:top="755" w:right="239" w:bottom="1440" w:gutter="0" w:footer="0" w:header="0"/>
        </w:sectPr>
      </w:pPr>
    </w:p>
    <w:bookmarkStart w:id="37" w:name="page38"/>
    <w:bookmarkEnd w:id="37"/>
    <w:p>
      <w:pPr>
        <w:spacing w:after="0"/>
        <w:tabs>
          <w:tab w:leader="none" w:pos="108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following discussion and analysis should be read in conjunction with our consolidated financial statements and related notes included in Item 8 of this Annual Report on Form 10-K.</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are a leading technology solutions provider to the global travel and tourism industry. We operate through two business segments: (i) Travel Network, our global business-to-business travel marketplace for travel suppliers and travel buyers, and (ii) Airline and Hospitality Solutions, an extensive suite of leading software solutions primarily for airlines and hoteliers. Collectively, these offerings enable travel suppliers to better serve their customers across the entire travel lifecycle, from route planning to post-trip business intelligence and analytics.</w:t>
      </w:r>
    </w:p>
    <w:p>
      <w:pPr>
        <w:spacing w:after="0" w:line="190"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A significant portion of our revenue is generated through transaction based fees that we charge to our customers. For Travel Network, this fee is in the form of a transaction fee for bookings on our GDS; for Airline and Hospitality Solutions, this fee is a recurring usage-based fee for the use of our SaaS and hosted systems, as well as upfront fees and professional service fees. Items that are not allocated to our business segments are identified as corporate and primarily include certain shared technology costs, stock-based compensation expense, litigation costs, corporate headcount-related costs, and other items that are not identifiable with either one of our segments.</w:t>
      </w:r>
    </w:p>
    <w:p>
      <w:pPr>
        <w:spacing w:after="0" w:line="190"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In the first quarter of 2015, we completed our exit of the online travel agency business through the sale of Travelocity.com and lastminute.com. Our Travelocity segment has no remaining operations as a result of these dispositions. The financial results of our Travelocity segment are included in net income (loss) from discontinued operations in our consolidated statements of operations for all periods presented. The discussion and analysis of our results of operations refers to continuing operations unless otherwise indicated.</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On July 1, 2015, we completed the acquisition of the remaining 65% interest in SAPPL, a Singapore-based business-to-business travel e-commerce provider that serves the Asia-Pacific region. Prior to the acquisition, SAPPL was 65% owned by a consortium of 11 airlines and the remaining 35% was owned by us. In the third and fourth quarters of 2015, SAPPL completed the acquisition of the remaining interest in three national marketing companies, Abacus Distribution Systems (Hong Kong), Abacus Travel Systems (Singapore) and Abacus Distribution Systems Sdn Bhd (Malaysia) (the “NMCs” and together with SAPPL, “Abacus”). The net cash consideration for Abacus was $443 million. Abacus has been integrated and is managed as a region of our Travel Network business. Separately, SAPPL has signed new long-term agreements with the consortium of 11 airlines to continue to utilize the Abacus GDS.</w:t>
      </w:r>
    </w:p>
    <w:p>
      <w:pPr>
        <w:spacing w:after="0" w:line="192" w:lineRule="exact"/>
        <w:rPr>
          <w:sz w:val="20"/>
          <w:szCs w:val="20"/>
          <w:color w:val="auto"/>
        </w:rPr>
      </w:pPr>
    </w:p>
    <w:p>
      <w:pPr>
        <w:jc w:val="both"/>
        <w:ind w:firstLine="441"/>
        <w:spacing w:after="0" w:line="280" w:lineRule="auto"/>
        <w:rPr>
          <w:sz w:val="20"/>
          <w:szCs w:val="20"/>
          <w:color w:val="auto"/>
        </w:rPr>
      </w:pPr>
      <w:r>
        <w:rPr>
          <w:rFonts w:ascii="Arial" w:cs="Arial" w:eastAsia="Arial" w:hAnsi="Arial"/>
          <w:sz w:val="14"/>
          <w:szCs w:val="14"/>
          <w:color w:val="auto"/>
        </w:rPr>
        <w:t>In January 2016, we completed the acquisition of the Trust Group, a central reservation, revenue management and hotel marketing provider with a significant presence in EMEA and APAC, for net cash consideration of $156 million. The Trust Group has been integrated and is managed as part of our Airline and Hospitality Solutions segment.</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Factors Affecting our Results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The following is a discussion of trends that we believe are the most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“Forward-Looking Statements” included elsewhere in this Annual Report on Form 10-K.</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Increasing technology infrastructure costs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expect to continue to make significant investments in our information technology infrastructure to modernize, drive efficiency in development and ongoing technology costs, further enhance the stability and security of our network, and to accelerate our shift to open source and cloud-based solutions. The costs associated with these investments will impact both our corporate-level product and technology operating expenses, as well as our capital expenditures. See "Liquidity and Capital Resources— Capital Expenditures and Implementation Costs."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Shift to SaaS and hosted solutions by airlines and hotels to manage their daily operations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Initially,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 party solutions providers for many of their key technologies and began to license software from software providers. We believe that significant revenue opportunity remains in this outsourcing trend, as legacy in-house systems continue to migrate and upgrade to third party systems. By moving away from one time license fees to recurring monthly fees associated with our SaaS and hosted solutions, our revenue stream has become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20"/>
          </w:cols>
          <w:pgMar w:left="240" w:top="835" w:right="239" w:bottom="1440" w:gutter="0" w:footer="0" w:header="0"/>
        </w:sectPr>
      </w:pPr>
    </w:p>
    <w:bookmarkStart w:id="38" w:name="page39"/>
    <w:bookmarkEnd w:id="38"/>
    <w:p>
      <w:pPr>
        <w:jc w:val="both"/>
        <w:spacing w:after="0" w:line="242" w:lineRule="auto"/>
        <w:rPr>
          <w:sz w:val="20"/>
          <w:szCs w:val="20"/>
          <w:color w:val="auto"/>
        </w:rPr>
      </w:pPr>
      <w:r>
        <w:rPr>
          <w:rFonts w:ascii="Arial" w:cs="Arial" w:eastAsia="Arial" w:hAnsi="Arial"/>
          <w:sz w:val="15"/>
          <w:szCs w:val="15"/>
          <w:color w:val="auto"/>
        </w:rPr>
        <w:t>more predictable and sustainable. However, revenue recognition may be deferred due to the nature of this model and longer implementation schedules for larger suppliers. In the last part of 2016, implementation schedules for several airlines were delayed to future years. The SaaS and hosted models’ centralized deployment also allows us to save time and money by reducing maintenance and implementation tasks and lowering operating costs.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Increasing importance of OTAs to Travel Network</w:t>
      </w:r>
    </w:p>
    <w:p>
      <w:pPr>
        <w:spacing w:after="0" w:line="11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The significance of OTAs to our Travel Network business has increased in recent years and as a result, our earnings may be impacted by factors affecting OTAs. As OTAs experience growth, we believe they shift bookings away from offline travel agencies and direct channels of travel suppliers. We expect to continue to benefit from this trend as we are a substantial GDS provider to the OTA industry. However, we may face pricing pressure in the future as OTAs increase their bargaining power through growth by consolidation.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Growing demand for continued technology improvements in the fragmented hotel market</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Most of the hotel market is highly fragmented. Independent hotels and small to medium 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market. Our SynXis Enterprise Platform integrates critical hospitality systems to optimize distribution, operations, retailing and guest experience via one scalable, flexible and intelligent platform. As these markets continue to grow, we believe independent and enterprise hotel owners and operators will continue to seek increased connectivity and integrated solutions to ensure access to global travelers. We anticipate that this will contribute to the continued growth of Airline and Hospitality Solutions, which is ultimately dependent upon these hoteliers accepting and utilizing our products and services.</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Geographic mix of Travel Network</w:t>
      </w:r>
    </w:p>
    <w:p>
      <w:pPr>
        <w:spacing w:after="0" w:line="115"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There are structural differences between the geographies in which we operate. Due to our geographic concentration, our results of operations are particularly sensitive to factors affecting North America. For example, booking fees per transaction in North America have traditionally been lower than those in Europe. By growing internationally with our TMC and OTA customers and expanding the travel content available on our GDS to target regional traveler preferences, we anticipate that we will maintain share in North America and grow share in Europe, APAC and Latin America. For the year ended December 31, 2016, we derived approximately 54% of our Direct Billable Bookings from North America, 19% from APAC, 17% from EMEA and 10% from Latin America. For the year ended December 31, 2015, we derived approximately 61% of our Direct Billable Bookings from North America, 18% from EMEA and 21% from the rest of the world. We have initiated a plan to establish a regional operation company structure to better align geographic revenue generation, supplier relationships, and intellectual property with our global footprint, which is expected have a favorable impact on our consolidated results of operations over time.</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Travel buyers can shift their bookings to or from our Travel Network business</w:t>
      </w:r>
    </w:p>
    <w:p>
      <w:pPr>
        <w:spacing w:after="0" w:line="115"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Our Travel Network business relies on relationships with several large travel buyers, including TMCs and OTAs, to drive a large portion of its revenue.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in late 2012, Expedia adopted a dual GDS provider strategy and shifted a sizeable portion of its business from our GDS to a competitor GDS, resulting in a year over year decline in our transaction volumes in 2013. Conversely, certain OTAs including eTraveli, TravelPlanet24 and Bravofly in EMEA shifted a portion of their business to our GDS.</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Increasing importance of LCC/hybrids in Travel Network and Airline and Hospitality Solutions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Hybrid and LCCs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 yield markets and to higher yield customers, such as business and international travelers. Other LCC/hybrids, especially start up carriers, may choose not to distribute through the GDS until wider distribution is desired.</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Increasing travel agency incentive consideration</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Travel agency incentive consideration is a large portion of Travel Network expenses. The vast majority of incentive consideration is tied to absolute booking volumes based on transactions such as flight segments booked. Incentive consideration, which often increases once a certain volume or percentage of bookings is met, is provided in two ways, according to the terms of the agreement: (i) on a periodic basis over the term of the contract and (ii) in some instances, up front at the inception or modification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20"/>
          </w:cols>
          <w:pgMar w:left="240" w:top="656" w:right="239" w:bottom="1440" w:gutter="0" w:footer="0" w:header="0"/>
        </w:sectPr>
      </w:pPr>
    </w:p>
    <w:bookmarkStart w:id="39" w:name="page40"/>
    <w:bookmarkEnd w:id="39"/>
    <w:p>
      <w:pPr>
        <w:jc w:val="both"/>
        <w:ind w:right="20"/>
        <w:spacing w:after="0"/>
        <w:rPr>
          <w:sz w:val="20"/>
          <w:szCs w:val="20"/>
          <w:color w:val="auto"/>
        </w:rPr>
      </w:pPr>
      <w:r>
        <w:rPr>
          <w:rFonts w:ascii="Arial" w:cs="Arial" w:eastAsia="Arial" w:hAnsi="Arial"/>
          <w:sz w:val="15"/>
          <w:szCs w:val="15"/>
          <w:color w:val="auto"/>
        </w:rPr>
        <w:t>of contracts, which is capitalized and amortized over the expected life of the contract. Although this consideration has been increasing in real terms, growing in the low-single digits on a per booking basis in recent years, it has been relatively stable as a percentage of Travel Network revenue over the last five years, partially due to our focus on managing incentive consideration. The incentive rate increases may continue to impact margins, which we expect to be partially offset by increased Travel Network revenue. To address the trend towards increasing incentive consideration, we are seeking to offer added products and content, such as Sabre Red Workspace, a SaaS product available to our travel buyers that provides an easy to use interface along with many travel agency workflow and productivity tools.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Continued focus by travel suppliers on cost cutting and exerting influence over distribution</w:t>
      </w:r>
    </w:p>
    <w:p>
      <w:pPr>
        <w:spacing w:after="0" w:line="115" w:lineRule="exact"/>
        <w:rPr>
          <w:sz w:val="20"/>
          <w:szCs w:val="20"/>
          <w:color w:val="auto"/>
        </w:rPr>
      </w:pPr>
    </w:p>
    <w:p>
      <w:pPr>
        <w:jc w:val="both"/>
        <w:ind w:right="20" w:firstLine="454"/>
        <w:spacing w:after="0" w:line="239" w:lineRule="auto"/>
        <w:rPr>
          <w:sz w:val="20"/>
          <w:szCs w:val="20"/>
          <w:color w:val="auto"/>
        </w:rPr>
      </w:pPr>
      <w:r>
        <w:rPr>
          <w:rFonts w:ascii="Arial" w:cs="Arial" w:eastAsia="Arial" w:hAnsi="Arial"/>
          <w:sz w:val="15"/>
          <w:szCs w:val="15"/>
          <w:color w:val="auto"/>
        </w:rPr>
        <w:t>Travel suppliers continue to look for ways to decrease their costs and to increase their control over distribution. Airline consolidations, pricing pressure during contract renegotiations and the use of direct distribution may continue to subject our business to challenges. The shift from indirect distribution channels, such as our GDS, to direct distribution channels, may result from increased content availability on supplier operated websites or from increased participation of meta search engines, such as Kayak and Google, which direct consumers to supplier operated websites. This trend may adversely affect our Travel Network contract renegotiations with suppliers that use alternative distribution channels. For example, airlines may withhold part of their content for distribution exclusively through their own direct distribution channels or offer more attractive terms for content available through those direct channels. However, since 2010, we believe the rate at which bookings are shifting from indirect to direct distribution channels has slowed for a number of reasons, including the increased participation of LCC/hybrids in indirect channels. Over the last several years, notable carriers that previously only distributed directly, including JetBlue and Norwegian, have adopted our GDS. Other carriers such as EVA Airways and Virgin Australia have further increased their participation in a GDS.</w:t>
      </w:r>
    </w:p>
    <w:p>
      <w:pPr>
        <w:spacing w:after="0" w:line="196"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These trends have impacted the revenue of Travel Network, which recognizes revenue for airline ticket sales based on transaction volumes, and the revenue of Airline and Hospitality Solutions, which recognizes a portion of its revenue based on the number of passengers boarded, depending upon the applicable revenue model. Simultaneously, this focus on cost cutting and direct distribution has also presented opportunities for Airline and Hospitality Solutions. Many airlines have turned to outside providers for key systems, process and industry expertise and other products that assist in their cost cutting initiatives in order to focus on their primary revenue generating activities.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of Revenues and Expenses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Revenues</w:t>
      </w:r>
    </w:p>
    <w:p>
      <w:pPr>
        <w:spacing w:after="0" w:line="115"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Travel Network primarily generates revenues from Direct Billable Bookings processed on our GDS as well as the sale of aggregated bookings data to carriers. Prior to our acquisition of the remaining interest in SAPPL on July 1, 2015, we generated revenue from certain services we provided SAPPL. Airline and Hospitality Solutions primarily generates revenue through upfront solution fees and recurring usage-based fees for the use of our software solutions hosted on secure platforms or deployed through our SaaS. Airline and Hospitality Solutions also generates revenue through professional service fees and software licensing fees. Certain professional service fees are discrete sales opportunities that may have a high degree of variability from period to period, and we cannot guarantee that we will have such fees in the future consistent with prior periods.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Cost of revenue</w:t>
      </w:r>
    </w:p>
    <w:p>
      <w:pPr>
        <w:spacing w:after="0" w:line="115" w:lineRule="exact"/>
        <w:rPr>
          <w:sz w:val="20"/>
          <w:szCs w:val="20"/>
          <w:color w:val="auto"/>
        </w:rPr>
      </w:pPr>
    </w:p>
    <w:p>
      <w:pPr>
        <w:jc w:val="both"/>
        <w:ind w:right="20" w:firstLine="454"/>
        <w:spacing w:after="0" w:line="242" w:lineRule="auto"/>
        <w:rPr>
          <w:sz w:val="20"/>
          <w:szCs w:val="20"/>
          <w:color w:val="auto"/>
        </w:rPr>
      </w:pPr>
      <w:r>
        <w:rPr>
          <w:rFonts w:ascii="Arial" w:cs="Arial" w:eastAsia="Arial" w:hAnsi="Arial"/>
          <w:sz w:val="15"/>
          <w:szCs w:val="15"/>
          <w:color w:val="auto"/>
        </w:rPr>
        <w:t>Cost of revenue incurred by Travel Network and Airline and Hospitality Solutions consists of expenses related to our technology infrastructure that hosts our GDS and software solutions, salaries and benefits, and allocated overhead such as facilities and other support costs. Cost of revenue for Travel Network also includes incentive consideration expense representing payments or other consideration to travel agencies for reservations made on our GDS which accrue on a monthly basis.</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Corporate cost of revenue includes expenses associated with our technology organization that provides development and support activities to our segments. The costs associated with our technology organization that do not get allocated to the segments based on the segments’ usage of resources primarily include shared technology infrastructure and labor costs. Corporate cost of revenue also includes stock-based compensation expense, professional service fees and other items that are not directly identifiable with our segments. Over time, we expect a substantial increase in stock-based compensation expense, as we have moved to granting broad-based equity awards annually, rather than biennially, beginning in March 2016 primarily in the form of restricted stock units. These awards generally vest over a four-year period, with 25% vesting annually. Stock compensation expense is based on the number of restricted stock units granted and the stock price on the date of grant, which is amortized over the four-year vesting period.</w:t>
      </w:r>
    </w:p>
    <w:p>
      <w:pPr>
        <w:spacing w:after="0" w:line="191" w:lineRule="exact"/>
        <w:rPr>
          <w:sz w:val="20"/>
          <w:szCs w:val="20"/>
          <w:color w:val="auto"/>
        </w:rPr>
      </w:pPr>
    </w:p>
    <w:p>
      <w:pPr>
        <w:jc w:val="both"/>
        <w:ind w:right="20" w:firstLine="454"/>
        <w:spacing w:after="0" w:line="241" w:lineRule="auto"/>
        <w:rPr>
          <w:sz w:val="20"/>
          <w:szCs w:val="20"/>
          <w:color w:val="auto"/>
        </w:rPr>
      </w:pPr>
      <w:r>
        <w:rPr>
          <w:rFonts w:ascii="Arial" w:cs="Arial" w:eastAsia="Arial" w:hAnsi="Arial"/>
          <w:sz w:val="15"/>
          <w:szCs w:val="15"/>
          <w:color w:val="auto"/>
        </w:rPr>
        <w:t>Depreciation and amortization included in cost of revenue is associated with property and equipment, amortization of contract implementation costs which relates to Airline and Hospitality Solutions, intangible assets for technology purchased through acquisitions or established with our take-private transaction, and software developed for internal use that supports our revenue, businesses and systems. Cost of revenue also includes amortization of upfront incentive consideration representing upfront payments or other consideration provided to travel agencies for reservations made on our GDS which are capitalized and amortized over the expected life of the contract.</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40"/>
          </w:cols>
          <w:pgMar w:left="240" w:top="656" w:right="219" w:bottom="1440" w:gutter="0" w:footer="0" w:header="0"/>
        </w:sectPr>
      </w:pPr>
    </w:p>
    <w:bookmarkStart w:id="40" w:name="page41"/>
    <w:bookmarkEnd w:id="40"/>
    <w:p>
      <w:pPr>
        <w:ind w:left="460"/>
        <w:spacing w:after="0"/>
        <w:rPr>
          <w:sz w:val="20"/>
          <w:szCs w:val="20"/>
          <w:color w:val="auto"/>
        </w:rPr>
      </w:pPr>
      <w:r>
        <w:rPr>
          <w:rFonts w:ascii="Arial" w:cs="Arial" w:eastAsia="Arial" w:hAnsi="Arial"/>
          <w:sz w:val="15"/>
          <w:szCs w:val="15"/>
          <w:b w:val="1"/>
          <w:bCs w:val="1"/>
          <w:i w:val="1"/>
          <w:iCs w:val="1"/>
          <w:color w:val="auto"/>
        </w:rPr>
        <w:t>Selling, General and Administrative Expenses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Selling, general and administrative expenses consist of personnel-related expenses, including stock-based compensation, for employees that sell our services to new customers and administratively support the business, information technology and communication costs, professional service fees, certain settlement charges and costs to defend legal disputes, bad debt expense, depreciation and amortization and other overhead costs. Over time, we expect a substantial increase in stock-based compensation expense as described above.</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Intersegment Transactions</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We account for significant intersegment transactions as if the transactions were with third parties, that is, at estimated current market prices. Airline and Hospitality Solutions pays fees to Travel Network for airline trips and hotel stays booked through our GDS.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Metrics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“Direct Billable Bookings” and “Passengers Boarded” are the primary metrics utilized by Travel Network and Airline Solutions, respectively, to measure operating performance. Travel Network generates fees for each Direct Billable Booking which include bookings made through our GDS (e.g., air, car and hotel bookings) and through our joint venture partners in cases where we are paid directly by the travel supplier. Passengers Boarded (“PBs”) is the primary metric used by Airline Solutions to recognize SaaS and Hosted revenue from recurring usage-based fees. The following table sets forth these key metrics for the periods indicated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gridSpan w:val="5"/>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3"/>
          </w:tcPr>
          <w:p>
            <w:pPr>
              <w:jc w:val="right"/>
              <w:ind w:right="750"/>
              <w:spacing w:after="0"/>
              <w:rPr>
                <w:sz w:val="20"/>
                <w:szCs w:val="20"/>
                <w:color w:val="auto"/>
              </w:rPr>
            </w:pPr>
            <w:r>
              <w:rPr>
                <w:rFonts w:ascii="Arial" w:cs="Arial" w:eastAsia="Arial" w:hAnsi="Arial"/>
                <w:sz w:val="11"/>
                <w:szCs w:val="11"/>
                <w:b w:val="1"/>
                <w:bCs w:val="1"/>
                <w:color w:val="auto"/>
              </w:rPr>
              <w:t>% Change</w:t>
            </w:r>
          </w:p>
        </w:tc>
      </w:tr>
      <w:tr>
        <w:trPr>
          <w:trHeight w:val="52"/>
        </w:trPr>
        <w:tc>
          <w:tcPr>
            <w:tcW w:w="58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30"/>
        </w:trPr>
        <w:tc>
          <w:tcPr>
            <w:tcW w:w="580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1"/>
                <w:szCs w:val="11"/>
                <w:b w:val="1"/>
                <w:bCs w:val="1"/>
                <w:color w:val="auto"/>
              </w:rPr>
              <w:t>2016</w:t>
            </w:r>
          </w:p>
        </w:tc>
        <w:tc>
          <w:tcPr>
            <w:tcW w:w="122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Arial" w:cs="Arial" w:eastAsia="Arial" w:hAnsi="Arial"/>
                <w:sz w:val="11"/>
                <w:szCs w:val="11"/>
                <w:b w:val="1"/>
                <w:bCs w:val="1"/>
                <w:color w:val="auto"/>
              </w:rPr>
              <w:t>2016 - 2015</w:t>
            </w:r>
          </w:p>
        </w:tc>
        <w:tc>
          <w:tcPr>
            <w:tcW w:w="1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1"/>
                <w:szCs w:val="11"/>
                <w:b w:val="1"/>
                <w:bCs w:val="1"/>
                <w:color w:val="auto"/>
              </w:rPr>
              <w:t>2015 - 2014</w:t>
            </w:r>
          </w:p>
        </w:tc>
      </w:tr>
      <w:tr>
        <w:trPr>
          <w:trHeight w:val="233"/>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Travel Network</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r>
      <w:tr>
        <w:trPr>
          <w:trHeight w:val="237"/>
        </w:trPr>
        <w:tc>
          <w:tcPr>
            <w:tcW w:w="5800" w:type="dxa"/>
            <w:vAlign w:val="bottom"/>
          </w:tcPr>
          <w:p>
            <w:pPr>
              <w:ind w:left="240"/>
              <w:spacing w:after="0"/>
              <w:rPr>
                <w:sz w:val="20"/>
                <w:szCs w:val="20"/>
                <w:color w:val="auto"/>
              </w:rPr>
            </w:pPr>
            <w:r>
              <w:rPr>
                <w:rFonts w:ascii="Arial" w:cs="Arial" w:eastAsia="Arial" w:hAnsi="Arial"/>
                <w:sz w:val="15"/>
                <w:szCs w:val="15"/>
                <w:color w:val="auto"/>
              </w:rPr>
              <w:t>Direct Billable Bookings - Air</w:t>
            </w:r>
          </w:p>
        </w:tc>
        <w:tc>
          <w:tcPr>
            <w:tcW w:w="920" w:type="dxa"/>
            <w:vAlign w:val="bottom"/>
          </w:tcPr>
          <w:p>
            <w:pPr>
              <w:jc w:val="right"/>
              <w:spacing w:after="0"/>
              <w:rPr>
                <w:sz w:val="20"/>
                <w:szCs w:val="20"/>
                <w:color w:val="auto"/>
              </w:rPr>
            </w:pPr>
            <w:r>
              <w:rPr>
                <w:rFonts w:ascii="Arial" w:cs="Arial" w:eastAsia="Arial" w:hAnsi="Arial"/>
                <w:sz w:val="15"/>
                <w:szCs w:val="15"/>
                <w:color w:val="auto"/>
              </w:rPr>
              <w:t>445,050</w:t>
            </w: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384,309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5"/>
                <w:szCs w:val="15"/>
                <w:color w:val="auto"/>
              </w:rPr>
              <w:t>321,962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254"/>
        </w:trPr>
        <w:tc>
          <w:tcPr>
            <w:tcW w:w="5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Direct Billable Bookings - Non-Air</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60,421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58,414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54,122</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r>
      <w:tr>
        <w:trPr>
          <w:trHeight w:val="237"/>
        </w:trPr>
        <w:tc>
          <w:tcPr>
            <w:tcW w:w="5800" w:type="dxa"/>
            <w:vAlign w:val="bottom"/>
          </w:tcPr>
          <w:p>
            <w:pPr>
              <w:ind w:left="240"/>
              <w:spacing w:after="0"/>
              <w:rPr>
                <w:sz w:val="20"/>
                <w:szCs w:val="20"/>
                <w:color w:val="auto"/>
              </w:rPr>
            </w:pPr>
            <w:r>
              <w:rPr>
                <w:rFonts w:ascii="Arial" w:cs="Arial" w:eastAsia="Arial" w:hAnsi="Arial"/>
                <w:sz w:val="15"/>
                <w:szCs w:val="15"/>
                <w:color w:val="auto"/>
              </w:rPr>
              <w:t>Total Direct Billable Bookings</w:t>
            </w:r>
          </w:p>
        </w:tc>
        <w:tc>
          <w:tcPr>
            <w:tcW w:w="920" w:type="dxa"/>
            <w:vAlign w:val="bottom"/>
          </w:tcPr>
          <w:p>
            <w:pPr>
              <w:jc w:val="right"/>
              <w:spacing w:after="0"/>
              <w:rPr>
                <w:sz w:val="20"/>
                <w:szCs w:val="20"/>
                <w:color w:val="auto"/>
              </w:rPr>
            </w:pPr>
            <w:r>
              <w:rPr>
                <w:rFonts w:ascii="Arial" w:cs="Arial" w:eastAsia="Arial" w:hAnsi="Arial"/>
                <w:sz w:val="15"/>
                <w:szCs w:val="15"/>
                <w:color w:val="auto"/>
              </w:rPr>
              <w:t>505,471</w:t>
            </w:r>
          </w:p>
        </w:tc>
        <w:tc>
          <w:tcPr>
            <w:tcW w:w="1220" w:type="dxa"/>
            <w:vAlign w:val="bottom"/>
            <w:gridSpan w:val="3"/>
          </w:tcPr>
          <w:p>
            <w:pPr>
              <w:jc w:val="right"/>
              <w:ind w:right="100"/>
              <w:spacing w:after="0"/>
              <w:rPr>
                <w:sz w:val="20"/>
                <w:szCs w:val="20"/>
                <w:color w:val="auto"/>
              </w:rPr>
            </w:pPr>
            <w:r>
              <w:rPr>
                <w:rFonts w:ascii="Arial" w:cs="Arial" w:eastAsia="Arial" w:hAnsi="Arial"/>
                <w:sz w:val="15"/>
                <w:szCs w:val="15"/>
                <w:color w:val="auto"/>
              </w:rPr>
              <w:t>442,723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5"/>
                <w:szCs w:val="15"/>
                <w:color w:val="auto"/>
              </w:rPr>
              <w:t>376,084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17.7%</w:t>
            </w:r>
          </w:p>
        </w:tc>
      </w:tr>
      <w:tr>
        <w:trPr>
          <w:trHeight w:val="254"/>
        </w:trPr>
        <w:tc>
          <w:tcPr>
            <w:tcW w:w="5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Airline Solutions Passengers Boarded</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789,260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584,876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510,713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our consolidated statement of operations data for each of the periods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48"/>
              <w:spacing w:after="0"/>
              <w:rPr>
                <w:sz w:val="20"/>
                <w:szCs w:val="20"/>
                <w:color w:val="auto"/>
              </w:rPr>
            </w:pPr>
            <w:r>
              <w:rPr>
                <w:rFonts w:ascii="Arial" w:cs="Arial" w:eastAsia="Arial" w:hAnsi="Arial"/>
                <w:sz w:val="11"/>
                <w:szCs w:val="11"/>
                <w:b w:val="1"/>
                <w:bCs w:val="1"/>
                <w:color w:val="auto"/>
                <w:w w:val="97"/>
              </w:rPr>
              <w:t>2015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1"/>
                <w:szCs w:val="11"/>
                <w:color w:val="auto"/>
              </w:rPr>
              <w:t>(Amounts in thousands)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3,373,387</w:t>
            </w:r>
          </w:p>
        </w:tc>
        <w:tc>
          <w:tcPr>
            <w:tcW w:w="4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2,960,896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2,631,417</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2,287,662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1,944,050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5"/>
                <w:szCs w:val="15"/>
                <w:color w:val="auto"/>
              </w:rPr>
              <w:t>1,742,478</w:t>
            </w:r>
          </w:p>
        </w:tc>
        <w:tc>
          <w:tcPr>
            <w:tcW w:w="0" w:type="dxa"/>
            <w:vAlign w:val="bottom"/>
          </w:tcPr>
          <w:p>
            <w:pPr>
              <w:spacing w:after="0"/>
              <w:rPr>
                <w:sz w:val="1"/>
                <w:szCs w:val="1"/>
                <w:color w:val="auto"/>
              </w:rPr>
            </w:pPr>
          </w:p>
        </w:tc>
      </w:tr>
      <w:tr>
        <w:trPr>
          <w:trHeight w:val="254"/>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23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626,153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557,077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467,594</w:t>
            </w:r>
          </w:p>
        </w:tc>
        <w:tc>
          <w:tcPr>
            <w:tcW w:w="0" w:type="dxa"/>
            <w:vAlign w:val="bottom"/>
          </w:tcPr>
          <w:p>
            <w:pPr>
              <w:spacing w:after="0"/>
              <w:rPr>
                <w:sz w:val="1"/>
                <w:szCs w:val="1"/>
                <w:color w:val="auto"/>
              </w:rPr>
            </w:pPr>
          </w:p>
        </w:tc>
      </w:tr>
      <w:tr>
        <w:trPr>
          <w:trHeight w:val="217"/>
        </w:trPr>
        <w:tc>
          <w:tcPr>
            <w:tcW w:w="4740" w:type="dxa"/>
            <w:vAlign w:val="bottom"/>
          </w:tcPr>
          <w:p>
            <w:pPr>
              <w:ind w:left="240"/>
              <w:spacing w:after="0"/>
              <w:rPr>
                <w:sz w:val="20"/>
                <w:szCs w:val="20"/>
                <w:color w:val="auto"/>
              </w:rPr>
            </w:pPr>
            <w:r>
              <w:rPr>
                <w:rFonts w:ascii="Arial" w:cs="Arial" w:eastAsia="Arial" w:hAnsi="Arial"/>
                <w:sz w:val="15"/>
                <w:szCs w:val="15"/>
                <w:color w:val="auto"/>
              </w:rPr>
              <w:t>Operating income</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459,572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459,769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5"/>
                <w:szCs w:val="15"/>
                <w:color w:val="auto"/>
              </w:rPr>
              <w:t>421,345</w:t>
            </w:r>
          </w:p>
        </w:tc>
        <w:tc>
          <w:tcPr>
            <w:tcW w:w="0" w:type="dxa"/>
            <w:vAlign w:val="bottom"/>
          </w:tcPr>
          <w:p>
            <w:pPr>
              <w:spacing w:after="0"/>
              <w:rPr>
                <w:sz w:val="1"/>
                <w:szCs w:val="1"/>
                <w:color w:val="auto"/>
              </w:rPr>
            </w:pPr>
          </w:p>
        </w:tc>
      </w:tr>
      <w:tr>
        <w:trPr>
          <w:trHeight w:val="254"/>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2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(158,251)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(173,298)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(218,877)</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5"/>
                <w:szCs w:val="15"/>
                <w:color w:val="auto"/>
              </w:rPr>
              <w:t>Loss on extinguishment of debt</w:t>
            </w: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(33,538)</w:t>
            </w:r>
          </w:p>
        </w:tc>
        <w:tc>
          <w:tcPr>
            <w:tcW w:w="0" w:type="dxa"/>
            <w:vAlign w:val="bottom"/>
          </w:tcPr>
          <w:p>
            <w:pPr>
              <w:spacing w:after="0"/>
              <w:rPr>
                <w:sz w:val="1"/>
                <w:szCs w:val="1"/>
                <w:color w:val="auto"/>
              </w:rPr>
            </w:pPr>
          </w:p>
        </w:tc>
      </w:tr>
      <w:tr>
        <w:trPr>
          <w:trHeight w:val="254"/>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Joint venture equity income</w:t>
            </w:r>
          </w:p>
        </w:tc>
        <w:tc>
          <w:tcPr>
            <w:tcW w:w="2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2,780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14,842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12,082</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(expense), net</w:t>
            </w:r>
          </w:p>
        </w:tc>
        <w:tc>
          <w:tcPr>
            <w:tcW w:w="2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27,617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91,377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(63,860)</w:t>
            </w: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from continuing operations before income taxes</w:t>
            </w:r>
          </w:p>
        </w:tc>
        <w:tc>
          <w:tcPr>
            <w:tcW w:w="2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328,035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353,907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117,152</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2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86,645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119,352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6,279</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from continuing operations</w:t>
            </w:r>
          </w:p>
        </w:tc>
        <w:tc>
          <w:tcPr>
            <w:tcW w:w="2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241,390</w:t>
            </w:r>
          </w:p>
        </w:tc>
        <w:tc>
          <w:tcPr>
            <w:tcW w:w="4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234,555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110,873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206"/>
              <w:spacing w:after="0"/>
              <w:rPr>
                <w:sz w:val="20"/>
                <w:szCs w:val="20"/>
                <w:color w:val="auto"/>
              </w:rPr>
            </w:pPr>
            <w:r>
              <w:rPr>
                <w:rFonts w:ascii="Arial" w:cs="Arial" w:eastAsia="Arial" w:hAnsi="Arial"/>
                <w:sz w:val="15"/>
                <w:szCs w:val="15"/>
                <w:color w:val="auto"/>
              </w:rPr>
              <w:t>39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7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5" w:right="239" w:bottom="1440" w:gutter="0" w:footer="0" w:header="0"/>
        </w:sectPr>
      </w:pPr>
    </w:p>
    <w:bookmarkStart w:id="41" w:name="page42"/>
    <w:bookmarkEnd w:id="41"/>
    <w:p>
      <w:pPr>
        <w:ind w:left="460"/>
        <w:spacing w:after="0"/>
        <w:rPr>
          <w:sz w:val="20"/>
          <w:szCs w:val="20"/>
          <w:color w:val="auto"/>
        </w:rPr>
      </w:pPr>
      <w:r>
        <w:rPr>
          <w:rFonts w:ascii="Arial" w:cs="Arial" w:eastAsia="Arial" w:hAnsi="Arial"/>
          <w:sz w:val="15"/>
          <w:szCs w:val="15"/>
          <w:b w:val="1"/>
          <w:bCs w:val="1"/>
          <w:i w:val="1"/>
          <w:iCs w:val="1"/>
          <w:color w:val="auto"/>
        </w:rPr>
        <w:t>Years Ended December 31, 2016 and 2015</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8"/>
        </w:trPr>
        <w:tc>
          <w:tcPr>
            <w:tcW w:w="60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760"/>
              <w:spacing w:after="0"/>
              <w:rPr>
                <w:sz w:val="20"/>
                <w:szCs w:val="20"/>
                <w:color w:val="auto"/>
              </w:rPr>
            </w:pPr>
            <w:r>
              <w:rPr>
                <w:rFonts w:ascii="Arial" w:cs="Arial" w:eastAsia="Arial" w:hAnsi="Arial"/>
                <w:sz w:val="11"/>
                <w:szCs w:val="11"/>
                <w:b w:val="1"/>
                <w:bCs w:val="1"/>
                <w:color w:val="auto"/>
              </w:rPr>
              <w:t>Change</w:t>
            </w:r>
          </w:p>
        </w:tc>
        <w:tc>
          <w:tcPr>
            <w:tcW w:w="700" w:type="dxa"/>
            <w:vAlign w:val="bottom"/>
            <w:tcBorders>
              <w:bottom w:val="single" w:sz="8" w:color="auto"/>
            </w:tcBorders>
          </w:tcPr>
          <w:p>
            <w:pPr>
              <w:spacing w:after="0"/>
              <w:rPr>
                <w:sz w:val="20"/>
                <w:szCs w:val="20"/>
                <w:color w:val="auto"/>
              </w:rPr>
            </w:pPr>
          </w:p>
        </w:tc>
      </w:tr>
      <w:tr>
        <w:trPr>
          <w:trHeight w:val="238"/>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1"/>
                <w:szCs w:val="11"/>
                <w:color w:val="auto"/>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Travel Network</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2,374,849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2,102,792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272,057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3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Airline and Hospitality Solutions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1,019,306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872,086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147,220</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r>
      <w:tr>
        <w:trPr>
          <w:trHeight w:val="233"/>
        </w:trPr>
        <w:tc>
          <w:tcPr>
            <w:tcW w:w="60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segment revenue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3,394,155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2,974,878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419,277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23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Eliminations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(20,768)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(13,982)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(6,786)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w:t>
            </w:r>
          </w:p>
        </w:tc>
      </w:tr>
      <w:tr>
        <w:trPr>
          <w:trHeight w:val="213"/>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revenue</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rPr>
              <w:t>3,373,387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2,960,896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412,491</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Travel Network</w:t>
      </w:r>
      <w:r>
        <w:rPr>
          <w:rFonts w:ascii="Arial" w:cs="Arial" w:eastAsia="Arial" w:hAnsi="Arial"/>
          <w:sz w:val="14"/>
          <w:szCs w:val="14"/>
          <w:color w:val="auto"/>
        </w:rPr>
        <w:t>—Revenue increased $272 million, or 13%, for the year ended December 31, 2016 compared to the prior year. The increase in revenue primarily resulted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from:</w:t>
      </w:r>
    </w:p>
    <w:p>
      <w:pPr>
        <w:spacing w:after="0" w:line="97" w:lineRule="exact"/>
        <w:rPr>
          <w:sz w:val="20"/>
          <w:szCs w:val="20"/>
          <w:color w:val="auto"/>
        </w:rPr>
      </w:pPr>
    </w:p>
    <w:p>
      <w:pPr>
        <w:jc w:val="both"/>
        <w:ind w:left="1180" w:hanging="593"/>
        <w:spacing w:after="0" w:line="242" w:lineRule="auto"/>
        <w:tabs>
          <w:tab w:leader="none" w:pos="11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$312 million increase in transaction-based revenue to $2,199 million due to growth in the business and the impact of the acquisition of Abacus in 2015. Direct Billable Bookings increased by 14% to 505 million in the year ended December 31, 2016. Excluding the impact of the acquisition of Abacus, Direct Billable Bookings increased by 3%, which was driven by growth of 6% in EMEA, 3% in North America and 1% in Latin America;</w:t>
      </w:r>
    </w:p>
    <w:p>
      <w:pPr>
        <w:spacing w:after="0" w:line="91" w:lineRule="exact"/>
        <w:rPr>
          <w:rFonts w:ascii="Arial" w:cs="Arial" w:eastAsia="Arial" w:hAnsi="Arial"/>
          <w:sz w:val="15"/>
          <w:szCs w:val="15"/>
          <w:color w:val="auto"/>
        </w:rPr>
      </w:pPr>
    </w:p>
    <w:p>
      <w:pPr>
        <w:ind w:left="1180" w:hanging="593"/>
        <w:spacing w:after="0" w:line="245" w:lineRule="auto"/>
        <w:tabs>
          <w:tab w:leader="none" w:pos="11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decrease of $40 million in other revenue resulting from a $51 million decrease in other revenue related to services we provided to Abacus prior to the acquisition in July 2015, offset by an increase of $11 million primarily due to data analytic products revenue.</w:t>
      </w:r>
    </w:p>
    <w:p>
      <w:pPr>
        <w:spacing w:after="0" w:line="270" w:lineRule="exact"/>
        <w:rPr>
          <w:sz w:val="20"/>
          <w:szCs w:val="20"/>
          <w:color w:val="auto"/>
        </w:rPr>
      </w:pPr>
    </w:p>
    <w:p>
      <w:pPr>
        <w:ind w:firstLine="589"/>
        <w:spacing w:after="0" w:line="267" w:lineRule="auto"/>
        <w:rPr>
          <w:sz w:val="20"/>
          <w:szCs w:val="20"/>
          <w:color w:val="auto"/>
        </w:rPr>
      </w:pPr>
      <w:r>
        <w:rPr>
          <w:rFonts w:ascii="Arial" w:cs="Arial" w:eastAsia="Arial" w:hAnsi="Arial"/>
          <w:sz w:val="15"/>
          <w:szCs w:val="15"/>
          <w:i w:val="1"/>
          <w:iCs w:val="1"/>
          <w:color w:val="auto"/>
        </w:rPr>
        <w:t>Airline and Hospitality Solutions</w:t>
      </w:r>
      <w:r>
        <w:rPr>
          <w:rFonts w:ascii="Arial" w:cs="Arial" w:eastAsia="Arial" w:hAnsi="Arial"/>
          <w:sz w:val="15"/>
          <w:szCs w:val="15"/>
          <w:color w:val="auto"/>
        </w:rPr>
        <w:t>—Revenue increased $147 million, or 17%, for the year ended December 31, 2016 compared to the prior year. The increase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primarily resulted from:</w:t>
      </w:r>
    </w:p>
    <w:p>
      <w:pPr>
        <w:spacing w:after="0" w:line="74" w:lineRule="exact"/>
        <w:rPr>
          <w:sz w:val="20"/>
          <w:szCs w:val="20"/>
          <w:color w:val="auto"/>
        </w:rPr>
      </w:pPr>
    </w:p>
    <w:p>
      <w:pPr>
        <w:jc w:val="both"/>
        <w:ind w:left="1180" w:hanging="593"/>
        <w:spacing w:after="0"/>
        <w:tabs>
          <w:tab w:leader="none" w:pos="11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$66 million increase in Airline Solutions’ SabreSonic revenue for the year ended December 31, 2016 compared to the prior year. Passengers boarded increased by 35% to 789 million for the year ended December 31, 2016, driven primarily by the cutover to SabreSonic CSS for American Airlines Group and Alitalia in the fourth quarter of 2015 and 2016, respectively, and by growth of existing customers. Revenue increased by $105 million primarily as a result of growth in PBs for the year ended December 31, 2016. This increase was partially offset by a $39 million decrease in non-PB revenue, primarily due to the expiration of a service contract in the fourth quarter of 2015 in conjunction with a litigation settlement agreement with that customer in 2012. In addition, in the last part of 2016, implementation schedules for several airlines were delayed to future years;</w:t>
      </w:r>
    </w:p>
    <w:p>
      <w:pPr>
        <w:spacing w:after="0" w:line="93" w:lineRule="exact"/>
        <w:rPr>
          <w:rFonts w:ascii="Arial" w:cs="Arial" w:eastAsia="Arial" w:hAnsi="Arial"/>
          <w:sz w:val="15"/>
          <w:szCs w:val="15"/>
          <w:color w:val="auto"/>
        </w:rPr>
      </w:pPr>
    </w:p>
    <w:p>
      <w:pPr>
        <w:ind w:left="1180" w:hanging="593"/>
        <w:spacing w:after="0"/>
        <w:tabs>
          <w:tab w:leader="none" w:pos="11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$32 million increase in Airline Solutions’ commercial and operations solutions revenue driven by growth in multiple products across our portfolio;</w:t>
      </w:r>
    </w:p>
    <w:p>
      <w:pPr>
        <w:spacing w:after="0" w:line="97" w:lineRule="exact"/>
        <w:rPr>
          <w:rFonts w:ascii="Arial" w:cs="Arial" w:eastAsia="Arial" w:hAnsi="Arial"/>
          <w:sz w:val="15"/>
          <w:szCs w:val="15"/>
          <w:color w:val="auto"/>
        </w:rPr>
      </w:pPr>
    </w:p>
    <w:p>
      <w:pPr>
        <w:jc w:val="both"/>
        <w:ind w:left="1180" w:hanging="593"/>
        <w:spacing w:after="0" w:line="242" w:lineRule="auto"/>
        <w:tabs>
          <w:tab w:leader="none" w:pos="11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$66 million increase in Hospitality Solutions revenue to $225 million for the year ended December 31, 2016 compared to the prior year, primarily driven by an increase in CRS transactions. The increase was mainly driven by revenue growth of $26 million from new and existing customers and revenue growth of $40 million from the acquisition of the Trust Group; and</w:t>
      </w:r>
    </w:p>
    <w:p>
      <w:pPr>
        <w:spacing w:after="0" w:line="91" w:lineRule="exact"/>
        <w:rPr>
          <w:rFonts w:ascii="Arial" w:cs="Arial" w:eastAsia="Arial" w:hAnsi="Arial"/>
          <w:sz w:val="15"/>
          <w:szCs w:val="15"/>
          <w:color w:val="auto"/>
        </w:rPr>
      </w:pPr>
    </w:p>
    <w:p>
      <w:pPr>
        <w:ind w:left="1180" w:hanging="593"/>
        <w:spacing w:after="0"/>
        <w:tabs>
          <w:tab w:leader="none" w:pos="11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$17 million decrease in discrete professional service fees revenue, as a result of certain unrealized customer contracts.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Cost of 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760"/>
              <w:spacing w:after="0"/>
              <w:rPr>
                <w:sz w:val="20"/>
                <w:szCs w:val="20"/>
                <w:color w:val="auto"/>
              </w:rPr>
            </w:pPr>
            <w:r>
              <w:rPr>
                <w:rFonts w:ascii="Arial" w:cs="Arial" w:eastAsia="Arial" w:hAnsi="Arial"/>
                <w:sz w:val="11"/>
                <w:szCs w:val="11"/>
                <w:b w:val="1"/>
                <w:bCs w:val="1"/>
                <w:color w:val="auto"/>
              </w:rPr>
              <w:t>Change</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1"/>
                <w:szCs w:val="11"/>
                <w:color w:val="auto"/>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Travel Network</w:t>
            </w: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1,279,231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1,128,878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150,353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5"/>
                <w:szCs w:val="15"/>
                <w:color w:val="auto"/>
              </w:rPr>
              <w:t>Airline and Hospitality Solutions</w:t>
            </w: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5"/>
                <w:szCs w:val="15"/>
                <w:color w:val="auto"/>
              </w:rPr>
              <w:t>576,786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487,282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89,504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Eliminations</w:t>
            </w:r>
          </w:p>
        </w:tc>
        <w:tc>
          <w:tcPr>
            <w:tcW w:w="17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(20,371)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(13,653)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17"/>
        </w:trPr>
        <w:tc>
          <w:tcPr>
            <w:tcW w:w="4340" w:type="dxa"/>
            <w:vAlign w:val="bottom"/>
          </w:tcPr>
          <w:p>
            <w:pPr>
              <w:ind w:left="240"/>
              <w:spacing w:after="0"/>
              <w:rPr>
                <w:sz w:val="20"/>
                <w:szCs w:val="20"/>
                <w:color w:val="auto"/>
              </w:rPr>
            </w:pPr>
            <w:r>
              <w:rPr>
                <w:rFonts w:ascii="Arial" w:cs="Arial" w:eastAsia="Arial" w:hAnsi="Arial"/>
                <w:sz w:val="15"/>
                <w:szCs w:val="15"/>
                <w:color w:val="auto"/>
              </w:rPr>
              <w:t>Total segment cost of revenue</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5"/>
                <w:szCs w:val="15"/>
                <w:color w:val="auto"/>
              </w:rPr>
              <w:t>1,835,646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1,602,507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233,139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Corporate</w:t>
            </w:r>
          </w:p>
        </w:tc>
        <w:tc>
          <w:tcPr>
            <w:tcW w:w="1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108,939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53,487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55,452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5"/>
                <w:szCs w:val="15"/>
                <w:color w:val="auto"/>
              </w:rPr>
              <w:t>287,353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244,535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42,818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upfront incentive consideration</w:t>
            </w:r>
          </w:p>
        </w:tc>
        <w:tc>
          <w:tcPr>
            <w:tcW w:w="17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5"/>
                <w:szCs w:val="15"/>
                <w:color w:val="auto"/>
              </w:rPr>
              <w:t>55,724</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43,521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12,203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18"/>
        </w:trPr>
        <w:tc>
          <w:tcPr>
            <w:tcW w:w="4340" w:type="dxa"/>
            <w:vAlign w:val="bottom"/>
          </w:tcPr>
          <w:p>
            <w:pPr>
              <w:ind w:left="240"/>
              <w:spacing w:after="0"/>
              <w:rPr>
                <w:sz w:val="20"/>
                <w:szCs w:val="20"/>
                <w:color w:val="auto"/>
              </w:rPr>
            </w:pPr>
            <w:r>
              <w:rPr>
                <w:rFonts w:ascii="Arial" w:cs="Arial" w:eastAsia="Arial" w:hAnsi="Arial"/>
                <w:sz w:val="15"/>
                <w:szCs w:val="15"/>
                <w:color w:val="auto"/>
              </w:rPr>
              <w:t>Total cost of revenue</w:t>
            </w:r>
          </w:p>
        </w:tc>
        <w:tc>
          <w:tcPr>
            <w:tcW w:w="2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1"/>
              <w:spacing w:after="0"/>
              <w:rPr>
                <w:sz w:val="20"/>
                <w:szCs w:val="20"/>
                <w:color w:val="auto"/>
              </w:rPr>
            </w:pPr>
            <w:r>
              <w:rPr>
                <w:rFonts w:ascii="Arial" w:cs="Arial" w:eastAsia="Arial" w:hAnsi="Arial"/>
                <w:sz w:val="15"/>
                <w:szCs w:val="15"/>
                <w:color w:val="auto"/>
              </w:rPr>
              <w:t>2,287,662</w:t>
            </w:r>
          </w:p>
        </w:tc>
        <w:tc>
          <w:tcPr>
            <w:tcW w:w="120" w:type="dxa"/>
            <w:vAlign w:val="bottom"/>
          </w:tcPr>
          <w:p>
            <w:pPr>
              <w:spacing w:after="0"/>
              <w:rPr>
                <w:sz w:val="18"/>
                <w:szCs w:val="18"/>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1,944,050</w:t>
            </w:r>
          </w:p>
        </w:tc>
        <w:tc>
          <w:tcPr>
            <w:tcW w:w="10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343,612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720" w:type="dxa"/>
            <w:vAlign w:val="bottom"/>
            <w:vMerge w:val="restart"/>
          </w:tcPr>
          <w:p>
            <w:pPr>
              <w:jc w:val="right"/>
              <w:ind w:right="186"/>
              <w:spacing w:after="0"/>
              <w:rPr>
                <w:sz w:val="20"/>
                <w:szCs w:val="20"/>
                <w:color w:val="auto"/>
              </w:rPr>
            </w:pPr>
            <w:r>
              <w:rPr>
                <w:rFonts w:ascii="Arial" w:cs="Arial" w:eastAsia="Arial" w:hAnsi="Arial"/>
                <w:sz w:val="15"/>
                <w:szCs w:val="15"/>
                <w:color w:val="auto"/>
              </w:rPr>
              <w:t>40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3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5" w:right="239" w:bottom="1440" w:gutter="0" w:footer="0" w:header="0"/>
        </w:sectPr>
      </w:pPr>
    </w:p>
    <w:bookmarkStart w:id="42" w:name="page43"/>
    <w:bookmarkEnd w:id="42"/>
    <w:p>
      <w:pPr>
        <w:jc w:val="both"/>
        <w:ind w:firstLine="454"/>
        <w:spacing w:after="0" w:line="253" w:lineRule="auto"/>
        <w:rPr>
          <w:sz w:val="20"/>
          <w:szCs w:val="20"/>
          <w:color w:val="auto"/>
        </w:rPr>
      </w:pPr>
      <w:r>
        <w:rPr>
          <w:rFonts w:ascii="Arial" w:cs="Arial" w:eastAsia="Arial" w:hAnsi="Arial"/>
          <w:sz w:val="15"/>
          <w:szCs w:val="15"/>
          <w:i w:val="1"/>
          <w:iCs w:val="1"/>
          <w:color w:val="auto"/>
        </w:rPr>
        <w:t>Travel Network</w:t>
      </w:r>
      <w:r>
        <w:rPr>
          <w:rFonts w:ascii="Arial" w:cs="Arial" w:eastAsia="Arial" w:hAnsi="Arial"/>
          <w:sz w:val="15"/>
          <w:szCs w:val="15"/>
          <w:color w:val="auto"/>
        </w:rPr>
        <w:t>—Cost of revenue increased $150 million, or 13%, for the year ended December 31, 2016 compared to the prior year. The increase was primarily the</w:t>
      </w:r>
      <w:r>
        <w:rPr>
          <w:rFonts w:ascii="Arial" w:cs="Arial" w:eastAsia="Arial" w:hAnsi="Arial"/>
          <w:sz w:val="15"/>
          <w:szCs w:val="15"/>
          <w:i w:val="1"/>
          <w:iCs w:val="1"/>
          <w:color w:val="auto"/>
        </w:rPr>
        <w:t xml:space="preserve"> </w:t>
      </w:r>
      <w:r>
        <w:rPr>
          <w:rFonts w:ascii="Arial" w:cs="Arial" w:eastAsia="Arial" w:hAnsi="Arial"/>
          <w:sz w:val="15"/>
          <w:szCs w:val="15"/>
          <w:color w:val="auto"/>
        </w:rPr>
        <w:t>result of costs associated with Abacus' operations, an increase in incentive consideration primarily in EMEA and North America, and a $7 million impairment of a prepaid incentive for a European travel agency due its insolvency.</w:t>
      </w:r>
    </w:p>
    <w:p>
      <w:pPr>
        <w:spacing w:after="0" w:line="166"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5"/>
          <w:szCs w:val="15"/>
          <w:i w:val="1"/>
          <w:iCs w:val="1"/>
          <w:color w:val="auto"/>
        </w:rPr>
        <w:t>Airline and Hospitality Solutions</w:t>
      </w:r>
      <w:r>
        <w:rPr>
          <w:rFonts w:ascii="Arial" w:cs="Arial" w:eastAsia="Arial" w:hAnsi="Arial"/>
          <w:sz w:val="15"/>
          <w:szCs w:val="15"/>
          <w:color w:val="auto"/>
        </w:rPr>
        <w:t>—Cost of revenue increased $90 million, or 18%, for the year ended December 31, 2016 compared to the prior year. The increase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the result of higher transaction-related expenses, driven by growth in transaction volumes and an increase in headcount-related costs, which included the impact the of the Trust Group acquisition.</w:t>
      </w:r>
    </w:p>
    <w:p>
      <w:pPr>
        <w:spacing w:after="0" w:line="166" w:lineRule="exact"/>
        <w:rPr>
          <w:sz w:val="20"/>
          <w:szCs w:val="20"/>
          <w:color w:val="auto"/>
        </w:rPr>
      </w:pPr>
    </w:p>
    <w:p>
      <w:pPr>
        <w:jc w:val="both"/>
        <w:ind w:firstLine="454"/>
        <w:spacing w:after="0" w:line="244" w:lineRule="auto"/>
        <w:rPr>
          <w:sz w:val="20"/>
          <w:szCs w:val="20"/>
          <w:color w:val="auto"/>
        </w:rPr>
      </w:pPr>
      <w:r>
        <w:rPr>
          <w:rFonts w:ascii="Arial" w:cs="Arial" w:eastAsia="Arial" w:hAnsi="Arial"/>
          <w:sz w:val="15"/>
          <w:szCs w:val="15"/>
          <w:i w:val="1"/>
          <w:iCs w:val="1"/>
          <w:color w:val="auto"/>
        </w:rPr>
        <w:t>Corporate</w:t>
      </w:r>
      <w:r>
        <w:rPr>
          <w:rFonts w:ascii="Arial" w:cs="Arial" w:eastAsia="Arial" w:hAnsi="Arial"/>
          <w:sz w:val="15"/>
          <w:szCs w:val="15"/>
          <w:color w:val="auto"/>
        </w:rPr>
        <w:t>—Cost of revenue associated with corporate costs increased $55 million, or 104%, for the year ended December 31, 2016 compared to the prior year.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was primarily due to higher shared technology infrastructure and labor costs, stock-based compensation expense, and other headcount-related costs, including a $12 million charge to implement a plan to restructure a portion of our global workforce in support of funding our efforts to modernize our technology infrastructure, as well as to align and improve our operational efficiency to reflect expected changes by customers on implementation schedules for certain of Airline Solutions products. We expect that incremental costs will continue to rise as we increase investment in the modernization, stability and security of our technology platforms, including accelerating the adoption of cloud and open architecture systems.</w:t>
      </w:r>
    </w:p>
    <w:p>
      <w:pPr>
        <w:spacing w:after="0" w:line="174" w:lineRule="exact"/>
        <w:rPr>
          <w:sz w:val="20"/>
          <w:szCs w:val="20"/>
          <w:color w:val="auto"/>
        </w:rPr>
      </w:pPr>
    </w:p>
    <w:p>
      <w:pPr>
        <w:jc w:val="both"/>
        <w:ind w:firstLine="454"/>
        <w:spacing w:after="0" w:line="248"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—Cost of revenue associated with depreciation and amortization increased $43 million, or 18%, for the year ended December 31, 2016</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prior year. The increase was primarily due to the completion and amortization of software developed for internal use and additional amortization of capitalized implementation costs. We also incurred an increase in amortization of definite-lived intangible assets associated with the acquisition of Abacus, the Trust Group and Airpas Aviation.</w:t>
      </w:r>
    </w:p>
    <w:p>
      <w:pPr>
        <w:spacing w:after="0" w:line="170" w:lineRule="exact"/>
        <w:rPr>
          <w:sz w:val="20"/>
          <w:szCs w:val="20"/>
          <w:color w:val="auto"/>
        </w:rPr>
      </w:pPr>
    </w:p>
    <w:p>
      <w:pPr>
        <w:jc w:val="both"/>
        <w:ind w:firstLine="454"/>
        <w:spacing w:after="0" w:line="253" w:lineRule="auto"/>
        <w:rPr>
          <w:sz w:val="20"/>
          <w:szCs w:val="20"/>
          <w:color w:val="auto"/>
        </w:rPr>
      </w:pPr>
      <w:r>
        <w:rPr>
          <w:rFonts w:ascii="Arial" w:cs="Arial" w:eastAsia="Arial" w:hAnsi="Arial"/>
          <w:sz w:val="15"/>
          <w:szCs w:val="15"/>
          <w:i w:val="1"/>
          <w:iCs w:val="1"/>
          <w:color w:val="auto"/>
        </w:rPr>
        <w:t>Amortization of upfront incentive consideration—</w:t>
      </w:r>
      <w:r>
        <w:rPr>
          <w:rFonts w:ascii="Arial" w:cs="Arial" w:eastAsia="Arial" w:hAnsi="Arial"/>
          <w:sz w:val="15"/>
          <w:szCs w:val="15"/>
          <w:color w:val="auto"/>
        </w:rPr>
        <w:t>Amortization of upfront incentive consideration increased $12 million, or 28%, for the year ended December 31, 2016</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prior year primarily due to an increase in upfront consideration provided to travel agencies during 2016 and second half of 2015. This increase includes an impairment of $2 million of upfront incentive consideration in 2016 provided to a European travel agency due to its insolvency.</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ind w:left="3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38"/>
        </w:trPr>
        <w:tc>
          <w:tcPr>
            <w:tcW w:w="60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2016</w:t>
            </w: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35"/>
              <w:spacing w:after="0"/>
              <w:rPr>
                <w:sz w:val="20"/>
                <w:szCs w:val="20"/>
                <w:color w:val="auto"/>
              </w:rPr>
            </w:pPr>
            <w:r>
              <w:rPr>
                <w:rFonts w:ascii="Arial" w:cs="Arial" w:eastAsia="Arial" w:hAnsi="Arial"/>
                <w:sz w:val="11"/>
                <w:szCs w:val="11"/>
                <w:b w:val="1"/>
                <w:bCs w:val="1"/>
                <w:color w:val="auto"/>
                <w:w w:val="99"/>
              </w:rPr>
              <w:t>Change</w:t>
            </w:r>
          </w:p>
        </w:tc>
      </w:tr>
      <w:tr>
        <w:trPr>
          <w:trHeight w:val="238"/>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4"/>
          </w:tcPr>
          <w:p>
            <w:pPr>
              <w:ind w:left="420"/>
              <w:spacing w:after="0"/>
              <w:rPr>
                <w:sz w:val="20"/>
                <w:szCs w:val="20"/>
                <w:color w:val="auto"/>
              </w:rPr>
            </w:pPr>
            <w:r>
              <w:rPr>
                <w:rFonts w:ascii="Arial" w:cs="Arial" w:eastAsia="Arial" w:hAnsi="Arial"/>
                <w:sz w:val="11"/>
                <w:szCs w:val="11"/>
                <w:color w:val="auto"/>
              </w:rPr>
              <w:t>(Amounts in thousands)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626,153</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rPr>
              <w:t>557,077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69,076</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r>
    </w:tbl>
    <w:p>
      <w:pPr>
        <w:spacing w:after="0" w:line="198"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4"/>
          <w:szCs w:val="14"/>
          <w:color w:val="auto"/>
        </w:rPr>
        <w:t>Selling, general and administrative expenses (“SG&amp;A”) increased by $69 million, or 12%, for the year ended December 31, 2016 compared to the prior year. This increase is primarily due to a $40 million increase in headcount-related expenses driven by the acquisitions of Abacus and the Trust Group, an increase in stock-based compensation of $11 million, and other headcount-related costs, including a $8 million charge to implement a plan to restructure a portion of our global workforce in support of funding our efforts to modernize our technology infrastructure, as well as to align and improve our operational efficiency to reflect expected changes by customers on implementation schedules for certain of Airline Solutions products. Depreciation and amortization expenses increased $18 million due to the amortization of intangible assets obtained in the acquisition of Abacus in 2015, and the Trust Group and Airpas Aviation acquisitions earlier this year. Litigation costs increased primarily due to the accrual of $32 million for the US Airways litigation, which represents the trebling of the jury award plus our estimate of attorneys’ fees, expenses and costs (See Note 15—Commitments and Contingencies), offset by $6 million of insurance reimbursements. Additionally, acquisition-related costs decreased by $14 million due to the acquisition of Abacus in 2015.</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Interest Expense, net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0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439"/>
              <w:spacing w:after="0"/>
              <w:rPr>
                <w:sz w:val="20"/>
                <w:szCs w:val="20"/>
                <w:color w:val="auto"/>
              </w:rPr>
            </w:pPr>
            <w:r>
              <w:rPr>
                <w:rFonts w:ascii="Arial" w:cs="Arial" w:eastAsia="Arial" w:hAnsi="Arial"/>
                <w:sz w:val="11"/>
                <w:szCs w:val="11"/>
                <w:b w:val="1"/>
                <w:bCs w:val="1"/>
                <w:color w:val="auto"/>
              </w:rPr>
              <w:t>2016</w:t>
            </w: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tcPr>
          <w:p>
            <w:pPr>
              <w:jc w:val="right"/>
              <w:ind w:right="335"/>
              <w:spacing w:after="0"/>
              <w:rPr>
                <w:sz w:val="20"/>
                <w:szCs w:val="20"/>
                <w:color w:val="auto"/>
              </w:rPr>
            </w:pPr>
            <w:r>
              <w:rPr>
                <w:rFonts w:ascii="Arial" w:cs="Arial" w:eastAsia="Arial" w:hAnsi="Arial"/>
                <w:sz w:val="11"/>
                <w:szCs w:val="11"/>
                <w:b w:val="1"/>
                <w:bCs w:val="1"/>
                <w:color w:val="auto"/>
              </w:rPr>
              <w:t>Change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60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ind w:left="400"/>
              <w:spacing w:after="0"/>
              <w:rPr>
                <w:sz w:val="20"/>
                <w:szCs w:val="20"/>
                <w:color w:val="auto"/>
              </w:rPr>
            </w:pPr>
            <w:r>
              <w:rPr>
                <w:rFonts w:ascii="Arial" w:cs="Arial" w:eastAsia="Arial" w:hAnsi="Arial"/>
                <w:sz w:val="11"/>
                <w:szCs w:val="11"/>
                <w:color w:val="auto"/>
              </w:rPr>
              <w:t>(Amounts in thousands)</w:t>
            </w: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158,251</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rPr>
              <w:t>173,298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735"/>
              <w:spacing w:after="0"/>
              <w:rPr>
                <w:sz w:val="20"/>
                <w:szCs w:val="20"/>
                <w:color w:val="auto"/>
              </w:rPr>
            </w:pPr>
            <w:r>
              <w:rPr>
                <w:rFonts w:ascii="Arial" w:cs="Arial" w:eastAsia="Arial" w:hAnsi="Arial"/>
                <w:sz w:val="15"/>
                <w:szCs w:val="15"/>
                <w:color w:val="auto"/>
              </w:rPr>
              <w:t>(15,047)</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Interest expense, net, decreased $15 million, or 9%, for the year ended December 31, 2016 compared to the prior year. The decrease was primarily the result of a lower effective interest rate from the extinguishment of our 8.5% senior secured notes due 2019 in April 2015 and the partial extinguishment of our 8.35% senior unsecured notes due 2016 in December 2015, funded by the issuance of our 5.375% and 5.25% senior secured notes due 2023, respectively. Our senior unsecured notes due 2016 fully matured in March 2016. The decrease in our effective interest rate was partially offset by an increase in average debt outstanding compared to the same period in the prior year, the impacts of our interest rate swaps and an increase in amortization of debt issuance costs.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20"/>
          </w:cols>
          <w:pgMar w:left="240" w:top="739"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5"/>
          <w:szCs w:val="15"/>
          <w:i w:val="1"/>
          <w:iCs w:val="1"/>
          <w:color w:val="auto"/>
        </w:rPr>
        <w:t>Loss on Extinguishment of Debt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20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8"/>
        </w:trPr>
        <w:tc>
          <w:tcPr>
            <w:tcW w:w="60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Change</w:t>
            </w:r>
          </w:p>
        </w:tc>
        <w:tc>
          <w:tcPr>
            <w:tcW w:w="760" w:type="dxa"/>
            <w:vAlign w:val="bottom"/>
            <w:tcBorders>
              <w:bottom w:val="single" w:sz="8" w:color="auto"/>
            </w:tcBorders>
          </w:tcPr>
          <w:p>
            <w:pPr>
              <w:spacing w:after="0"/>
              <w:rPr>
                <w:sz w:val="20"/>
                <w:szCs w:val="20"/>
                <w:color w:val="auto"/>
              </w:rPr>
            </w:pPr>
          </w:p>
        </w:tc>
      </w:tr>
      <w:tr>
        <w:trPr>
          <w:trHeight w:val="193"/>
        </w:trPr>
        <w:tc>
          <w:tcPr>
            <w:tcW w:w="6040" w:type="dxa"/>
            <w:vAlign w:val="bottom"/>
          </w:tcPr>
          <w:p>
            <w:pPr>
              <w:spacing w:after="0"/>
              <w:rPr>
                <w:sz w:val="16"/>
                <w:szCs w:val="16"/>
                <w:color w:val="auto"/>
              </w:rPr>
            </w:pPr>
          </w:p>
        </w:tc>
        <w:tc>
          <w:tcPr>
            <w:tcW w:w="2000" w:type="dxa"/>
            <w:vAlign w:val="bottom"/>
            <w:gridSpan w:val="3"/>
          </w:tcPr>
          <w:p>
            <w:pPr>
              <w:jc w:val="center"/>
              <w:ind w:left="539"/>
              <w:spacing w:after="0"/>
              <w:rPr>
                <w:sz w:val="20"/>
                <w:szCs w:val="20"/>
                <w:color w:val="auto"/>
              </w:rPr>
            </w:pPr>
            <w:r>
              <w:rPr>
                <w:rFonts w:ascii="Arial" w:cs="Arial" w:eastAsia="Arial" w:hAnsi="Arial"/>
                <w:sz w:val="11"/>
                <w:szCs w:val="11"/>
                <w:color w:val="auto"/>
              </w:rPr>
              <w:t>(Amounts in thousands)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52"/>
        </w:trPr>
        <w:tc>
          <w:tcPr>
            <w:tcW w:w="6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5"/>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extinguishment of debt</w:t>
            </w:r>
          </w:p>
        </w:tc>
        <w:tc>
          <w:tcPr>
            <w:tcW w:w="740" w:type="dxa"/>
            <w:vAlign w:val="bottom"/>
            <w:shd w:val="clear" w:color="auto" w:fill="CCEEFF"/>
          </w:tcPr>
          <w:p>
            <w:pPr>
              <w:jc w:val="right"/>
              <w:ind w:right="579"/>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3,683</w:t>
            </w:r>
          </w:p>
        </w:tc>
        <w:tc>
          <w:tcPr>
            <w:tcW w:w="760" w:type="dxa"/>
            <w:vAlign w:val="bottom"/>
            <w:shd w:val="clear" w:color="auto" w:fill="CCEEFF"/>
          </w:tcPr>
          <w:p>
            <w:pPr>
              <w:jc w:val="right"/>
              <w:ind w:right="495"/>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38,783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rPr>
              <w:t>(35,100)</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r>
    </w:tbl>
    <w:p>
      <w:pPr>
        <w:spacing w:after="0" w:line="173" w:lineRule="exact"/>
        <w:rPr>
          <w:sz w:val="20"/>
          <w:szCs w:val="20"/>
          <w:color w:val="auto"/>
        </w:rPr>
      </w:pPr>
    </w:p>
    <w:p>
      <w:pPr>
        <w:ind w:right="20" w:firstLine="589"/>
        <w:spacing w:after="0" w:line="268" w:lineRule="auto"/>
        <w:rPr>
          <w:sz w:val="20"/>
          <w:szCs w:val="20"/>
          <w:color w:val="auto"/>
        </w:rPr>
      </w:pPr>
      <w:r>
        <w:rPr>
          <w:rFonts w:ascii="Arial" w:cs="Arial" w:eastAsia="Arial" w:hAnsi="Arial"/>
          <w:sz w:val="14"/>
          <w:szCs w:val="14"/>
          <w:color w:val="auto"/>
        </w:rPr>
        <w:t>Loss on extinguishment of debt decreased by $35 million, or 91%, for the year ended December 31, 2016 compared to the same period in prior year. We recognized a loss on extinguishment of debt of $4 million due to the prepayment of a portion of Term Loan B in July 2016. In 2015, as a result of the extinguishment of our senior secured notes due 2019 and the prepayment on our senior unsecured notes due 2016, we recognized losses on extinguishment of debt of $33 million and $6 million, respectively.</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Joint Venture Equity Income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20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8"/>
        </w:trPr>
        <w:tc>
          <w:tcPr>
            <w:tcW w:w="60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26"/>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Change</w:t>
            </w:r>
          </w:p>
        </w:tc>
        <w:tc>
          <w:tcPr>
            <w:tcW w:w="760" w:type="dxa"/>
            <w:vAlign w:val="bottom"/>
            <w:tcBorders>
              <w:bottom w:val="single" w:sz="8" w:color="auto"/>
            </w:tcBorders>
          </w:tcPr>
          <w:p>
            <w:pPr>
              <w:spacing w:after="0"/>
              <w:rPr>
                <w:sz w:val="20"/>
                <w:szCs w:val="20"/>
                <w:color w:val="auto"/>
              </w:rPr>
            </w:pPr>
          </w:p>
        </w:tc>
      </w:tr>
      <w:tr>
        <w:trPr>
          <w:trHeight w:val="238"/>
        </w:trPr>
        <w:tc>
          <w:tcPr>
            <w:tcW w:w="6040" w:type="dxa"/>
            <w:vAlign w:val="bottom"/>
          </w:tcPr>
          <w:p>
            <w:pPr>
              <w:spacing w:after="0"/>
              <w:rPr>
                <w:sz w:val="20"/>
                <w:szCs w:val="20"/>
                <w:color w:val="auto"/>
              </w:rPr>
            </w:pPr>
          </w:p>
        </w:tc>
        <w:tc>
          <w:tcPr>
            <w:tcW w:w="2000" w:type="dxa"/>
            <w:vAlign w:val="bottom"/>
            <w:gridSpan w:val="3"/>
          </w:tcPr>
          <w:p>
            <w:pPr>
              <w:jc w:val="center"/>
              <w:ind w:left="539"/>
              <w:spacing w:after="0"/>
              <w:rPr>
                <w:sz w:val="20"/>
                <w:szCs w:val="20"/>
                <w:color w:val="auto"/>
              </w:rPr>
            </w:pPr>
            <w:r>
              <w:rPr>
                <w:rFonts w:ascii="Arial" w:cs="Arial" w:eastAsia="Arial" w:hAnsi="Arial"/>
                <w:sz w:val="11"/>
                <w:szCs w:val="11"/>
                <w:color w:val="auto"/>
              </w:rPr>
              <w:t>(Amounts in thousands)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Joint venture equity income</w:t>
            </w:r>
          </w:p>
        </w:tc>
        <w:tc>
          <w:tcPr>
            <w:tcW w:w="740" w:type="dxa"/>
            <w:vAlign w:val="bottom"/>
            <w:shd w:val="clear" w:color="auto" w:fill="CCEEFF"/>
          </w:tcPr>
          <w:p>
            <w:pPr>
              <w:jc w:val="right"/>
              <w:ind w:right="579"/>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2,780</w:t>
            </w:r>
          </w:p>
        </w:tc>
        <w:tc>
          <w:tcPr>
            <w:tcW w:w="760" w:type="dxa"/>
            <w:vAlign w:val="bottom"/>
            <w:shd w:val="clear" w:color="auto" w:fill="CCEEFF"/>
          </w:tcPr>
          <w:p>
            <w:pPr>
              <w:jc w:val="right"/>
              <w:ind w:right="495"/>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14,842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rPr>
              <w:t>(12,062)</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r>
    </w:tbl>
    <w:p>
      <w:pPr>
        <w:spacing w:after="0" w:line="173" w:lineRule="exact"/>
        <w:rPr>
          <w:sz w:val="20"/>
          <w:szCs w:val="20"/>
          <w:color w:val="auto"/>
        </w:rPr>
      </w:pPr>
    </w:p>
    <w:p>
      <w:pPr>
        <w:ind w:right="40" w:firstLine="589"/>
        <w:spacing w:after="0" w:line="245" w:lineRule="auto"/>
        <w:rPr>
          <w:sz w:val="20"/>
          <w:szCs w:val="20"/>
          <w:color w:val="auto"/>
        </w:rPr>
      </w:pPr>
      <w:r>
        <w:rPr>
          <w:rFonts w:ascii="Arial" w:cs="Arial" w:eastAsia="Arial" w:hAnsi="Arial"/>
          <w:sz w:val="15"/>
          <w:szCs w:val="15"/>
          <w:color w:val="auto"/>
        </w:rPr>
        <w:t>On July 1, 2015, we acquired the remaining 65% of SAPPL, which represented the majority of our joint venture income for the year ended December 31, 2015. We do not expect significant joint venture income subsequent to this acquisition.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Other (income), net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38"/>
        </w:trPr>
        <w:tc>
          <w:tcPr>
            <w:tcW w:w="60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2016</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055"/>
              <w:spacing w:after="0"/>
              <w:rPr>
                <w:sz w:val="20"/>
                <w:szCs w:val="20"/>
                <w:color w:val="auto"/>
              </w:rPr>
            </w:pPr>
            <w:r>
              <w:rPr>
                <w:rFonts w:ascii="Arial" w:cs="Arial" w:eastAsia="Arial" w:hAnsi="Arial"/>
                <w:sz w:val="11"/>
                <w:szCs w:val="11"/>
                <w:b w:val="1"/>
                <w:bCs w:val="1"/>
                <w:color w:val="auto"/>
                <w:w w:val="99"/>
              </w:rPr>
              <w:t>Change</w:t>
            </w:r>
          </w:p>
        </w:tc>
      </w:tr>
      <w:tr>
        <w:trPr>
          <w:trHeight w:val="238"/>
        </w:trPr>
        <w:tc>
          <w:tcPr>
            <w:tcW w:w="6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1"/>
                <w:szCs w:val="11"/>
                <w:color w:val="auto"/>
              </w:rPr>
              <w:t>(Amounts in thousands)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rPr>
              <w:t>(27,617)</w:t>
            </w:r>
          </w:p>
        </w:tc>
        <w:tc>
          <w:tcPr>
            <w:tcW w:w="3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(91,377)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63,760</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r>
    </w:tbl>
    <w:p>
      <w:pPr>
        <w:spacing w:after="0" w:line="198"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Other (income), net decreased $64 million, or 70%, for the year ended December 31, 2016 compared to the prior year, primarily due to the acquisition of Abacus. We recognized a gain from sale of available-for-sale securities of $15 million, receipt of an earn-out payment of $6 million associated with the sale of a business in 2013, and realized and unrealized foreign currency exchange gains for the year ended December 31, 2016. In 2015, we recognized a gain of $78 million as a result of the remeasurement of our previously-held 35% equity interest in SAPPL to its fair value as of the acquisition date. In addition, we recognized a gain of $12 million during the year ended December 31, 2015 associated with the settlement of a pre-existing agreement between us and SAPPL related to data processing services.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Provision for Income Taxes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8"/>
        </w:trPr>
        <w:tc>
          <w:tcPr>
            <w:tcW w:w="60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2016</w:t>
            </w: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Change</w:t>
            </w:r>
          </w:p>
        </w:tc>
        <w:tc>
          <w:tcPr>
            <w:tcW w:w="760" w:type="dxa"/>
            <w:vAlign w:val="bottom"/>
            <w:tcBorders>
              <w:bottom w:val="single" w:sz="8" w:color="auto"/>
            </w:tcBorders>
          </w:tcPr>
          <w:p>
            <w:pPr>
              <w:spacing w:after="0"/>
              <w:rPr>
                <w:sz w:val="20"/>
                <w:szCs w:val="20"/>
                <w:color w:val="auto"/>
              </w:rPr>
            </w:pPr>
          </w:p>
        </w:tc>
      </w:tr>
      <w:tr>
        <w:trPr>
          <w:trHeight w:val="238"/>
        </w:trPr>
        <w:tc>
          <w:tcPr>
            <w:tcW w:w="6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1"/>
                <w:szCs w:val="11"/>
                <w:color w:val="auto"/>
              </w:rPr>
              <w:t>(Amounts in thousands)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rPr>
              <w:t>86,645</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rPr>
              <w:t>119,352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rPr>
              <w:t>(32,707)</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bl>
    <w:p>
      <w:pPr>
        <w:spacing w:after="0" w:line="370"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4"/>
          <w:szCs w:val="14"/>
          <w:color w:val="auto"/>
        </w:rPr>
        <w:t>Our effective tax rates for the years ended December 31, 2016 and 2015 were 26.4% and 33.7%, respectively. The decrease in the effective tax rate for the year ended December 31, 2016 as compared to the prior year is primarily due to the recognition of excess tax benefits on employee equity-based awards not previously recognized, due to the adoption of the new accounting standard, ASU 2016-09, offset by tax on the gain from sale of available-for-sale securities. See “—Recent Accounting Pronouncements."</w:t>
      </w:r>
    </w:p>
    <w:p>
      <w:pPr>
        <w:spacing w:after="0" w:line="17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differences between our effective tax rates and the U.S. federal statutory income tax rate primarily result from our geographic mix of taxable income in various tax jurisdictions as well as the discrete tax items referenced above.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20"/>
          </w:cols>
          <w:pgMar w:left="240" w:top="837"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5"/>
          <w:szCs w:val="15"/>
          <w:b w:val="1"/>
          <w:bCs w:val="1"/>
          <w:i w:val="1"/>
          <w:iCs w:val="1"/>
          <w:color w:val="auto"/>
        </w:rPr>
        <w:t>Year Ended December 31, 2015 and 2014</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8"/>
        </w:trPr>
        <w:tc>
          <w:tcPr>
            <w:tcW w:w="60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760"/>
              <w:spacing w:after="0"/>
              <w:rPr>
                <w:sz w:val="20"/>
                <w:szCs w:val="20"/>
                <w:color w:val="auto"/>
              </w:rPr>
            </w:pPr>
            <w:r>
              <w:rPr>
                <w:rFonts w:ascii="Arial" w:cs="Arial" w:eastAsia="Arial" w:hAnsi="Arial"/>
                <w:sz w:val="11"/>
                <w:szCs w:val="11"/>
                <w:b w:val="1"/>
                <w:bCs w:val="1"/>
                <w:color w:val="auto"/>
              </w:rPr>
              <w:t>Change</w:t>
            </w:r>
          </w:p>
        </w:tc>
        <w:tc>
          <w:tcPr>
            <w:tcW w:w="700" w:type="dxa"/>
            <w:vAlign w:val="bottom"/>
            <w:tcBorders>
              <w:bottom w:val="single" w:sz="8" w:color="auto"/>
            </w:tcBorders>
          </w:tcPr>
          <w:p>
            <w:pPr>
              <w:spacing w:after="0"/>
              <w:rPr>
                <w:sz w:val="20"/>
                <w:szCs w:val="20"/>
                <w:color w:val="auto"/>
              </w:rPr>
            </w:pPr>
          </w:p>
        </w:tc>
      </w:tr>
      <w:tr>
        <w:trPr>
          <w:trHeight w:val="238"/>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1"/>
                <w:szCs w:val="11"/>
                <w:color w:val="auto"/>
              </w:rPr>
              <w:t>(Amounts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Travel Network</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2,102,792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1,854,785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248,007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3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Airline and Hospitality Solutions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872,086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786,478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85,608</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r>
      <w:tr>
        <w:trPr>
          <w:trHeight w:val="233"/>
        </w:trPr>
        <w:tc>
          <w:tcPr>
            <w:tcW w:w="60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segment revenue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2,974,878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2,641,263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333,615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3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Eliminations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(13,982)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(9,846)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(4,136)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r>
      <w:tr>
        <w:trPr>
          <w:trHeight w:val="213"/>
        </w:trPr>
        <w:tc>
          <w:tcPr>
            <w:tcW w:w="6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revenue</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rPr>
              <w:t>2,960,896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2,631,417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329,479</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Travel Network</w:t>
      </w:r>
      <w:r>
        <w:rPr>
          <w:rFonts w:ascii="Arial" w:cs="Arial" w:eastAsia="Arial" w:hAnsi="Arial"/>
          <w:sz w:val="14"/>
          <w:szCs w:val="14"/>
          <w:color w:val="auto"/>
        </w:rPr>
        <w:t>—Revenue increased $248 million, or 13%, for the year ended December 31, 2015 compared to the prior year. The increase in revenue primarily resulted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from:</w:t>
      </w:r>
    </w:p>
    <w:p>
      <w:pPr>
        <w:spacing w:after="0" w:line="97" w:lineRule="exact"/>
        <w:rPr>
          <w:sz w:val="20"/>
          <w:szCs w:val="20"/>
          <w:color w:val="auto"/>
        </w:rPr>
      </w:pPr>
    </w:p>
    <w:p>
      <w:pPr>
        <w:jc w:val="both"/>
        <w:ind w:left="1180" w:hanging="593"/>
        <w:spacing w:after="0" w:line="242" w:lineRule="auto"/>
        <w:tabs>
          <w:tab w:leader="none" w:pos="11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$272 million increase in transaction-based revenue to $1,887 million primarily due to the acquisition of Abacus. Direct Billable Bookings increased by 18% to 443 million in the year ended December 31, 2015. Excluding the impact of the acquisition of Abacus, Direct Billable Bookings increased by 6%, which was driven by growth of 6% in North America and 15% in EMEA, partially offset by a slight decline in Latin America; and</w:t>
      </w:r>
    </w:p>
    <w:p>
      <w:pPr>
        <w:spacing w:after="0" w:line="91" w:lineRule="exact"/>
        <w:rPr>
          <w:rFonts w:ascii="Arial" w:cs="Arial" w:eastAsia="Arial" w:hAnsi="Arial"/>
          <w:sz w:val="15"/>
          <w:szCs w:val="15"/>
          <w:color w:val="auto"/>
        </w:rPr>
      </w:pPr>
    </w:p>
    <w:p>
      <w:pPr>
        <w:ind w:left="1180" w:hanging="593"/>
        <w:spacing w:after="0"/>
        <w:tabs>
          <w:tab w:leader="none" w:pos="11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increase in revenue was partially offset by a $21 million decrease in other revenue related to services we provided to Abacus prior to the acquisition.</w:t>
      </w:r>
    </w:p>
    <w:p>
      <w:pPr>
        <w:spacing w:after="0" w:line="179" w:lineRule="exact"/>
        <w:rPr>
          <w:sz w:val="20"/>
          <w:szCs w:val="20"/>
          <w:color w:val="auto"/>
        </w:rPr>
      </w:pPr>
    </w:p>
    <w:p>
      <w:pPr>
        <w:ind w:firstLine="392"/>
        <w:spacing w:after="0" w:line="267" w:lineRule="auto"/>
        <w:rPr>
          <w:sz w:val="20"/>
          <w:szCs w:val="20"/>
          <w:color w:val="auto"/>
        </w:rPr>
      </w:pPr>
      <w:r>
        <w:rPr>
          <w:rFonts w:ascii="Arial" w:cs="Arial" w:eastAsia="Arial" w:hAnsi="Arial"/>
          <w:sz w:val="15"/>
          <w:szCs w:val="15"/>
          <w:i w:val="1"/>
          <w:iCs w:val="1"/>
          <w:color w:val="auto"/>
        </w:rPr>
        <w:t>Airline and Hospitality Solutions</w:t>
      </w:r>
      <w:r>
        <w:rPr>
          <w:rFonts w:ascii="Arial" w:cs="Arial" w:eastAsia="Arial" w:hAnsi="Arial"/>
          <w:sz w:val="15"/>
          <w:szCs w:val="15"/>
          <w:color w:val="auto"/>
        </w:rPr>
        <w:t>—Revenue increased $86 million, or 11%, for the year ended December 31, 2015 compared to the prior year. The increase in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resulted from:</w:t>
      </w:r>
    </w:p>
    <w:p>
      <w:pPr>
        <w:spacing w:after="0" w:line="74" w:lineRule="exact"/>
        <w:rPr>
          <w:sz w:val="20"/>
          <w:szCs w:val="20"/>
          <w:color w:val="auto"/>
        </w:rPr>
      </w:pPr>
    </w:p>
    <w:p>
      <w:pPr>
        <w:jc w:val="both"/>
        <w:ind w:left="1180" w:hanging="593"/>
        <w:spacing w:after="0"/>
        <w:tabs>
          <w:tab w:leader="none" w:pos="11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 $57 million increase in Airline Solutions’ SabreSonic revenue for the year ended December 31, 2015 compared to the same period in the prior year. Approximately $38 million of the revenue increase in SabreSonic is attributable to growth in PBs of 15% to 585 million for the year ended December 31, 2015, combined with a $10 million increase in revenue due to broader adoption of our products by our existing customers. The growth in PBs was driven by existing customers and also by the cutover of American Airlines Group to SabreSonic in the fourth quarter of 2015. In addition, revenue associated with the extension of a services contract with a significant customer increased by $10 million during the year ended December 31, 2015. This contract was extended in conjunction with a litigation settlement agreement with that customer in 2012; and</w:t>
      </w:r>
    </w:p>
    <w:p>
      <w:pPr>
        <w:spacing w:after="0" w:line="93" w:lineRule="exact"/>
        <w:rPr>
          <w:rFonts w:ascii="Arial" w:cs="Arial" w:eastAsia="Arial" w:hAnsi="Arial"/>
          <w:sz w:val="15"/>
          <w:szCs w:val="15"/>
          <w:color w:val="auto"/>
        </w:rPr>
      </w:pPr>
    </w:p>
    <w:p>
      <w:pPr>
        <w:ind w:left="1180" w:hanging="593"/>
        <w:spacing w:after="0" w:line="245" w:lineRule="auto"/>
        <w:tabs>
          <w:tab w:leader="none" w:pos="11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 $28 million increase in Hospitality Solutions revenue to $159 million for the year ended December 31, 2015 compared to $132 million in the prior year, primarily driven by an increase in CRS transactions.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Cost of Revenue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8"/>
        </w:trPr>
        <w:tc>
          <w:tcPr>
            <w:tcW w:w="60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0"/>
              <w:spacing w:after="0"/>
              <w:rPr>
                <w:sz w:val="20"/>
                <w:szCs w:val="20"/>
                <w:color w:val="auto"/>
              </w:rPr>
            </w:pPr>
            <w:r>
              <w:rPr>
                <w:rFonts w:ascii="Arial" w:cs="Arial" w:eastAsia="Arial" w:hAnsi="Arial"/>
                <w:sz w:val="11"/>
                <w:szCs w:val="11"/>
                <w:b w:val="1"/>
                <w:bCs w:val="1"/>
                <w:color w:val="auto"/>
              </w:rPr>
              <w:t>Change</w:t>
            </w:r>
          </w:p>
        </w:tc>
        <w:tc>
          <w:tcPr>
            <w:tcW w:w="760" w:type="dxa"/>
            <w:vAlign w:val="bottom"/>
            <w:tcBorders>
              <w:bottom w:val="single" w:sz="8" w:color="auto"/>
            </w:tcBorders>
          </w:tcPr>
          <w:p>
            <w:pPr>
              <w:spacing w:after="0"/>
              <w:rPr>
                <w:sz w:val="20"/>
                <w:szCs w:val="20"/>
                <w:color w:val="auto"/>
              </w:rPr>
            </w:pPr>
          </w:p>
        </w:tc>
      </w:tr>
      <w:tr>
        <w:trPr>
          <w:trHeight w:val="238"/>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1"/>
                <w:szCs w:val="11"/>
                <w:color w:val="auto"/>
              </w:rPr>
              <w:t>(Amounts in thousands)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Travel Network</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1,128,878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991,509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137,369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r>
      <w:tr>
        <w:trPr>
          <w:trHeight w:val="237"/>
        </w:trPr>
        <w:tc>
          <w:tcPr>
            <w:tcW w:w="6040" w:type="dxa"/>
            <w:vAlign w:val="bottom"/>
          </w:tcPr>
          <w:p>
            <w:pPr>
              <w:ind w:left="20"/>
              <w:spacing w:after="0"/>
              <w:rPr>
                <w:sz w:val="20"/>
                <w:szCs w:val="20"/>
                <w:color w:val="auto"/>
              </w:rPr>
            </w:pPr>
            <w:r>
              <w:rPr>
                <w:rFonts w:ascii="Arial" w:cs="Arial" w:eastAsia="Arial" w:hAnsi="Arial"/>
                <w:sz w:val="15"/>
                <w:szCs w:val="15"/>
                <w:color w:val="auto"/>
              </w:rPr>
              <w:t>Airline and Hospitality Solutions</w:t>
            </w:r>
          </w:p>
        </w:tc>
        <w:tc>
          <w:tcPr>
            <w:tcW w:w="2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5"/>
                <w:szCs w:val="15"/>
                <w:color w:val="auto"/>
              </w:rPr>
              <w:t>487,282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5"/>
                <w:szCs w:val="15"/>
                <w:color w:val="auto"/>
              </w:rPr>
              <w:t>448,627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38,655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9 %</w:t>
            </w:r>
          </w:p>
        </w:tc>
      </w:tr>
      <w:tr>
        <w:trPr>
          <w:trHeight w:val="254"/>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Eliminations</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(13,653)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(3,823)</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39 %</w:t>
            </w:r>
          </w:p>
        </w:tc>
      </w:tr>
      <w:tr>
        <w:trPr>
          <w:trHeight w:val="217"/>
        </w:trPr>
        <w:tc>
          <w:tcPr>
            <w:tcW w:w="6040" w:type="dxa"/>
            <w:vAlign w:val="bottom"/>
          </w:tcPr>
          <w:p>
            <w:pPr>
              <w:ind w:left="240"/>
              <w:spacing w:after="0"/>
              <w:rPr>
                <w:sz w:val="20"/>
                <w:szCs w:val="20"/>
                <w:color w:val="auto"/>
              </w:rPr>
            </w:pPr>
            <w:r>
              <w:rPr>
                <w:rFonts w:ascii="Arial" w:cs="Arial" w:eastAsia="Arial" w:hAnsi="Arial"/>
                <w:sz w:val="15"/>
                <w:szCs w:val="15"/>
                <w:color w:val="auto"/>
              </w:rPr>
              <w:t>Total segment cost of revenue</w:t>
            </w:r>
          </w:p>
        </w:tc>
        <w:tc>
          <w:tcPr>
            <w:tcW w:w="2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5"/>
                <w:szCs w:val="15"/>
                <w:color w:val="auto"/>
              </w:rPr>
              <w:t>1,602,507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5"/>
                <w:szCs w:val="15"/>
                <w:color w:val="auto"/>
              </w:rPr>
              <w:t>1,430,306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172,201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12 %</w:t>
            </w:r>
          </w:p>
        </w:tc>
      </w:tr>
      <w:tr>
        <w:trPr>
          <w:trHeight w:val="254"/>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Corporate</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53,487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68,405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(14,918)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37"/>
        </w:trPr>
        <w:tc>
          <w:tcPr>
            <w:tcW w:w="604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5"/>
                <w:szCs w:val="15"/>
                <w:color w:val="auto"/>
              </w:rPr>
              <w:t>244,535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5"/>
                <w:szCs w:val="15"/>
                <w:color w:val="auto"/>
              </w:rPr>
              <w:t>198,409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46,126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23 %</w:t>
            </w:r>
          </w:p>
        </w:tc>
      </w:tr>
      <w:tr>
        <w:trPr>
          <w:trHeight w:val="254"/>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upfront incentive consideration</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43,521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45,358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(1,837)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5"/>
        </w:trPr>
        <w:tc>
          <w:tcPr>
            <w:tcW w:w="6040" w:type="dxa"/>
            <w:vAlign w:val="bottom"/>
          </w:tcPr>
          <w:p>
            <w:pPr>
              <w:ind w:left="240"/>
              <w:spacing w:after="0"/>
              <w:rPr>
                <w:sz w:val="20"/>
                <w:szCs w:val="20"/>
                <w:color w:val="auto"/>
              </w:rPr>
            </w:pPr>
            <w:r>
              <w:rPr>
                <w:rFonts w:ascii="Arial" w:cs="Arial" w:eastAsia="Arial" w:hAnsi="Arial"/>
                <w:sz w:val="15"/>
                <w:szCs w:val="15"/>
                <w:color w:val="auto"/>
              </w:rPr>
              <w:t>Total cost of revenue</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1,944,050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1,742,478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201,572</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12 %</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5"/>
          <w:szCs w:val="15"/>
          <w:i w:val="1"/>
          <w:iCs w:val="1"/>
          <w:color w:val="auto"/>
        </w:rPr>
        <w:t>Travel Network</w:t>
      </w:r>
      <w:r>
        <w:rPr>
          <w:rFonts w:ascii="Arial" w:cs="Arial" w:eastAsia="Arial" w:hAnsi="Arial"/>
          <w:sz w:val="15"/>
          <w:szCs w:val="15"/>
          <w:color w:val="auto"/>
        </w:rPr>
        <w:t>—Cost of revenue increased $137 million, or 14%, for the year ended December 31, 2015 compared to the prior year. The increase is primarily the result</w:t>
      </w:r>
      <w:r>
        <w:rPr>
          <w:rFonts w:ascii="Arial" w:cs="Arial" w:eastAsia="Arial" w:hAnsi="Arial"/>
          <w:sz w:val="15"/>
          <w:szCs w:val="15"/>
          <w:i w:val="1"/>
          <w:iCs w:val="1"/>
          <w:color w:val="auto"/>
        </w:rPr>
        <w:t xml:space="preserve"> </w:t>
      </w:r>
      <w:r>
        <w:rPr>
          <w:rFonts w:ascii="Arial" w:cs="Arial" w:eastAsia="Arial" w:hAnsi="Arial"/>
          <w:sz w:val="15"/>
          <w:szCs w:val="15"/>
          <w:color w:val="auto"/>
        </w:rPr>
        <w:t>of an increase in incentive consideration as well as other costs associated with Abacus' operations.</w:t>
      </w:r>
    </w:p>
    <w:p>
      <w:pPr>
        <w:spacing w:after="0" w:line="168"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5"/>
          <w:szCs w:val="15"/>
          <w:i w:val="1"/>
          <w:iCs w:val="1"/>
          <w:color w:val="auto"/>
        </w:rPr>
        <w:t>Airline and Hospitality Solutions</w:t>
      </w:r>
      <w:r>
        <w:rPr>
          <w:rFonts w:ascii="Arial" w:cs="Arial" w:eastAsia="Arial" w:hAnsi="Arial"/>
          <w:sz w:val="15"/>
          <w:szCs w:val="15"/>
          <w:color w:val="auto"/>
        </w:rPr>
        <w:t>—Cost of revenue increased $39 million, or 9%, for the year ended December 31, 2015 compared to the prior year. The increase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the result of higher transaction-related expenses, including technology costs, driven by growth in transaction volumes and an increase in headcount-related costs</w:t>
      </w:r>
      <w:r>
        <w:rPr>
          <w:rFonts w:ascii="Arial" w:cs="Arial" w:eastAsia="Arial" w:hAnsi="Arial"/>
          <w:sz w:val="16"/>
          <w:szCs w:val="16"/>
          <w:color w:val="auto"/>
        </w:rPr>
        <w:t>.</w:t>
      </w:r>
    </w:p>
    <w:p>
      <w:pPr>
        <w:spacing w:after="0" w:line="149"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5"/>
          <w:szCs w:val="15"/>
          <w:i w:val="1"/>
          <w:iCs w:val="1"/>
          <w:color w:val="auto"/>
        </w:rPr>
        <w:t>Corporate</w:t>
      </w:r>
      <w:r>
        <w:rPr>
          <w:rFonts w:ascii="Arial" w:cs="Arial" w:eastAsia="Arial" w:hAnsi="Arial"/>
          <w:sz w:val="15"/>
          <w:szCs w:val="15"/>
          <w:color w:val="auto"/>
        </w:rPr>
        <w:t>—Cost of revenue associated with corporate unallocated costs decreased $15 million, or 22%, for the year ended December 31, 2015 compared to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year. The decrease was primarily the result of a $26 million decrease in unallocated labor costs, partially offset by an increase of $10 million of shared data processing and technology costs.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20"/>
          </w:cols>
          <w:pgMar w:left="240" w:top="835" w:right="239" w:bottom="1440" w:gutter="0" w:footer="0" w:header="0"/>
        </w:sectPr>
      </w:pPr>
    </w:p>
    <w:bookmarkStart w:id="45" w:name="page46"/>
    <w:bookmarkEnd w:id="45"/>
    <w:p>
      <w:pPr>
        <w:jc w:val="both"/>
        <w:ind w:firstLine="392"/>
        <w:spacing w:after="0" w:line="253" w:lineRule="auto"/>
        <w:rPr>
          <w:sz w:val="20"/>
          <w:szCs w:val="20"/>
          <w:color w:val="auto"/>
        </w:rPr>
      </w:pPr>
      <w:r>
        <w:rPr>
          <w:rFonts w:ascii="Arial" w:cs="Arial" w:eastAsia="Arial" w:hAnsi="Arial"/>
          <w:sz w:val="15"/>
          <w:szCs w:val="15"/>
          <w:i w:val="1"/>
          <w:iCs w:val="1"/>
          <w:color w:val="auto"/>
        </w:rPr>
        <w:t>Depreciation and amortization</w:t>
      </w:r>
      <w:r>
        <w:rPr>
          <w:rFonts w:ascii="Arial" w:cs="Arial" w:eastAsia="Arial" w:hAnsi="Arial"/>
          <w:sz w:val="15"/>
          <w:szCs w:val="15"/>
          <w:color w:val="auto"/>
        </w:rPr>
        <w:t>—Cost of revenue associated with depreciation and amortization increased $46 million, or 23%, for the year ended December 31, 2015</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prior year. The increase was primarily due to the completion and amortization of software developed for internal use and an increase in amortization of definite-lived intangible assets associated with the acquisition of Abacus.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ind w:left="3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38"/>
        </w:trPr>
        <w:tc>
          <w:tcPr>
            <w:tcW w:w="60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2015</w:t>
            </w: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35"/>
              <w:spacing w:after="0"/>
              <w:rPr>
                <w:sz w:val="20"/>
                <w:szCs w:val="20"/>
                <w:color w:val="auto"/>
              </w:rPr>
            </w:pPr>
            <w:r>
              <w:rPr>
                <w:rFonts w:ascii="Arial" w:cs="Arial" w:eastAsia="Arial" w:hAnsi="Arial"/>
                <w:sz w:val="11"/>
                <w:szCs w:val="11"/>
                <w:b w:val="1"/>
                <w:bCs w:val="1"/>
                <w:color w:val="auto"/>
                <w:w w:val="99"/>
              </w:rPr>
              <w:t>Change</w:t>
            </w:r>
          </w:p>
        </w:tc>
      </w:tr>
      <w:tr>
        <w:trPr>
          <w:trHeight w:val="238"/>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4"/>
          </w:tcPr>
          <w:p>
            <w:pPr>
              <w:ind w:left="420"/>
              <w:spacing w:after="0"/>
              <w:rPr>
                <w:sz w:val="20"/>
                <w:szCs w:val="20"/>
                <w:color w:val="auto"/>
              </w:rPr>
            </w:pPr>
            <w:r>
              <w:rPr>
                <w:rFonts w:ascii="Arial" w:cs="Arial" w:eastAsia="Arial" w:hAnsi="Arial"/>
                <w:sz w:val="11"/>
                <w:szCs w:val="11"/>
                <w:color w:val="auto"/>
              </w:rPr>
              <w:t>(Amounts in thousands)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557,077</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rPr>
              <w:t>467,594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89,483</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bl>
    <w:p>
      <w:pPr>
        <w:spacing w:after="0" w:line="210" w:lineRule="exact"/>
        <w:rPr>
          <w:sz w:val="20"/>
          <w:szCs w:val="20"/>
          <w:color w:val="auto"/>
        </w:rPr>
      </w:pPr>
    </w:p>
    <w:p>
      <w:pPr>
        <w:jc w:val="both"/>
        <w:ind w:firstLine="454"/>
        <w:spacing w:after="0" w:line="271" w:lineRule="auto"/>
        <w:rPr>
          <w:sz w:val="20"/>
          <w:szCs w:val="20"/>
          <w:color w:val="auto"/>
        </w:rPr>
      </w:pPr>
      <w:r>
        <w:rPr>
          <w:rFonts w:ascii="Arial" w:cs="Arial" w:eastAsia="Arial" w:hAnsi="Arial"/>
          <w:sz w:val="15"/>
          <w:szCs w:val="15"/>
          <w:color w:val="auto"/>
        </w:rPr>
        <w:t>SG&amp;A increased by $89 million, or 19%, for the year ended December 31, 2015 compared to the prior year. The acquisition of Abacus contributed $55 million to the increase in SG&amp;A, primarily due to its costs of operations, $14 million in acquisition-related costs, $9 million in restructuring and related costs, and $10 million of amortization of acquired intangible assets. In addition, there were increases of $42 million in headcount related costs to support the growth of our business, including $6 million of stock-based compensation expense, $12 million in professional fees and $5 million in depreciation and amortization. These increases were partially offset by $24 million in management fees paid in the prior year to TPG and Silver Lake mainly in connection with our initial public offering</w:t>
      </w:r>
      <w:r>
        <w:rPr>
          <w:rFonts w:ascii="Arial" w:cs="Arial" w:eastAsia="Arial" w:hAnsi="Arial"/>
          <w:sz w:val="16"/>
          <w:szCs w:val="16"/>
          <w:color w:val="auto"/>
        </w:rPr>
        <w:t>.</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Interest Expense, net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ind w:left="30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8"/>
        </w:trPr>
        <w:tc>
          <w:tcPr>
            <w:tcW w:w="60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2015</w:t>
            </w: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Change</w:t>
            </w:r>
          </w:p>
        </w:tc>
        <w:tc>
          <w:tcPr>
            <w:tcW w:w="760" w:type="dxa"/>
            <w:vAlign w:val="bottom"/>
            <w:tcBorders>
              <w:bottom w:val="single" w:sz="8" w:color="auto"/>
            </w:tcBorders>
          </w:tcPr>
          <w:p>
            <w:pPr>
              <w:spacing w:after="0"/>
              <w:rPr>
                <w:sz w:val="20"/>
                <w:szCs w:val="20"/>
                <w:color w:val="auto"/>
              </w:rPr>
            </w:pPr>
          </w:p>
        </w:tc>
      </w:tr>
      <w:tr>
        <w:trPr>
          <w:trHeight w:val="238"/>
        </w:trPr>
        <w:tc>
          <w:tcPr>
            <w:tcW w:w="6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ind w:left="400"/>
              <w:spacing w:after="0"/>
              <w:rPr>
                <w:sz w:val="20"/>
                <w:szCs w:val="20"/>
                <w:color w:val="auto"/>
              </w:rPr>
            </w:pPr>
            <w:r>
              <w:rPr>
                <w:rFonts w:ascii="Arial" w:cs="Arial" w:eastAsia="Arial" w:hAnsi="Arial"/>
                <w:sz w:val="11"/>
                <w:szCs w:val="11"/>
                <w:color w:val="auto"/>
              </w:rPr>
              <w:t>(Amounts in thousands)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3"/>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 net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173,298</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rPr>
              <w:t>218,877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rPr>
              <w:t>(45,579)</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bl>
    <w:p>
      <w:pPr>
        <w:spacing w:after="0" w:line="198" w:lineRule="exact"/>
        <w:rPr>
          <w:sz w:val="20"/>
          <w:szCs w:val="20"/>
          <w:color w:val="auto"/>
        </w:rPr>
      </w:pPr>
    </w:p>
    <w:p>
      <w:pPr>
        <w:jc w:val="both"/>
        <w:ind w:firstLine="454"/>
        <w:spacing w:after="0" w:line="264" w:lineRule="auto"/>
        <w:rPr>
          <w:sz w:val="20"/>
          <w:szCs w:val="20"/>
          <w:color w:val="auto"/>
        </w:rPr>
      </w:pPr>
      <w:r>
        <w:rPr>
          <w:rFonts w:ascii="Arial" w:cs="Arial" w:eastAsia="Arial" w:hAnsi="Arial"/>
          <w:sz w:val="14"/>
          <w:szCs w:val="14"/>
          <w:color w:val="auto"/>
        </w:rPr>
        <w:t>Interest expense, net, decreased $46 million, or 21%, for the year ended December 31, 2015 compared to the prior year. The decrease was primarily the result of a lower effective interest rate due to the extinguishment in April 2015 of our 8.5% senior secured notes due 2019 through the issuance of our 5.375% senior secured notes due 2023 and prepayments of $296 million on our Term C facility and $320 million on our senior secured notes due 2019, made in conjunction with our initial public offering in April 2014. In addition, we recognized $12 million in losses during the year ended December 31, 2014 associated with interest rate swaps that matured in September 2014.</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Loss on Extinguishment of Debt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38"/>
        </w:trPr>
        <w:tc>
          <w:tcPr>
            <w:tcW w:w="60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2015</w:t>
            </w: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35"/>
              <w:spacing w:after="0"/>
              <w:rPr>
                <w:sz w:val="20"/>
                <w:szCs w:val="20"/>
                <w:color w:val="auto"/>
              </w:rPr>
            </w:pPr>
            <w:r>
              <w:rPr>
                <w:rFonts w:ascii="Arial" w:cs="Arial" w:eastAsia="Arial" w:hAnsi="Arial"/>
                <w:sz w:val="11"/>
                <w:szCs w:val="11"/>
                <w:b w:val="1"/>
                <w:bCs w:val="1"/>
                <w:color w:val="auto"/>
                <w:w w:val="99"/>
              </w:rPr>
              <w:t>Change</w:t>
            </w:r>
          </w:p>
        </w:tc>
      </w:tr>
      <w:tr>
        <w:trPr>
          <w:trHeight w:val="236"/>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4"/>
          </w:tcPr>
          <w:p>
            <w:pPr>
              <w:jc w:val="center"/>
              <w:ind w:right="380"/>
              <w:spacing w:after="0"/>
              <w:rPr>
                <w:sz w:val="20"/>
                <w:szCs w:val="20"/>
                <w:color w:val="auto"/>
              </w:rPr>
            </w:pPr>
            <w:r>
              <w:rPr>
                <w:rFonts w:ascii="Arial" w:cs="Arial" w:eastAsia="Arial" w:hAnsi="Arial"/>
                <w:sz w:val="15"/>
                <w:szCs w:val="15"/>
                <w:color w:val="auto"/>
                <w:w w:val="98"/>
              </w:rPr>
              <w:t>(Amounts in thousands)</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4"/>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extinguishment of debt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rPr>
              <w:t>38,783</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rPr>
              <w:t>33,538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5,245</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r>
    </w:tbl>
    <w:p>
      <w:pPr>
        <w:spacing w:after="0" w:line="198"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As a result of the extinguishment of our senior secured notes due 2019 and the prepayment on our senior unsecured notes due 2016, we recognized losses on extinguishment of debt of $33 million and $6 million, respectively, during the year ended December 31, 2015. In the prior year, we recognized $31 million of losses on extinguishment of debt as a result of prepayments on our Term C facility and senior secured notes dues 2019, as well as $3 million related to amendments to our senior secured credit facility in February 2014.</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Joint Venture Equity Income</w:t>
      </w:r>
    </w:p>
    <w:p>
      <w:pPr>
        <w:spacing w:after="0" w:line="313"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5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4"/>
          </w:tcPr>
          <w:p>
            <w:pPr>
              <w:ind w:left="260"/>
              <w:spacing w:after="0"/>
              <w:rPr>
                <w:sz w:val="20"/>
                <w:szCs w:val="20"/>
                <w:color w:val="auto"/>
              </w:rPr>
            </w:pPr>
            <w:r>
              <w:rPr>
                <w:rFonts w:ascii="Arial" w:cs="Arial" w:eastAsia="Arial" w:hAnsi="Arial"/>
                <w:sz w:val="11"/>
                <w:szCs w:val="11"/>
                <w:b w:val="1"/>
                <w:bCs w:val="1"/>
                <w:color w:val="auto"/>
              </w:rPr>
              <w:t>Year Ended December 31,</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38"/>
        </w:trPr>
        <w:tc>
          <w:tcPr>
            <w:tcW w:w="57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2015</w:t>
            </w:r>
          </w:p>
        </w:tc>
        <w:tc>
          <w:tcPr>
            <w:tcW w:w="3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2014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Change</w:t>
            </w:r>
          </w:p>
        </w:tc>
        <w:tc>
          <w:tcPr>
            <w:tcW w:w="680" w:type="dxa"/>
            <w:vAlign w:val="bottom"/>
            <w:tcBorders>
              <w:bottom w:val="single" w:sz="8" w:color="auto"/>
            </w:tcBorders>
          </w:tcPr>
          <w:p>
            <w:pPr>
              <w:spacing w:after="0"/>
              <w:rPr>
                <w:sz w:val="20"/>
                <w:szCs w:val="20"/>
                <w:color w:val="auto"/>
              </w:rPr>
            </w:pPr>
          </w:p>
        </w:tc>
      </w:tr>
      <w:tr>
        <w:trPr>
          <w:trHeight w:val="238"/>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4"/>
          </w:tcPr>
          <w:p>
            <w:pPr>
              <w:ind w:left="360"/>
              <w:spacing w:after="0"/>
              <w:rPr>
                <w:sz w:val="20"/>
                <w:szCs w:val="20"/>
                <w:color w:val="auto"/>
              </w:rPr>
            </w:pPr>
            <w:r>
              <w:rPr>
                <w:rFonts w:ascii="Arial" w:cs="Arial" w:eastAsia="Arial" w:hAnsi="Arial"/>
                <w:sz w:val="11"/>
                <w:szCs w:val="11"/>
                <w:color w:val="auto"/>
              </w:rPr>
              <w:t>(Amounts in thousands)</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5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Joint venture equity income</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14,842</w:t>
            </w:r>
          </w:p>
        </w:tc>
        <w:tc>
          <w:tcPr>
            <w:tcW w:w="3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rPr>
              <w:t>12,082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rPr>
              <w:t>2,760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bl>
    <w:p>
      <w:pPr>
        <w:spacing w:after="0" w:line="198"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On July 1, 2015, we acquired the remaining 65% of our former joint venture, SAPPL, which represents the majority of our joint venture income for the years ended December 31, 2015 and 2014. Joint venture equity income for the year ended December 31, 2015 includes a release of a significant tax reserve recorded by SAPPL, prior to the acquisition on July 1, 2015, due to the resolution of certain tax positions with a local tax authority.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20"/>
          </w:cols>
          <w:pgMar w:left="240" w:top="739"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5"/>
          <w:szCs w:val="15"/>
          <w:i w:val="1"/>
          <w:iCs w:val="1"/>
          <w:color w:val="auto"/>
        </w:rPr>
        <w:t>Other (Income) Expense, Net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4"/>
          </w:tcPr>
          <w:p>
            <w:pPr>
              <w:ind w:left="34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38"/>
        </w:trPr>
        <w:tc>
          <w:tcPr>
            <w:tcW w:w="60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2015</w:t>
            </w: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38"/>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4"/>
          </w:tcPr>
          <w:p>
            <w:pPr>
              <w:ind w:left="440"/>
              <w:spacing w:after="0"/>
              <w:rPr>
                <w:sz w:val="20"/>
                <w:szCs w:val="20"/>
                <w:color w:val="auto"/>
              </w:rPr>
            </w:pPr>
            <w:r>
              <w:rPr>
                <w:rFonts w:ascii="Arial" w:cs="Arial" w:eastAsia="Arial" w:hAnsi="Arial"/>
                <w:sz w:val="11"/>
                <w:szCs w:val="11"/>
                <w:color w:val="auto"/>
              </w:rPr>
              <w:t>(Amounts in thousands)</w:t>
            </w: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(91,377)</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rPr>
              <w:t>63,860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rPr>
              <w:t>(155,237)</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98"/>
        </w:trPr>
        <w:tc>
          <w:tcPr>
            <w:tcW w:w="6060" w:type="dxa"/>
            <w:vAlign w:val="bottom"/>
          </w:tcPr>
          <w:p>
            <w:pPr>
              <w:spacing w:after="0"/>
              <w:rPr>
                <w:sz w:val="20"/>
                <w:szCs w:val="20"/>
                <w:color w:val="auto"/>
              </w:rPr>
            </w:pPr>
            <w:r>
              <w:rPr>
                <w:rFonts w:ascii="Arial" w:cs="Arial" w:eastAsia="Arial" w:hAnsi="Arial"/>
                <w:sz w:val="8"/>
                <w:szCs w:val="8"/>
                <w:color w:val="auto"/>
              </w:rPr>
              <w:t>_______________________</w:t>
            </w: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85"/>
        </w:trPr>
        <w:tc>
          <w:tcPr>
            <w:tcW w:w="6060" w:type="dxa"/>
            <w:vAlign w:val="bottom"/>
          </w:tcPr>
          <w:p>
            <w:pPr>
              <w:spacing w:after="0"/>
              <w:rPr>
                <w:sz w:val="20"/>
                <w:szCs w:val="20"/>
                <w:color w:val="auto"/>
              </w:rPr>
            </w:pPr>
            <w:r>
              <w:rPr>
                <w:rFonts w:ascii="Arial" w:cs="Arial" w:eastAsia="Arial" w:hAnsi="Arial"/>
                <w:sz w:val="13"/>
                <w:szCs w:val="13"/>
                <w:color w:val="auto"/>
              </w:rPr>
              <w:t>** not meaningful</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18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recognized a gain of $78 million during the year ended December 31, 2015 as a result of the remeasurement of our previously-held 35% equity interest in SAPPL to its fair value as of the acquisition date. In addition, we recognized a gain of $12 million during the year ended December 31, 2015 associated with the settlement of a pre-existing agreement between us and SAPPL related to data processing services. In the fourth quarter of 2014, we recognized a charge of $66 million in other expenses, net as a result of an increase to our TRA liability. The increase in our TRA liability was due to a reduction in a valuation allowance maintained against our deferred tax assets. This charge was fully offset by an income tax benefit recognized in the fourth quarter of 2014 from the reduction in the valuation allowance. This increase was partially offset by realized and unrealized foreign currency exchange gains.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Provision for income taxes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4"/>
          </w:tcPr>
          <w:p>
            <w:pPr>
              <w:jc w:val="center"/>
              <w:ind w:right="38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38"/>
        </w:trPr>
        <w:tc>
          <w:tcPr>
            <w:tcW w:w="60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1"/>
                <w:szCs w:val="11"/>
                <w:b w:val="1"/>
                <w:bCs w:val="1"/>
                <w:color w:val="auto"/>
              </w:rPr>
              <w:t>2015</w:t>
            </w:r>
          </w:p>
        </w:tc>
        <w:tc>
          <w:tcPr>
            <w:tcW w:w="4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38"/>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4"/>
          </w:tcPr>
          <w:p>
            <w:pPr>
              <w:jc w:val="center"/>
              <w:ind w:right="380"/>
              <w:spacing w:after="0"/>
              <w:rPr>
                <w:sz w:val="20"/>
                <w:szCs w:val="20"/>
                <w:color w:val="auto"/>
              </w:rPr>
            </w:pPr>
            <w:r>
              <w:rPr>
                <w:rFonts w:ascii="Arial" w:cs="Arial" w:eastAsia="Arial" w:hAnsi="Arial"/>
                <w:sz w:val="11"/>
                <w:szCs w:val="11"/>
                <w:color w:val="auto"/>
              </w:rPr>
              <w:t>(Amounts in thousands)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rPr>
              <w:t>119,352</w:t>
            </w:r>
          </w:p>
        </w:tc>
        <w:tc>
          <w:tcPr>
            <w:tcW w:w="4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rPr>
              <w:t>6,279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735"/>
              <w:spacing w:after="0"/>
              <w:rPr>
                <w:sz w:val="20"/>
                <w:szCs w:val="20"/>
                <w:color w:val="auto"/>
              </w:rPr>
            </w:pPr>
            <w:r>
              <w:rPr>
                <w:rFonts w:ascii="Arial" w:cs="Arial" w:eastAsia="Arial" w:hAnsi="Arial"/>
                <w:sz w:val="15"/>
                <w:szCs w:val="15"/>
                <w:color w:val="auto"/>
              </w:rPr>
              <w:t>113,073</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98"/>
        </w:trPr>
        <w:tc>
          <w:tcPr>
            <w:tcW w:w="6060" w:type="dxa"/>
            <w:vAlign w:val="bottom"/>
          </w:tcPr>
          <w:p>
            <w:pPr>
              <w:spacing w:after="0"/>
              <w:rPr>
                <w:sz w:val="20"/>
                <w:szCs w:val="20"/>
                <w:color w:val="auto"/>
              </w:rPr>
            </w:pPr>
            <w:r>
              <w:rPr>
                <w:rFonts w:ascii="Arial" w:cs="Arial" w:eastAsia="Arial" w:hAnsi="Arial"/>
                <w:sz w:val="8"/>
                <w:szCs w:val="8"/>
                <w:color w:val="auto"/>
              </w:rPr>
              <w:t>_______________________</w:t>
            </w: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85"/>
        </w:trPr>
        <w:tc>
          <w:tcPr>
            <w:tcW w:w="6060" w:type="dxa"/>
            <w:vAlign w:val="bottom"/>
          </w:tcPr>
          <w:p>
            <w:pPr>
              <w:spacing w:after="0"/>
              <w:rPr>
                <w:sz w:val="20"/>
                <w:szCs w:val="20"/>
                <w:color w:val="auto"/>
              </w:rPr>
            </w:pPr>
            <w:r>
              <w:rPr>
                <w:rFonts w:ascii="Arial" w:cs="Arial" w:eastAsia="Arial" w:hAnsi="Arial"/>
                <w:sz w:val="13"/>
                <w:szCs w:val="13"/>
                <w:color w:val="auto"/>
              </w:rPr>
              <w:t>** not meaningful</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18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Our effective tax rates for the years ended December 31, 2015 and 2014 were 33.7% and 5.4%, respectively. The increase in the effective tax rate for the year ended December 31, 2015 as compared to the prior year is primarily due to items recognized in the year ended December 31, 2014 that did not reoccur in the year ended December 31, 2015, which include the reduction in the valuation allowance related to certain U.S. deferred tax assets and the settlement of a state income tax contingency in our favor. The increase is partially offset by an increase in earnings in lower tax jurisdictions and the $78 million gain on remeasurement of our previously-held equity interest in SAPPL, which is non-taxable.</w:t>
      </w:r>
    </w:p>
    <w:p>
      <w:pPr>
        <w:spacing w:after="0" w:line="19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differences between our effective tax rates and the U.S. federal statutory income tax rate primarily result from our geographic mix of taxable income in various tax jurisdictions as well as the discrete tax items referenced above.</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Our principal sources of liquidity are: (i) cash flows from operations, (ii) cash and cash equivalents and (iii) borrowings under our $400 million Revolver (see “—Senior Secured Credit Facilities”). Borrowing availability under our Revolver is reduced by our outstanding letters of credit and restricted cash collateral. As of December 31, 2016 and 2015, our cash and cash equivalents, Revolver, and outstanding letters of credit were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rPr>
              <w:t>As of December 31,</w:t>
            </w:r>
          </w:p>
        </w:tc>
        <w:tc>
          <w:tcPr>
            <w:tcW w:w="1000" w:type="dxa"/>
            <w:vAlign w:val="bottom"/>
            <w:tcBorders>
              <w:bottom w:val="single" w:sz="8" w:color="auto"/>
            </w:tcBorders>
          </w:tcPr>
          <w:p>
            <w:pPr>
              <w:spacing w:after="0"/>
              <w:rPr>
                <w:sz w:val="13"/>
                <w:szCs w:val="13"/>
                <w:color w:val="auto"/>
              </w:rPr>
            </w:pPr>
          </w:p>
        </w:tc>
      </w:tr>
      <w:tr>
        <w:trPr>
          <w:trHeight w:val="238"/>
        </w:trPr>
        <w:tc>
          <w:tcPr>
            <w:tcW w:w="8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2015</w:t>
            </w:r>
          </w:p>
        </w:tc>
      </w:tr>
      <w:tr>
        <w:trPr>
          <w:trHeight w:val="233"/>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940" w:type="dxa"/>
            <w:vAlign w:val="bottom"/>
            <w:shd w:val="clear" w:color="auto" w:fill="CCEEFF"/>
          </w:tcPr>
          <w:p>
            <w:pPr>
              <w:jc w:val="right"/>
              <w:ind w:right="775"/>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w w:val="99"/>
              </w:rPr>
              <w:t>364,114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321,132</w:t>
            </w:r>
          </w:p>
        </w:tc>
      </w:tr>
      <w:tr>
        <w:trPr>
          <w:trHeight w:val="237"/>
        </w:trPr>
        <w:tc>
          <w:tcPr>
            <w:tcW w:w="8120" w:type="dxa"/>
            <w:vAlign w:val="bottom"/>
          </w:tcPr>
          <w:p>
            <w:pPr>
              <w:ind w:left="20"/>
              <w:spacing w:after="0"/>
              <w:rPr>
                <w:sz w:val="20"/>
                <w:szCs w:val="20"/>
                <w:color w:val="auto"/>
              </w:rPr>
            </w:pPr>
            <w:r>
              <w:rPr>
                <w:rFonts w:ascii="Arial" w:cs="Arial" w:eastAsia="Arial" w:hAnsi="Arial"/>
                <w:sz w:val="15"/>
                <w:szCs w:val="15"/>
                <w:color w:val="auto"/>
              </w:rPr>
              <w:t>Revolver outstanding balance</w:t>
            </w:r>
          </w:p>
        </w:tc>
        <w:tc>
          <w:tcPr>
            <w:tcW w:w="9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5"/>
                <w:szCs w:val="15"/>
                <w:color w:val="auto"/>
              </w:rPr>
              <w:t>—</w:t>
            </w:r>
          </w:p>
        </w:tc>
      </w:tr>
      <w:tr>
        <w:trPr>
          <w:trHeight w:val="254"/>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Available balance under the Revolver</w:t>
            </w:r>
          </w:p>
        </w:tc>
        <w:tc>
          <w:tcPr>
            <w:tcW w:w="9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w w:val="99"/>
              </w:rPr>
              <w:t>365,006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380,603</w:t>
            </w:r>
          </w:p>
        </w:tc>
      </w:tr>
      <w:tr>
        <w:trPr>
          <w:trHeight w:val="228"/>
        </w:trPr>
        <w:tc>
          <w:tcPr>
            <w:tcW w:w="8120" w:type="dxa"/>
            <w:vAlign w:val="bottom"/>
          </w:tcPr>
          <w:p>
            <w:pPr>
              <w:ind w:left="20"/>
              <w:spacing w:after="0"/>
              <w:rPr>
                <w:sz w:val="20"/>
                <w:szCs w:val="20"/>
                <w:color w:val="auto"/>
              </w:rPr>
            </w:pPr>
            <w:r>
              <w:rPr>
                <w:rFonts w:ascii="Arial" w:cs="Arial" w:eastAsia="Arial" w:hAnsi="Arial"/>
                <w:sz w:val="15"/>
                <w:szCs w:val="15"/>
                <w:color w:val="auto"/>
              </w:rPr>
              <w:t>Outstanding letters of credit</w:t>
            </w:r>
          </w:p>
        </w:tc>
        <w:tc>
          <w:tcPr>
            <w:tcW w:w="9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5"/>
                <w:szCs w:val="15"/>
                <w:color w:val="auto"/>
              </w:rPr>
              <w:t>34,994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5"/>
                <w:szCs w:val="15"/>
                <w:color w:val="auto"/>
              </w:rPr>
              <w:t>24,560</w:t>
            </w:r>
          </w:p>
        </w:tc>
      </w:tr>
    </w:tbl>
    <w:p>
      <w:pPr>
        <w:spacing w:after="0" w:line="2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 We invest in a money market fund which is classified as cash and cash equivalents in our consolidated balance sheets and statements of cash flows. We held no short-term investments as of December 31, 2016 and 2015.</w:t>
      </w:r>
    </w:p>
    <w:p>
      <w:pPr>
        <w:spacing w:after="0" w:line="190"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consider the undistributed earnings of our foreign subsidiaries as of December 31, 2016 to be indefinitely reinvested and, accordingly, no U.S. income taxes have been provided thereon. As of December 31, 2016, the amount of indefinitely reinvested foreign earnings was approximately $278 million. As of December 31, 2016, $123 million of cash, cash equivalents, and marketable securities was held by our foreign subsidiaries. If such cash, cash equivalents and marketable securities are needed for our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20"/>
          </w:cols>
          <w:pgMar w:left="240" w:top="837" w:right="239" w:bottom="1440" w:gutter="0" w:footer="0" w:header="0"/>
        </w:sectPr>
      </w:pPr>
    </w:p>
    <w:bookmarkStart w:id="47" w:name="page48"/>
    <w:bookmarkEnd w:id="47"/>
    <w:p>
      <w:pPr>
        <w:jc w:val="both"/>
        <w:spacing w:after="0" w:line="242" w:lineRule="auto"/>
        <w:rPr>
          <w:sz w:val="20"/>
          <w:szCs w:val="20"/>
          <w:color w:val="auto"/>
        </w:rPr>
      </w:pPr>
      <w:r>
        <w:rPr>
          <w:rFonts w:ascii="Arial" w:cs="Arial" w:eastAsia="Arial" w:hAnsi="Arial"/>
          <w:sz w:val="15"/>
          <w:szCs w:val="15"/>
          <w:color w:val="auto"/>
        </w:rPr>
        <w:t>in the United States, we would be required to accrue and pay taxes on up to $44 million of these funds to repatriate all such cash, cash equivalents and marketable securities. We have not, nor do we anticipate the need to, repatriate funds from our controlled foreign corporations to the United States in a taxable transaction to satisfy domestic liquidity needs arising in the ordinary course of business, including liquidity needs associated with our domestic debt service requirements.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Liquidity Outlook</w:t>
      </w:r>
    </w:p>
    <w:p>
      <w:pPr>
        <w:spacing w:after="0" w:line="128" w:lineRule="exact"/>
        <w:rPr>
          <w:sz w:val="20"/>
          <w:szCs w:val="20"/>
          <w:color w:val="auto"/>
        </w:rPr>
      </w:pPr>
    </w:p>
    <w:p>
      <w:pPr>
        <w:jc w:val="both"/>
        <w:ind w:firstLine="454"/>
        <w:spacing w:after="0" w:line="291" w:lineRule="auto"/>
        <w:rPr>
          <w:sz w:val="20"/>
          <w:szCs w:val="20"/>
          <w:color w:val="auto"/>
        </w:rPr>
      </w:pPr>
      <w:r>
        <w:rPr>
          <w:rFonts w:ascii="Arial" w:cs="Arial" w:eastAsia="Arial" w:hAnsi="Arial"/>
          <w:sz w:val="15"/>
          <w:szCs w:val="15"/>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planned capital expenditures, share repurchases and dividends will depend on our ability to generate cash in the future, which is subject to general economic, financial, competitive, business, legislative, regulatory and other factors that are beyond our control. See “Risk Factors—We may require more cash than we generate in our operating activities, and additional funding on reasonable terms or at all may not be available.”</w:t>
      </w:r>
    </w:p>
    <w:p>
      <w:pPr>
        <w:spacing w:after="0" w:line="279"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utilize cash and cash equivalents, supplemented by our Revolver, primarily to pay our operating expenses, make capital expenditures, invest in our products and offerings, pay quarterly dividends on our common stock, make payments under the TRA, and service our debt and other long-term liabilities. Furthermore, on an ongoing basis, we will evaluate and consider strategic acquisitions, divestitures, joint ventures, repurchasing shares of our common stock (including the multi-year $500 million share repurchase program announced in February 2017) or our outstanding debt obligations in open market or in privately negotiated transactions, as well as other transactions we believe may create stockholder value or enhance financial performance. These transactions may require cash expenditures or generate proceeds and, to the extent they require cash expenditures, may be funded through a combination of cash on hand, debt or equity offerings, or utilization of our Revolver.</w:t>
      </w:r>
    </w:p>
    <w:p>
      <w:pPr>
        <w:spacing w:after="0" w:line="2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believe that cash flows from operations, cash and cash equivalents on hand and our Revolver provide adequate liquidity for our operational and capital expenditures and other obligations over the next twelve months. We may supplement our current liquidity through debt or equity offerings to support future strategic investments, or to pay down debt. We intend to pay down our Term Loan B, Incremental Term Loan Facility and our Term Loan C through debt offerings. We intend to fund the maturity of our $80 million mortgage note due April 1, 2017 through debt offerings or through a combination of cash on hand or utilization of our Revolver. We funded TRA payments of $101 million, including interest, due in January of 2017 with cash on hand. We expect to fund future TRA payments through a combination of cash on hand, utilization of our Revolver or debt offerings.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Dividends</w:t>
      </w:r>
    </w:p>
    <w:p>
      <w:pPr>
        <w:spacing w:after="0" w:line="115"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During the year ended December 31, 2016, we paid quarterly cash dividends on our common stock totaling $144 million and expect to continue to pay quarterly cash dividends thereafter. Our board of directors has declared a cash dividend of $0.14 per share of our common stock, which will be paid on March 30, 2017 to stockholders of record as of March 21, 2017. We funded the 2016 dividends, and intend to fund any future dividends, from cash generated from our operations. 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“Risk Factors—Our ability to pay regular dividends to our stockholders is subject to the discretion of our board of directors and may be limited by our holding company structure and applicable provisions of Delaware law.”</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Recent Events Impacting Our Liquidity and Capital Resources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Amendments to Amended and Restated Credit Agreement</w:t>
      </w:r>
    </w:p>
    <w:p>
      <w:pPr>
        <w:spacing w:after="0" w:line="113"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On July 18, 2016, Sabre GLBL Inc. entered into a series of amendments to our Amended and Restated Credit Agreement to provide for an incremental term loan under a new class and to replace the existing revolving credit facility with a new revolving credit facility. See “—Senior Secured Credit Facilities” for additional information.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Senior Unsecured Notes Due 2016</w:t>
      </w:r>
    </w:p>
    <w:p>
      <w:pPr>
        <w:spacing w:after="0" w:line="113"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In March 2016, the remaining principal balance of $165 million of our senior unsecured notes matured. We repaid the remaining principal on the senior unsecured notes with a draw on our Prior Revolver and cash on hand.</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Acquisition of the Trust Group</w:t>
      </w:r>
    </w:p>
    <w:p>
      <w:pPr>
        <w:spacing w:after="0" w:line="113"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In January 2016, we completed the acquisition of the Trust Group, a central reservations, revenue management and hotel marketing provider, expanding our presence in EMEA and APAC. The Trust Group has been integrated and is managed as part of our Airline and Hospitality Solutions segment. We paid net cash consideration of $156 million. The acquisition was funded using proceeds from our 5.25% senior secured notes due in 2023 and cash on hand.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20"/>
          </w:cols>
          <w:pgMar w:left="240" w:top="754"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5"/>
          <w:szCs w:val="15"/>
          <w:i w:val="1"/>
          <w:iCs w:val="1"/>
          <w:color w:val="auto"/>
        </w:rPr>
        <w:t>Political and Economic Environment in Venezuela</w:t>
      </w:r>
    </w:p>
    <w:p>
      <w:pPr>
        <w:spacing w:after="0" w:line="113"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Certain airlines have scaled back operations in response to the reduced demand for travel in conjunction with the political and economic uncertainty as well as the currency controls which has impacted our airline customers in Venezuela. During the year ended December 31, 2016, we collected $5 million from customers in Venezuela all of which was outstanding as of December 31, 2015. Accounts receivable outstanding from customers in Venezuela totaled $19 million as of December 31, 2016, which will be recognized as revenue when cash is received.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Share Repurchase Program</w:t>
      </w:r>
    </w:p>
    <w:p>
      <w:pPr>
        <w:spacing w:after="0" w:line="113"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During the year ended December 31, 2016, we repurchased 3,980,672 shares totaling $100 million pursuant to a share repurchase program authorized by our Board of Directors on November, 2 2016. This program was announced on November 3, 2016 and allowed for the purchase of up to $100 million of outstanding shares of our common stock in privately negotiated transactions or in the open market, or otherwise. This program was funded by cash on hand and expired on December 31, 2016. See “Item 5. Market for Registrant's Common Equity, Related Stockholder Matters and Issuer Purchases of Equity Securities.”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February 2017, we announced the approval of a multi-year share repurchase program to purchase up to $500 million of Sabre's common stock outstanding.</w:t>
      </w:r>
    </w:p>
    <w:p>
      <w:pPr>
        <w:spacing w:after="0"/>
        <w:rPr>
          <w:sz w:val="20"/>
          <w:szCs w:val="20"/>
          <w:color w:val="auto"/>
        </w:rPr>
      </w:pPr>
      <w:r>
        <w:rPr>
          <w:rFonts w:ascii="Arial" w:cs="Arial" w:eastAsia="Arial" w:hAnsi="Arial"/>
          <w:sz w:val="15"/>
          <w:szCs w:val="15"/>
          <w:color w:val="auto"/>
        </w:rPr>
        <w:t>Repurchases under the program may take place in the open market or privately negotiated transactions.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Capital Expenditures and Implementation Costs</w:t>
      </w:r>
    </w:p>
    <w:p>
      <w:pPr>
        <w:spacing w:after="0" w:line="115"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Capitalized costs associated with software developed for internal use represent a significant portion of our capital expenditures and we expect such costs to increase as we continue to make significant investments in our information technology infrastructure to modernize, drive efficiency in development and ongoing technology costs, further enhance the stability and security of our network, and to accelerate our shift to open source and cloud-based solutions. Capitalized implementation costs are upfront costs we incur related to the implementation of new customer contracts associated with our SaaS and hosted products. Implementation costs are sometimes partially offset by upfront solution fees that we charge and collect, depending on the customer contracts. During the year ended December 31, 2016, we incurred $328 million of capital expenditures, which includes $284 million related to software developed for internal use. We incurred $83 million of capitalized implementation costs and collected $84 million of upfront solution fees from customers. In 2017, we expect capital expenditures to range from approximately $360 million to $380 million and capitalized implementation costs to range from approximately $85 million to $95 million.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Senior Secured Credit Facilities</w:t>
      </w:r>
    </w:p>
    <w:p>
      <w:pPr>
        <w:spacing w:after="0" w:line="115"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4"/>
          <w:szCs w:val="14"/>
          <w:color w:val="auto"/>
        </w:rPr>
        <w:t>On February 19, 2013, Sabre GLBL entered into the Amended and Restated Credit Agreement. The agreement replaced (i) the existing term loans with new classes of term loans of $1,775 million (the “Term Loan B”) and $425 million (the “Term Loan C”) and (ii) the existing revolving credit facility with a new revolving credit facility of $352 million, which we now refer to as the Prior Revolver. On September 30, 2013, Sabre GLBL entered into an agreement to amend the Amended and Restated Credit Agreement to add a new class of term loans in the amount of $350 million (the “Incremental Term Loan Facility”). On July 18, 2016, Sabre GLBL entered into a series of amendments to our Amended and Restated Credit Agreements (the "Credit Agreement Amendments") to provide for the Term Loan A with an aggregate principal amount of $600 million and to replace the Prior Revolver a new revolving credit facility totaling $400 million (the "Revolver"). The proceeds of $597 million (net of $3 million discount) from the Term Loan A were used to repay $350 million of outstanding principal on our Term Loan B and Incremental Term Loan Facility, on a pro rata basis, repay the $120 million outstanding balance on our Prior Revolver immediately prior to the execution of the Credit Agreement Amendments, and to pay $11 million in associated financing fees. We intend to use the remaining proceeds for general corporate purposes. As of December 31, 2016, we had outstanding face value amounts of $585 million on our Term Loan A, $1,421 million on our Term Loan B, $282 million on our Incremental Term Loan Facility, $49 million on our Term Loan C, and no outstanding balance on the Revolver.</w:t>
      </w:r>
    </w:p>
    <w:p>
      <w:pPr>
        <w:spacing w:after="0" w:line="183"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The Term Loan A matures in July 2021 and amortizes in equal quarterly installments of 1.25% during the first two years of its term and 2.50% during the next three years of its term. The Term Loan B and Incremental Term Loan Facility mature in February 2019 and no longer require quarterly principal payments as a result of the Credit Agreement Amendments. The Term Loan C matures in December 2017, with $17 million due in September 2017 and the remaining $32 million due in December 2017. We are scheduled to make $79 million in principal payments on our senior secured credit facilities over the next twelve months, consisting of $30 million for the Term Loan A and $49 million for the Term Loan C. The Term Loan A and the Revolver mature in July 2021 and include an accelerated maturity of November 19, 2018, if on November 19, 2018 the Term Loan B and Incremental Term Loan Facility have not been repaid in full or refinanced with a maturity date subsequent to July 18, 2021. The amount of the Revolver commitments available as a letter of credit subfacility was set at $150 million. The applicable margins for the Term Loan A and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20"/>
          </w:cols>
          <w:pgMar w:left="240" w:top="837" w:right="239" w:bottom="1440" w:gutter="0" w:footer="0" w:header="0"/>
        </w:sectPr>
      </w:pPr>
    </w:p>
    <w:bookmarkStart w:id="49" w:name="page50"/>
    <w:bookmarkEnd w:id="49"/>
    <w:p>
      <w:pPr>
        <w:jc w:val="both"/>
        <w:spacing w:after="0"/>
        <w:rPr>
          <w:sz w:val="20"/>
          <w:szCs w:val="20"/>
          <w:color w:val="auto"/>
        </w:rPr>
      </w:pPr>
      <w:r>
        <w:rPr>
          <w:rFonts w:ascii="Arial" w:cs="Arial" w:eastAsia="Arial" w:hAnsi="Arial"/>
          <w:sz w:val="15"/>
          <w:szCs w:val="15"/>
          <w:color w:val="auto"/>
        </w:rPr>
        <w:t>Revolver are 2.50% for Eurocurrency borrowings and 1.50% for base rate borrowings, with a step down to 2.25% for Eurocurrency borrowings and 1.25% for base rate borrowings if the Senior Secured Leverage Ratio (as defined in the Amended and Restated Credit Agreement) is less than 2.50 to 1.00. The applicable margin for the Term Loan B is 3.00% for Eurocurrency borrowings and 2.00% for base rate borrowings, with a step up to 3.25% for Eurocurrency borrowings and 2.25% for base rate borrowings if the Senior Secured Leverage Ratio is more than 3.25 to 1.00. The applicable margins for the Incremental Term Loan Facility are 3.50% for Eurocurrency borrowings and 2.50% for base rate borrowings, with a step down to 3.00% for Eurocurrency borrowings and 2.00% for base rate borrowings if the Senior Secured Leverage Ratio is less than or equal to 3.00 to 1.00.</w:t>
      </w:r>
    </w:p>
    <w:p>
      <w:pPr>
        <w:spacing w:after="0" w:line="192"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Under the Amended and Restated Credit Agreement, the loan parties are subject to certain customary non-financial covenants, including certain restrictions on incurring certain types of indebtedness, creation of liens on certain assets, making of certain investments, and payment of dividends, as well as a maximum leverage ratio. Prior to July 18, 2016, this ratio applied if our revolver utilization exceeded a certain threshold and was calculated as senior secured debt (net of cash) to EBITDA, as defined by the credit agreement. The maximum ratio was 4.5 to 1.0 for 2015 and 4.0 to 1.0 until July 18, 2016. The definition of EBITDA is based on a trailing twelve months EBITDA adjusted for certain items including non-recurring expenses and the pro forma impact of cost saving initiatives. Pursuant to Credit Agreement Amendments, effective July 18, 2016, the maximum leverage ratio has been adjusted to be based on the Total Net Leverage Ratio (as defined in the Amended and Restated Credit Agreement) and we are required, at all times (no longer solely when a threshold amount of revolving loans or letters of credit were outstanding), to maintain a Total Net Leverage Ratio of less than 4.5 to 1.0.</w:t>
      </w:r>
    </w:p>
    <w:p>
      <w:pPr>
        <w:spacing w:after="0" w:line="177" w:lineRule="exact"/>
        <w:rPr>
          <w:sz w:val="20"/>
          <w:szCs w:val="20"/>
          <w:color w:val="auto"/>
        </w:rPr>
      </w:pPr>
    </w:p>
    <w:p>
      <w:pPr>
        <w:jc w:val="both"/>
        <w:ind w:firstLine="454"/>
        <w:spacing w:after="0" w:line="264" w:lineRule="auto"/>
        <w:rPr>
          <w:sz w:val="20"/>
          <w:szCs w:val="20"/>
          <w:color w:val="auto"/>
        </w:rPr>
      </w:pPr>
      <w:r>
        <w:rPr>
          <w:rFonts w:ascii="Arial" w:cs="Arial" w:eastAsia="Arial" w:hAnsi="Arial"/>
          <w:sz w:val="14"/>
          <w:szCs w:val="14"/>
          <w:color w:val="auto"/>
        </w:rPr>
        <w:t>We are also required to pay down the term loans by an amount equal to 50% of annual excess cash flow, as defined in the Amended and Restated Credit Agreement. This percentage requirement may decrease or be eliminated if certain leverage ratios are achieved. Based on our results for the year ended December 31, 2015, we were are not required to make an excess cash flow payment in 2016 and no excess cash flow payment is required in 2017 with respect to our results for the year ended December 31, 2016. We are further required to pay down the term loan with proceeds from certain asset sales or borrowings as defined in the Amended and Restated Credit Agreement.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Tax Receivable Agreement</w:t>
      </w:r>
    </w:p>
    <w:p>
      <w:pPr>
        <w:spacing w:after="0" w:line="115" w:lineRule="exact"/>
        <w:rPr>
          <w:sz w:val="20"/>
          <w:szCs w:val="20"/>
          <w:color w:val="auto"/>
        </w:rPr>
      </w:pPr>
    </w:p>
    <w:p>
      <w:pPr>
        <w:jc w:val="both"/>
        <w:ind w:firstLine="454"/>
        <w:spacing w:after="0" w:line="233" w:lineRule="auto"/>
        <w:rPr>
          <w:sz w:val="20"/>
          <w:szCs w:val="20"/>
          <w:color w:val="auto"/>
        </w:rPr>
      </w:pPr>
      <w:r>
        <w:rPr>
          <w:rFonts w:ascii="Arial" w:cs="Arial" w:eastAsia="Arial" w:hAnsi="Arial"/>
          <w:sz w:val="15"/>
          <w:szCs w:val="15"/>
          <w:color w:val="auto"/>
        </w:rPr>
        <w:t>Immediately prior to the closing of our initial public offering, we entered into the TRA that provides the Pre-IPO Existing Stockholders (as defined in Note 6—Income Taxes) the right to receive future payments from us. The future payments will equal 85% of the amount of cash savings, if any, in U.S. federal income tax that we and our subsidiaries realize as a result of the utilization of the Pre-IPO Tax Assets (as defined in Note 6—Income Taxes). Based on current tax laws and assuming that we and our subsidiaries earn sufficient taxable income to realize the full tax benefits subject to the TRA, we estimate that future payments under the TRA relating to Pre-IPO Tax Assets will total $387 million, excluding interest, and the majority of them will be made over the next five years. The TRA payments accrue interest at a rate of LIBOR plus 1.00% beginning on the 15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of March subsequent to the tax year in which the tax benefits are realized through the date of the benefit payment. No material payments occurred in 2016 and we made estimated payments of $101 million, including interest, in January 2017. The estimate of future payments considers the impact of Section 382 of the Internal Revenue Code of 1986, as amended (the "Code"), which imposes an annual limit on the ability of a corporation that undergoes an ownership change to use its net operating loss carryforwards to reduce its liability. We do not anticipate any material limitations on our ability to utilize U.S. federal net operating loss carryforwards ("NOLs") under Section 382 of the Code.</w:t>
      </w:r>
    </w:p>
    <w:p>
      <w:pPr>
        <w:spacing w:after="0" w:line="194"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These payment obligations are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 See Note 6—Income Taxes, to our consolidated financial statements for additional information regarding income taxes and the TRA.</w:t>
      </w:r>
    </w:p>
    <w:p>
      <w:pPr>
        <w:spacing w:after="0" w:line="190"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4"/>
          <w:szCs w:val="14"/>
          <w:color w:val="auto"/>
        </w:rPr>
        <w:t>In addition, the TRA provides that upon certain mergers, stock and asset sales, other forms of business combinations or other changes of control, the TRA will terminate and we will be required to make a payment intended to equal to the present value of future payments under the TRA, which payment would be based on certain assumptions, including those relating to our and our subsidiaries’ future taxable income. In these situations, our obligations under the TRA could have a substantial negative impact on our liquidity and could have the effect of delaying, deferring or preventing certain mergers, asset sales, other forms of business combinations or other changes of control. Different timing rules will apply to payments under the TRA to be made to holders that, prior to the completion of the initial public offering, held stock options and restricted stock units (collectively, the “Pre-IPO Award Holders”). These payments will generally be deemed invested in a notional account rather than made on the scheduled payment dates, and the account will be distributed on the fifth anniversary of the initial public offering, together with (a) interest accrued on these payments from the scheduled payment date to the distribution date, and (b) an amount equal to the net present value of the Award Holder’s future expected payments, if any, under the TRA. Moreover, payments to holders of stock options that were unvested prior to the completion of the initial public offering are subject to vesting on the same schedule as such holder’s unvested stock options.</w:t>
      </w:r>
    </w:p>
    <w:p>
      <w:pPr>
        <w:spacing w:after="0" w:line="178"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TRA contains a Change of Control definition that includes, among other things, a change of a majority of the board of directors without approval of a majority of the then existing Board members (the “Continuing Directors Provision”). Recent Delaware case law has stressed that such Continuing Directors Provisions could have a potential adverse impact on stockholders’ right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20"/>
          </w:cols>
          <w:pgMar w:left="240" w:top="754"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4"/>
          <w:szCs w:val="14"/>
          <w:color w:val="auto"/>
        </w:rPr>
        <w:t>elect a company’s directors. In this regard, decisions of the Delaware Chancery Court (not involving us or our securities) have considered change of control provisions and noted that a board of directors may “approve” a dissident stockholders’ nominees solely to avoid triggering the change of control provisions, without supporting their election, if the board determines in good faith that the election of the dissident nominees would not be materially adverse to the interests of the corporation or its stockholders. Further, according to these decisions, the directors’ duty of loyalty to stockholders under Delaware law may, in certain circumstances, require them to give such approval.</w:t>
      </w:r>
    </w:p>
    <w:p>
      <w:pPr>
        <w:spacing w:after="0" w:line="175"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Our counterparties under the TRA will not reimburse us for any payments previously made under the TRA if such benefits are subsequently disallowed (although future payments would be adjusted to the extent possible to reflect the result of such disallowance). As a result, in certain circumstances, payments could be made under the TRA in excess of our cash tax savings. 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transactions and, under the TRA, would be required to make a payment to our Pre-IPO Existing Stockholders even though we receive no cash from such income.</w:t>
      </w:r>
    </w:p>
    <w:p>
      <w:pPr>
        <w:spacing w:after="0" w:line="177"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Because Sabre Corporation, on an unconsolidated basis, is a holding company with no operations of its own, its ability to make payments under the TRA is dependent on the ability of its subsidiaries to make distributions to Sabre Corporation. To the extent that we are unable to make payments under the TRA for specified reasons, such payments will be deferred and will accrue interest at a rate of the London Interbank Offered Rate (“LIBOR”) plus 1.00% per annum until paid. The TRA is designed with the objective of causing our annual cash costs attributable to federal income taxes (without regard to our continuing 15% interest in the Pre-IPO Tax Assets) to be the same as we would have paid had we not had the Pre-IPO Tax Assets available to offset our federal taxable income. As a result, stockholders who are not Pre-IPO Existing Stockholders will not be entitled to the economic benefit of the Pre-IPO Tax Assets that would have been available if the TRA were not in effect (except to the extent of our continuing 15% interest in the Pre-IPO Tax Assets).</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Cash provided by operating activities for the year ended December 31, 2016 was $699 million and consisted of net income from continuing operations of $241 million, adjustments for non-cash and other items of $557 million and a decrease in cash from changes in operating assets and liabilities of $99 million. The adjustments for non-cash and other items consist primarily of $414 million of depreciation and amortization, $56 million in amortization of upfront incentive consideration, $49 million of stock-based compensation expense, and $48 million of deferred income taxes, partially offset by $26 million of litigation-related credits. The decrease in cash from changes in operating assets and liabilities of $99 million was primarily the result of $83 million used for capitalized implementation costs, $71 million used for upfront incentive consideration, a $13 million increase in accounts receivable, and a $12 million increase in prepaid expenses and other assets. These decreases were partially offset by an increase of $57 million in accounts payable and other accrued liabilities and an increase of $23 million in deferred revenue primarily due to upfront solution fees.</w:t>
      </w:r>
    </w:p>
    <w:p>
      <w:pPr>
        <w:spacing w:after="0" w:line="203" w:lineRule="exact"/>
        <w:rPr>
          <w:sz w:val="20"/>
          <w:szCs w:val="20"/>
          <w:color w:val="auto"/>
        </w:rPr>
      </w:pPr>
    </w:p>
    <w:p>
      <w:pPr>
        <w:jc w:val="both"/>
        <w:ind w:firstLine="454"/>
        <w:spacing w:after="0" w:line="274" w:lineRule="auto"/>
        <w:rPr>
          <w:sz w:val="20"/>
          <w:szCs w:val="20"/>
          <w:color w:val="auto"/>
        </w:rPr>
      </w:pPr>
      <w:r>
        <w:rPr>
          <w:rFonts w:ascii="Arial" w:cs="Arial" w:eastAsia="Arial" w:hAnsi="Arial"/>
          <w:sz w:val="15"/>
          <w:szCs w:val="15"/>
          <w:color w:val="auto"/>
        </w:rPr>
        <w:t>Cash provided by operating activities for the year ended December 31, 2015 was $529 million and consisted of net income from continuing operations of $235 million, adjustments for non-cash and other items of $455 million and a decrease in cash from changes in operating assets and liabilities of $160 million. The adjustments for non-cash and other items consist primarily of $351 million of depreciation and amortization, $97 million of deferred taxes, $44 million in amortization of upfront incentive consideration, $39 million loss on extinguishment of debt, $30 million of stock-based compensation and a $29 million dividend received from SAPPL prior to the acquisition; partially offset by the $78 million gain on the remeasurement of our previously-held interest in Abacus and $61 million of litigation-related credits. The decrease in cash from changes in operating assets and liabilities was primarily the result of a $67 million increase in other assets, mainly driven by deferred customer discounts, $64 million used for upfront incentive consideration and $63 million used for capitalized implementation costs; partially offset by an increase in accrued compensation and related benefits of $18 million and a decrease in accounts and other receivables of $11 million million.</w:t>
      </w:r>
    </w:p>
    <w:p>
      <w:pPr>
        <w:spacing w:after="0" w:line="179"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Cash provided by operating activities for the year ended December 31, 2014 was $388 million and consisted of net income from continuing operations of $111 million, adjustments for non-cash and other items of $359 million and a decrease in cash from changes in operating assets and liabilities of $82 million. The adjustments for non-cash and other items consist primarily of $290 million of depreciation and amortization, $45 million in amortization of upfront incentive consideration, $34 million loss on extinguishment of debt and and $20 million of stock-based compensation expense; partially offset by $42 million of litigation related credits and $12 million of joint venture equity income. The decrease in cash from changes in operating assets and liabilities was primarily the result of a $79 million increase in other assets primarily due to a $50 million payment made to American Airlines in conjunction with the new Airline Solutions contract, $51 million used for upfront incentive consideration, and $38 million used for capitalized implementation costs, partially offset by a $52 million increase in accounts payable and other accrued liabilities and a $39 million increase in deferred revenue.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20"/>
          </w:cols>
          <w:pgMar w:left="240" w:top="754"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For the year ended December 31, 2016, we used cash of $164 million for the acquisition of the Trust Group and Airpas Aviation and $328 million on capital expenditures, which includes $284 million related to software developed for internal use. The use of cash from investing activities was offset by proceeds received from the sale of our available-for-sale securities of $46 million.</w:t>
      </w:r>
    </w:p>
    <w:p>
      <w:pPr>
        <w:spacing w:after="0" w:line="190"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For the year ended December 31, 2015, we used cash of $442 million to acquire Abacus and $287 million on capital expenditures, which includes $233 million related to software developed for internal use.</w:t>
      </w:r>
    </w:p>
    <w:p>
      <w:pPr>
        <w:spacing w:after="0" w:line="188"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For the year ended December 31, 2014, we used cash of $227 million on capital expenditures, which includes $171 million related to software developed for internal use, and we paid $32 million related to the acquisition of Genares Worldwide Reservations Services, Ltd., a solutions provider to the hospitality industry.</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 ended December 31, 2016, we used $190 million for financing activities. Significant highlights of our financing activities include:</w:t>
      </w:r>
    </w:p>
    <w:p>
      <w:pPr>
        <w:spacing w:after="0" w:line="48" w:lineRule="exact"/>
        <w:rPr>
          <w:sz w:val="20"/>
          <w:szCs w:val="20"/>
          <w:color w:val="auto"/>
        </w:rPr>
      </w:pPr>
    </w:p>
    <w:p>
      <w:pPr>
        <w:ind w:left="740" w:hanging="300"/>
        <w:spacing w:after="0" w:line="245" w:lineRule="auto"/>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received proceeds of $597 million (net of $3 million discount) from the Term Loan A and used a portion of the proceeds to repay $350 million of outstanding principal on our Term Loan B and Incremental Term Loan Facility;</w:t>
      </w:r>
    </w:p>
    <w:p>
      <w:pPr>
        <w:spacing w:after="0" w:line="40"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paid the remaining principal of $165 million on our senior secured notes due 2016, which matured in March 2016, paid down $26 million of the term loan outstanding as part of quarterly principal repayments;</w:t>
      </w:r>
    </w:p>
    <w:p>
      <w:pPr>
        <w:spacing w:after="0" w:line="45" w:lineRule="exact"/>
        <w:rPr>
          <w:rFonts w:ascii="Arial" w:cs="Arial" w:eastAsia="Arial" w:hAnsi="Arial"/>
          <w:sz w:val="15"/>
          <w:szCs w:val="15"/>
          <w:color w:val="auto"/>
        </w:rPr>
      </w:pPr>
    </w:p>
    <w:p>
      <w:pPr>
        <w:ind w:left="740" w:hanging="300"/>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5"/>
          <w:szCs w:val="15"/>
          <w:color w:val="auto"/>
        </w:rPr>
        <w:t>we made draws on our Prior Revolver totaling $458 million and payments totaling $458 million resulting in no outstanding balance as of December 31, 2016;</w:t>
      </w:r>
    </w:p>
    <w:p>
      <w:pPr>
        <w:spacing w:after="0" w:line="55" w:lineRule="exact"/>
        <w:rPr>
          <w:rFonts w:ascii="Arial" w:cs="Arial" w:eastAsia="Arial" w:hAnsi="Arial"/>
          <w:sz w:val="16"/>
          <w:szCs w:val="16"/>
          <w:color w:val="auto"/>
        </w:rPr>
      </w:pPr>
    </w:p>
    <w:p>
      <w:pPr>
        <w:ind w:left="740" w:hanging="300"/>
        <w:spacing w:after="0"/>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made payments of $13 million for capital leases;</w:t>
      </w:r>
    </w:p>
    <w:p>
      <w:pPr>
        <w:spacing w:after="0" w:line="48" w:lineRule="exact"/>
        <w:rPr>
          <w:rFonts w:ascii="Arial" w:cs="Arial" w:eastAsia="Arial" w:hAnsi="Arial"/>
          <w:sz w:val="15"/>
          <w:szCs w:val="15"/>
          <w:color w:val="auto"/>
        </w:rPr>
      </w:pPr>
    </w:p>
    <w:p>
      <w:pPr>
        <w:ind w:left="740" w:hanging="300"/>
        <w:spacing w:after="0"/>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paid $144 million in dividends on our common stock; and</w:t>
      </w:r>
    </w:p>
    <w:p>
      <w:pPr>
        <w:spacing w:after="0" w:line="48" w:lineRule="exact"/>
        <w:rPr>
          <w:rFonts w:ascii="Arial" w:cs="Arial" w:eastAsia="Arial" w:hAnsi="Arial"/>
          <w:sz w:val="15"/>
          <w:szCs w:val="15"/>
          <w:color w:val="auto"/>
        </w:rPr>
      </w:pPr>
    </w:p>
    <w:p>
      <w:pPr>
        <w:ind w:left="740" w:hanging="300"/>
        <w:spacing w:after="0"/>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received proceeds of $27 million from the settlement of employee stock-option awards;</w:t>
      </w:r>
    </w:p>
    <w:p>
      <w:pPr>
        <w:spacing w:after="0" w:line="48" w:lineRule="exact"/>
        <w:rPr>
          <w:rFonts w:ascii="Arial" w:cs="Arial" w:eastAsia="Arial" w:hAnsi="Arial"/>
          <w:sz w:val="15"/>
          <w:szCs w:val="15"/>
          <w:color w:val="auto"/>
        </w:rPr>
      </w:pPr>
    </w:p>
    <w:p>
      <w:pPr>
        <w:ind w:left="740" w:hanging="300"/>
        <w:spacing w:after="0"/>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repurchased 3,980,672 shares of our common stock outstanding totaling $100 million.</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 ended December 31, 2015, cash provided from financing activities totaled $93 million. Significant highlights of our financing activities included:</w:t>
      </w:r>
    </w:p>
    <w:p>
      <w:pPr>
        <w:spacing w:after="0" w:line="48" w:lineRule="exact"/>
        <w:rPr>
          <w:sz w:val="20"/>
          <w:szCs w:val="20"/>
          <w:color w:val="auto"/>
        </w:rPr>
      </w:pPr>
    </w:p>
    <w:p>
      <w:pPr>
        <w:ind w:left="740" w:hanging="300"/>
        <w:spacing w:after="0" w:line="245" w:lineRule="auto"/>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 April 2015, we issued $530 million of our 5.375% senior secured notes due in 2023 and used the net proceeds of $522 million to redeem all of the $480 million principal of our senior secured notes due 2019, pay a $31 million redemption premium and $2 million make-whole premium;</w:t>
      </w:r>
    </w:p>
    <w:p>
      <w:pPr>
        <w:spacing w:after="0" w:line="40"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 November 2015, we issued $500 million of 5.25% senior secured notes due 2023 and used the net proceeds of $494 million to repay $235 million of the $400 million senior secured notes due 2016, pay a $5 million make-whole premium and repurchase 3,400,000 shares of our common stock totaling $99 million;</w:t>
      </w:r>
    </w:p>
    <w:p>
      <w:pPr>
        <w:spacing w:after="0" w:line="40" w:lineRule="exact"/>
        <w:rPr>
          <w:rFonts w:ascii="Arial" w:cs="Arial" w:eastAsia="Arial" w:hAnsi="Arial"/>
          <w:sz w:val="15"/>
          <w:szCs w:val="15"/>
          <w:color w:val="auto"/>
        </w:rPr>
      </w:pPr>
    </w:p>
    <w:p>
      <w:pPr>
        <w:ind w:left="740" w:hanging="300"/>
        <w:spacing w:after="0"/>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paid down $21 million of the term loan outstanding as part of quarterly principal repayments;</w:t>
      </w:r>
    </w:p>
    <w:p>
      <w:pPr>
        <w:spacing w:after="0" w:line="48" w:lineRule="exact"/>
        <w:rPr>
          <w:rFonts w:ascii="Arial" w:cs="Arial" w:eastAsia="Arial" w:hAnsi="Arial"/>
          <w:sz w:val="15"/>
          <w:szCs w:val="15"/>
          <w:color w:val="auto"/>
        </w:rPr>
      </w:pPr>
    </w:p>
    <w:p>
      <w:pPr>
        <w:ind w:left="740" w:hanging="300"/>
        <w:spacing w:after="0"/>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paid $99 million in dividends on our common stock; and</w:t>
      </w:r>
    </w:p>
    <w:p>
      <w:pPr>
        <w:spacing w:after="0" w:line="48" w:lineRule="exact"/>
        <w:rPr>
          <w:rFonts w:ascii="Arial" w:cs="Arial" w:eastAsia="Arial" w:hAnsi="Arial"/>
          <w:sz w:val="15"/>
          <w:szCs w:val="15"/>
          <w:color w:val="auto"/>
        </w:rPr>
      </w:pPr>
    </w:p>
    <w:p>
      <w:pPr>
        <w:ind w:left="740" w:hanging="300"/>
        <w:spacing w:after="0"/>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received net proceeds of $47 million from the settlement of stock-based awards.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 ended December 31, 2014, we used $72 million for financing activities. Significant highlights of our financing activities included:</w:t>
      </w:r>
    </w:p>
    <w:p>
      <w:pPr>
        <w:spacing w:after="0" w:line="48" w:lineRule="exact"/>
        <w:rPr>
          <w:sz w:val="20"/>
          <w:szCs w:val="20"/>
          <w:color w:val="auto"/>
        </w:rPr>
      </w:pPr>
    </w:p>
    <w:p>
      <w:pPr>
        <w:ind w:left="740" w:hanging="300"/>
        <w:spacing w:after="0" w:line="245" w:lineRule="auto"/>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entered into the Repricing Amendments which resulted in proceeds of $148 million from new lenders which were utilized to repay prior lenders. There was no net change in our outstanding indebtedness as a result of the Repricing Amendments;</w:t>
      </w:r>
    </w:p>
    <w:p>
      <w:pPr>
        <w:spacing w:after="0" w:line="40"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raised $672 million net proceeds from our initial public offering and utilized the net proceeds to repay $296 million aggregate principal amount of our Term Loan C and $320 million aggregate principal amount of our 2019 Notes;</w:t>
      </w:r>
    </w:p>
    <w:p>
      <w:pPr>
        <w:spacing w:after="0" w:line="40" w:lineRule="exact"/>
        <w:rPr>
          <w:rFonts w:ascii="Arial" w:cs="Arial" w:eastAsia="Arial" w:hAnsi="Arial"/>
          <w:sz w:val="15"/>
          <w:szCs w:val="15"/>
          <w:color w:val="auto"/>
        </w:rPr>
      </w:pPr>
    </w:p>
    <w:p>
      <w:pPr>
        <w:ind w:left="740" w:hanging="300"/>
        <w:spacing w:after="0"/>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paid down $37 million of the term loan outstanding as part of quarterly principal repayments;</w:t>
      </w:r>
    </w:p>
    <w:p>
      <w:pPr>
        <w:spacing w:after="0" w:line="48" w:lineRule="exact"/>
        <w:rPr>
          <w:rFonts w:ascii="Arial" w:cs="Arial" w:eastAsia="Arial" w:hAnsi="Arial"/>
          <w:sz w:val="15"/>
          <w:szCs w:val="15"/>
          <w:color w:val="auto"/>
        </w:rPr>
      </w:pPr>
    </w:p>
    <w:p>
      <w:pPr>
        <w:ind w:left="740" w:hanging="300"/>
        <w:spacing w:after="0"/>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paid $30 million in debt-related costs including a $27 million prepayment fee on our 2019 Notes;</w:t>
      </w:r>
    </w:p>
    <w:p>
      <w:pPr>
        <w:spacing w:after="0" w:line="48" w:lineRule="exact"/>
        <w:rPr>
          <w:rFonts w:ascii="Arial" w:cs="Arial" w:eastAsia="Arial" w:hAnsi="Arial"/>
          <w:sz w:val="15"/>
          <w:szCs w:val="15"/>
          <w:color w:val="auto"/>
        </w:rPr>
      </w:pPr>
    </w:p>
    <w:p>
      <w:pPr>
        <w:ind w:left="740" w:hanging="300"/>
        <w:spacing w:after="0"/>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paid $27 million in contingent consideration associated with our acquisition of PRISM in 2012; and</w:t>
      </w:r>
    </w:p>
    <w:p>
      <w:pPr>
        <w:spacing w:after="0" w:line="48" w:lineRule="exact"/>
        <w:rPr>
          <w:rFonts w:ascii="Arial" w:cs="Arial" w:eastAsia="Arial" w:hAnsi="Arial"/>
          <w:sz w:val="15"/>
          <w:szCs w:val="15"/>
          <w:color w:val="auto"/>
        </w:rPr>
      </w:pPr>
    </w:p>
    <w:p>
      <w:pPr>
        <w:ind w:left="740" w:hanging="300"/>
        <w:spacing w:after="0"/>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paid $48 million in dividends on our common stock.</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Discontinued Travelocity Business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Cash flows (used in) provided by discontinued operating activities was $(19) million, less than $1 million, and $(206) million for the years ended December 31, 2016, 2015 and 2014, respectively. The increase in cash flows used by discontinued operating activities for the year ended December 31, 2016 compared to 2015 is primarily due to a tax benefit associated with the resolution of uncertain tax positions. The cash flows provided by discontinued operating activities in the year ended December 31, 2015 was primarily due to a $30 million refund received from the State of Hawaii associated with a favorable ruling in hotel occupancy tax</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20"/>
          </w:cols>
          <w:pgMar w:left="240" w:top="835" w:right="239" w:bottom="1440" w:gutter="0" w:footer="0" w:header="0"/>
        </w:sectPr>
      </w:pPr>
    </w:p>
    <w:bookmarkStart w:id="52" w:name="page53"/>
    <w:bookmarkEnd w:id="52"/>
    <w:p>
      <w:pPr>
        <w:ind w:left="2"/>
        <w:spacing w:after="0" w:line="245" w:lineRule="auto"/>
        <w:rPr>
          <w:sz w:val="20"/>
          <w:szCs w:val="20"/>
          <w:color w:val="auto"/>
        </w:rPr>
      </w:pPr>
      <w:r>
        <w:rPr>
          <w:rFonts w:ascii="Arial" w:cs="Arial" w:eastAsia="Arial" w:hAnsi="Arial"/>
          <w:sz w:val="15"/>
          <w:szCs w:val="15"/>
          <w:color w:val="auto"/>
        </w:rPr>
        <w:t>litigation, offset by cash used to wind down the discontinued business. The cash flows used in discontinued operating activities in the year ended December 31, 2014, were primarily to pay down operating liabilities, mainly associated with travel supplier liabilities.</w:t>
      </w:r>
    </w:p>
    <w:p>
      <w:pPr>
        <w:spacing w:after="0" w:line="188" w:lineRule="exact"/>
        <w:rPr>
          <w:sz w:val="20"/>
          <w:szCs w:val="20"/>
          <w:color w:val="auto"/>
        </w:rPr>
      </w:pPr>
    </w:p>
    <w:p>
      <w:pPr>
        <w:ind w:left="2" w:firstLine="454"/>
        <w:spacing w:after="0" w:line="245" w:lineRule="auto"/>
        <w:rPr>
          <w:sz w:val="20"/>
          <w:szCs w:val="20"/>
          <w:color w:val="auto"/>
        </w:rPr>
      </w:pPr>
      <w:r>
        <w:rPr>
          <w:rFonts w:ascii="Arial" w:cs="Arial" w:eastAsia="Arial" w:hAnsi="Arial"/>
          <w:sz w:val="15"/>
          <w:szCs w:val="15"/>
          <w:color w:val="auto"/>
        </w:rPr>
        <w:t>Cash flows provided by discontinued investing activities for the year ended December 31, 2015 totaled $279 million which consisted of $280 million in proceeds from the sale of Travelocity.com, partially offset by $1 million in capital expenditures associated with lastminute.com prior to its sale.</w:t>
      </w:r>
    </w:p>
    <w:p>
      <w:pPr>
        <w:spacing w:after="0" w:line="188" w:lineRule="exact"/>
        <w:rPr>
          <w:sz w:val="20"/>
          <w:szCs w:val="20"/>
          <w:color w:val="auto"/>
        </w:rPr>
      </w:pPr>
    </w:p>
    <w:p>
      <w:pPr>
        <w:ind w:left="2" w:firstLine="454"/>
        <w:spacing w:after="0" w:line="245" w:lineRule="auto"/>
        <w:rPr>
          <w:sz w:val="20"/>
          <w:szCs w:val="20"/>
          <w:color w:val="auto"/>
        </w:rPr>
      </w:pPr>
      <w:r>
        <w:rPr>
          <w:rFonts w:ascii="Arial" w:cs="Arial" w:eastAsia="Arial" w:hAnsi="Arial"/>
          <w:sz w:val="15"/>
          <w:szCs w:val="15"/>
          <w:color w:val="auto"/>
        </w:rPr>
        <w:t>As a result of our completed divestiture of the Travelocity segment, we do not expect our discontinued operations to have material ongoing liquidity requirements. See Note 15, Commitments and Contingencies, regarding litigation and other contingencies associated with our discontinued Travelocity segment.</w:t>
      </w:r>
    </w:p>
    <w:p>
      <w:pPr>
        <w:spacing w:after="0" w:line="268"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Contractual Obligations</w:t>
      </w:r>
    </w:p>
    <w:p>
      <w:pPr>
        <w:spacing w:after="0" w:line="115" w:lineRule="exact"/>
        <w:rPr>
          <w:sz w:val="20"/>
          <w:szCs w:val="20"/>
          <w:color w:val="auto"/>
        </w:rPr>
      </w:pPr>
    </w:p>
    <w:p>
      <w:pPr>
        <w:ind w:left="462"/>
        <w:spacing w:after="0"/>
        <w:rPr>
          <w:sz w:val="20"/>
          <w:szCs w:val="20"/>
          <w:color w:val="auto"/>
        </w:rPr>
      </w:pPr>
      <w:r>
        <w:rPr>
          <w:rFonts w:ascii="Arial" w:cs="Arial" w:eastAsia="Arial" w:hAnsi="Arial"/>
          <w:sz w:val="15"/>
          <w:szCs w:val="15"/>
          <w:color w:val="auto"/>
        </w:rPr>
        <w:t>As of December 31, 2016, our contractual obligations were as follows (in thousands):</w:t>
      </w:r>
    </w:p>
    <w:p>
      <w:pPr>
        <w:spacing w:after="0" w:line="272"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30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rPr>
              <w:t>Payments Due by Period</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1"/>
                <w:szCs w:val="11"/>
                <w:b w:val="1"/>
                <w:bCs w:val="1"/>
                <w:color w:val="auto"/>
              </w:rPr>
              <w:t>Thereafter</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33"/>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w:t>
            </w:r>
            <w:r>
              <w:rPr>
                <w:rFonts w:ascii="Arial" w:cs="Arial" w:eastAsia="Arial" w:hAnsi="Arial"/>
                <w:sz w:val="19"/>
                <w:szCs w:val="19"/>
                <w:color w:val="auto"/>
                <w:vertAlign w:val="superscript"/>
              </w:rPr>
              <w:t>(1)</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243,108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rPr>
              <w:t>724,934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1,777,653</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59,195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54,738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1,125,231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3,984,859</w:t>
            </w:r>
          </w:p>
        </w:tc>
        <w:tc>
          <w:tcPr>
            <w:tcW w:w="0" w:type="dxa"/>
            <w:vAlign w:val="bottom"/>
          </w:tcPr>
          <w:p>
            <w:pPr>
              <w:spacing w:after="0"/>
              <w:rPr>
                <w:sz w:val="1"/>
                <w:szCs w:val="1"/>
                <w:color w:val="auto"/>
              </w:rPr>
            </w:pPr>
          </w:p>
        </w:tc>
      </w:tr>
      <w:tr>
        <w:trPr>
          <w:trHeight w:val="245"/>
        </w:trPr>
        <w:tc>
          <w:tcPr>
            <w:tcW w:w="3080" w:type="dxa"/>
            <w:vAlign w:val="bottom"/>
          </w:tcPr>
          <w:p>
            <w:pPr>
              <w:ind w:left="20"/>
              <w:spacing w:after="0"/>
              <w:rPr>
                <w:sz w:val="20"/>
                <w:szCs w:val="20"/>
                <w:color w:val="auto"/>
              </w:rPr>
            </w:pPr>
            <w:r>
              <w:rPr>
                <w:rFonts w:ascii="Arial" w:cs="Arial" w:eastAsia="Arial" w:hAnsi="Arial"/>
                <w:sz w:val="15"/>
                <w:szCs w:val="15"/>
                <w:color w:val="auto"/>
              </w:rPr>
              <w:t>Headquarters mortgage</w:t>
            </w:r>
            <w:r>
              <w:rPr>
                <w:rFonts w:ascii="Arial" w:cs="Arial" w:eastAsia="Arial" w:hAnsi="Arial"/>
                <w:sz w:val="19"/>
                <w:szCs w:val="19"/>
                <w:color w:val="auto"/>
                <w:vertAlign w:val="superscript"/>
              </w:rPr>
              <w:t>(2)</w:t>
            </w:r>
          </w:p>
        </w:tc>
        <w:tc>
          <w:tcPr>
            <w:tcW w:w="28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80,895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80,895</w:t>
            </w:r>
          </w:p>
        </w:tc>
        <w:tc>
          <w:tcPr>
            <w:tcW w:w="0" w:type="dxa"/>
            <w:vAlign w:val="bottom"/>
          </w:tcPr>
          <w:p>
            <w:pPr>
              <w:spacing w:after="0"/>
              <w:rPr>
                <w:sz w:val="1"/>
                <w:szCs w:val="1"/>
                <w:color w:val="auto"/>
              </w:rPr>
            </w:pPr>
          </w:p>
        </w:tc>
      </w:tr>
      <w:tr>
        <w:trPr>
          <w:trHeight w:val="245"/>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obligations</w:t>
            </w:r>
            <w:r>
              <w:rPr>
                <w:rFonts w:ascii="Arial" w:cs="Arial" w:eastAsia="Arial" w:hAnsi="Arial"/>
                <w:sz w:val="19"/>
                <w:szCs w:val="19"/>
                <w:color w:val="auto"/>
                <w:vertAlign w:val="superscript"/>
              </w:rPr>
              <w:t>(3)</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29,398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rPr>
              <w:t>26,498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23,037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20,479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17,671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39,927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157,010</w:t>
            </w:r>
          </w:p>
        </w:tc>
        <w:tc>
          <w:tcPr>
            <w:tcW w:w="0" w:type="dxa"/>
            <w:vAlign w:val="bottom"/>
          </w:tcPr>
          <w:p>
            <w:pPr>
              <w:spacing w:after="0"/>
              <w:rPr>
                <w:sz w:val="1"/>
                <w:szCs w:val="1"/>
                <w:color w:val="auto"/>
              </w:rPr>
            </w:pPr>
          </w:p>
        </w:tc>
      </w:tr>
      <w:tr>
        <w:trPr>
          <w:trHeight w:val="245"/>
        </w:trPr>
        <w:tc>
          <w:tcPr>
            <w:tcW w:w="3080" w:type="dxa"/>
            <w:vAlign w:val="bottom"/>
          </w:tcPr>
          <w:p>
            <w:pPr>
              <w:ind w:left="20"/>
              <w:spacing w:after="0"/>
              <w:rPr>
                <w:sz w:val="20"/>
                <w:szCs w:val="20"/>
                <w:color w:val="auto"/>
              </w:rPr>
            </w:pPr>
            <w:r>
              <w:rPr>
                <w:rFonts w:ascii="Arial" w:cs="Arial" w:eastAsia="Arial" w:hAnsi="Arial"/>
                <w:sz w:val="15"/>
                <w:szCs w:val="15"/>
                <w:color w:val="auto"/>
              </w:rPr>
              <w:t>IT outsourcing agreement</w:t>
            </w:r>
            <w:r>
              <w:rPr>
                <w:rFonts w:ascii="Arial" w:cs="Arial" w:eastAsia="Arial" w:hAnsi="Arial"/>
                <w:sz w:val="19"/>
                <w:szCs w:val="19"/>
                <w:color w:val="auto"/>
                <w:vertAlign w:val="superscript"/>
              </w:rPr>
              <w:t>(4)</w:t>
            </w:r>
          </w:p>
        </w:tc>
        <w:tc>
          <w:tcPr>
            <w:tcW w:w="28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181,453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5"/>
                <w:szCs w:val="15"/>
                <w:color w:val="auto"/>
              </w:rPr>
              <w:t>173,561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144,108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5"/>
                <w:szCs w:val="15"/>
                <w:color w:val="auto"/>
              </w:rPr>
              <w:t>136,117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5"/>
                <w:szCs w:val="15"/>
                <w:color w:val="auto"/>
              </w:rPr>
              <w:t>122,366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5"/>
                <w:szCs w:val="15"/>
                <w:color w:val="auto"/>
              </w:rPr>
              <w:t>210,067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967,672</w:t>
            </w:r>
          </w:p>
        </w:tc>
        <w:tc>
          <w:tcPr>
            <w:tcW w:w="0" w:type="dxa"/>
            <w:vAlign w:val="bottom"/>
          </w:tcPr>
          <w:p>
            <w:pPr>
              <w:spacing w:after="0"/>
              <w:rPr>
                <w:sz w:val="1"/>
                <w:szCs w:val="1"/>
                <w:color w:val="auto"/>
              </w:rPr>
            </w:pPr>
          </w:p>
        </w:tc>
      </w:tr>
      <w:tr>
        <w:trPr>
          <w:trHeight w:val="245"/>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orders</w:t>
            </w:r>
            <w:r>
              <w:rPr>
                <w:rFonts w:ascii="Arial" w:cs="Arial" w:eastAsia="Arial" w:hAnsi="Arial"/>
                <w:sz w:val="19"/>
                <w:szCs w:val="19"/>
                <w:color w:val="auto"/>
                <w:vertAlign w:val="superscript"/>
              </w:rPr>
              <w:t>(5)</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326,033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rPr>
              <w:t>3,298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1,333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331,971</w:t>
            </w:r>
          </w:p>
        </w:tc>
        <w:tc>
          <w:tcPr>
            <w:tcW w:w="0" w:type="dxa"/>
            <w:vAlign w:val="bottom"/>
          </w:tcPr>
          <w:p>
            <w:pPr>
              <w:spacing w:after="0"/>
              <w:rPr>
                <w:sz w:val="1"/>
                <w:szCs w:val="1"/>
                <w:color w:val="auto"/>
              </w:rPr>
            </w:pPr>
          </w:p>
        </w:tc>
      </w:tr>
      <w:tr>
        <w:trPr>
          <w:trHeight w:val="245"/>
        </w:trPr>
        <w:tc>
          <w:tcPr>
            <w:tcW w:w="3080" w:type="dxa"/>
            <w:vAlign w:val="bottom"/>
          </w:tcPr>
          <w:p>
            <w:pPr>
              <w:ind w:left="20"/>
              <w:spacing w:after="0"/>
              <w:rPr>
                <w:sz w:val="20"/>
                <w:szCs w:val="20"/>
                <w:color w:val="auto"/>
              </w:rPr>
            </w:pPr>
            <w:r>
              <w:rPr>
                <w:rFonts w:ascii="Arial" w:cs="Arial" w:eastAsia="Arial" w:hAnsi="Arial"/>
                <w:sz w:val="15"/>
                <w:szCs w:val="15"/>
                <w:color w:val="auto"/>
              </w:rPr>
              <w:t>Letters of credit</w:t>
            </w:r>
            <w:r>
              <w:rPr>
                <w:rFonts w:ascii="Arial" w:cs="Arial" w:eastAsia="Arial" w:hAnsi="Arial"/>
                <w:sz w:val="19"/>
                <w:szCs w:val="19"/>
                <w:color w:val="auto"/>
                <w:vertAlign w:val="superscript"/>
              </w:rPr>
              <w:t>(6)</w:t>
            </w:r>
          </w:p>
        </w:tc>
        <w:tc>
          <w:tcPr>
            <w:tcW w:w="28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5"/>
                <w:szCs w:val="15"/>
                <w:color w:val="auto"/>
              </w:rPr>
              <w:t>34,796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5"/>
                <w:szCs w:val="15"/>
                <w:color w:val="auto"/>
              </w:rPr>
              <w:t>34,994</w:t>
            </w:r>
          </w:p>
        </w:tc>
        <w:tc>
          <w:tcPr>
            <w:tcW w:w="0" w:type="dxa"/>
            <w:vAlign w:val="bottom"/>
          </w:tcPr>
          <w:p>
            <w:pPr>
              <w:spacing w:after="0"/>
              <w:rPr>
                <w:sz w:val="1"/>
                <w:szCs w:val="1"/>
                <w:color w:val="auto"/>
              </w:rPr>
            </w:pPr>
          </w:p>
        </w:tc>
      </w:tr>
      <w:tr>
        <w:trPr>
          <w:trHeight w:val="245"/>
        </w:trPr>
        <w:tc>
          <w:tcPr>
            <w:tcW w:w="3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Unrecognized tax benefits</w:t>
            </w:r>
            <w:r>
              <w:rPr>
                <w:rFonts w:ascii="Arial" w:cs="Arial" w:eastAsia="Arial" w:hAnsi="Arial"/>
                <w:sz w:val="19"/>
                <w:szCs w:val="19"/>
                <w:color w:val="auto"/>
                <w:vertAlign w:val="superscript"/>
              </w:rPr>
              <w:t>(7)</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71,176</w:t>
            </w:r>
          </w:p>
        </w:tc>
        <w:tc>
          <w:tcPr>
            <w:tcW w:w="0" w:type="dxa"/>
            <w:vAlign w:val="bottom"/>
          </w:tcPr>
          <w:p>
            <w:pPr>
              <w:spacing w:after="0"/>
              <w:rPr>
                <w:sz w:val="1"/>
                <w:szCs w:val="1"/>
                <w:color w:val="auto"/>
              </w:rPr>
            </w:pPr>
          </w:p>
        </w:tc>
      </w:tr>
      <w:tr>
        <w:trPr>
          <w:trHeight w:val="245"/>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Tax Receivable Agreement</w:t>
            </w:r>
            <w:r>
              <w:rPr>
                <w:rFonts w:ascii="Arial" w:cs="Arial" w:eastAsia="Arial" w:hAnsi="Arial"/>
                <w:sz w:val="19"/>
                <w:szCs w:val="19"/>
                <w:color w:val="auto"/>
                <w:vertAlign w:val="superscript"/>
              </w:rPr>
              <w:t>(8)</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100,501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394,763</w:t>
            </w:r>
          </w:p>
        </w:tc>
        <w:tc>
          <w:tcPr>
            <w:tcW w:w="0" w:type="dxa"/>
            <w:vAlign w:val="bottom"/>
          </w:tcPr>
          <w:p>
            <w:pPr>
              <w:spacing w:after="0"/>
              <w:rPr>
                <w:sz w:val="1"/>
                <w:szCs w:val="1"/>
                <w:color w:val="auto"/>
              </w:rPr>
            </w:pPr>
          </w:p>
        </w:tc>
      </w:tr>
      <w:tr>
        <w:trPr>
          <w:trHeight w:val="213"/>
        </w:trPr>
        <w:tc>
          <w:tcPr>
            <w:tcW w:w="3080" w:type="dxa"/>
            <w:vAlign w:val="bottom"/>
            <w:shd w:val="clear" w:color="auto" w:fill="CCEEFF"/>
          </w:tcPr>
          <w:p>
            <w:pPr>
              <w:ind w:left="20"/>
              <w:spacing w:after="0" w:line="214" w:lineRule="exact"/>
              <w:rPr>
                <w:sz w:val="20"/>
                <w:szCs w:val="20"/>
                <w:color w:val="auto"/>
              </w:rPr>
            </w:pPr>
            <w:r>
              <w:rPr>
                <w:rFonts w:ascii="Arial" w:cs="Arial" w:eastAsia="Arial" w:hAnsi="Arial"/>
                <w:sz w:val="15"/>
                <w:szCs w:val="15"/>
                <w:color w:val="auto"/>
              </w:rPr>
              <w:t>Total contractual cash obligations</w:t>
            </w:r>
            <w:r>
              <w:rPr>
                <w:rFonts w:ascii="Arial" w:cs="Arial" w:eastAsia="Arial" w:hAnsi="Arial"/>
                <w:sz w:val="19"/>
                <w:szCs w:val="19"/>
                <w:color w:val="auto"/>
                <w:vertAlign w:val="superscript"/>
              </w:rPr>
              <w:t>(9)</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996,184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rPr>
              <w:t>928,346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1,946,248</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217,124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194,775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1,375,225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6,023,340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302" w:hanging="302"/>
        <w:spacing w:after="0" w:line="238" w:lineRule="auto"/>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all interest and principal of borrowings under our senior secured credit facilities, senior secured notes due 2023 and capital lease obligations. Under certain circumstances, we are required to pay a percentage of the excess cash flow, if any, generated each year to our lenders which obligation is not reflected in the table above. Interest on the term loan is based on the LIBOR rate plus a base margin and includes the effect of interest rate swaps. For purposes of this table, we have used projected LIBOR rates for all future periods. See Note 7, Debt, to our consolidated financial statements.</w:t>
      </w:r>
    </w:p>
    <w:p>
      <w:pPr>
        <w:spacing w:after="0" w:line="2" w:lineRule="exact"/>
        <w:rPr>
          <w:rFonts w:ascii="Arial" w:cs="Arial" w:eastAsia="Arial" w:hAnsi="Arial"/>
          <w:sz w:val="15"/>
          <w:szCs w:val="15"/>
          <w:color w:val="auto"/>
        </w:rPr>
      </w:pPr>
    </w:p>
    <w:p>
      <w:pPr>
        <w:ind w:left="302" w:hanging="302"/>
        <w:spacing w:after="0"/>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all interest and principal related to our mortgage facility, which matures on April 1, 2017. See Note 7, Debt, to our consolidated financial statements.</w:t>
      </w:r>
    </w:p>
    <w:p>
      <w:pPr>
        <w:jc w:val="both"/>
        <w:ind w:left="302" w:hanging="302"/>
        <w:spacing w:after="0" w:line="238" w:lineRule="auto"/>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lease approximately one million square feet of office space in 114 locations in 53 countries. Lease payment escalations are based on fixed annual increases, local consumer price index changes or market rental reviews. We have renewal options of various term lengths in 89 leases. We have no purchase options and no restrictions imposed by our leases concerning dividends or additional debt.</w:t>
      </w:r>
    </w:p>
    <w:p>
      <w:pPr>
        <w:spacing w:after="0" w:line="2" w:lineRule="exact"/>
        <w:rPr>
          <w:rFonts w:ascii="Arial" w:cs="Arial" w:eastAsia="Arial" w:hAnsi="Arial"/>
          <w:sz w:val="15"/>
          <w:szCs w:val="15"/>
          <w:color w:val="auto"/>
        </w:rPr>
      </w:pPr>
    </w:p>
    <w:p>
      <w:pPr>
        <w:ind w:left="302" w:hanging="302"/>
        <w:spacing w:after="0" w:line="238" w:lineRule="auto"/>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Represents minimum amounts due to HPE under the terms of an outsourcing agreement through which HPE manages a significant portion of our information technology systems. Actual payments may vary significantly from the minimum amounts presented.</w:t>
      </w:r>
    </w:p>
    <w:p>
      <w:pPr>
        <w:spacing w:after="0" w:line="1" w:lineRule="exact"/>
        <w:rPr>
          <w:rFonts w:ascii="Arial" w:cs="Arial" w:eastAsia="Arial" w:hAnsi="Arial"/>
          <w:sz w:val="15"/>
          <w:szCs w:val="15"/>
          <w:color w:val="auto"/>
        </w:rPr>
      </w:pPr>
    </w:p>
    <w:p>
      <w:pPr>
        <w:jc w:val="both"/>
        <w:ind w:left="302" w:hanging="302"/>
        <w:spacing w:after="0" w:line="238" w:lineRule="auto"/>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Purchase obligations represent an estimate of all open purchase orders and contractual obligations in the ordinary course of business for which we have not received the goods or services as of December 31, 2016.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2" w:lineRule="exact"/>
        <w:rPr>
          <w:rFonts w:ascii="Arial" w:cs="Arial" w:eastAsia="Arial" w:hAnsi="Arial"/>
          <w:sz w:val="15"/>
          <w:szCs w:val="15"/>
          <w:color w:val="auto"/>
        </w:rPr>
      </w:pPr>
    </w:p>
    <w:p>
      <w:pPr>
        <w:jc w:val="both"/>
        <w:ind w:left="302" w:hanging="302"/>
        <w:spacing w:after="0" w:line="172" w:lineRule="exact"/>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letters of credit consist of stand-by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w:t>
      </w:r>
      <w:r>
        <w:rPr>
          <w:rFonts w:ascii="MS PGothic" w:cs="MS PGothic" w:eastAsia="MS PGothic" w:hAnsi="MS PGothic"/>
          <w:sz w:val="15"/>
          <w:szCs w:val="15"/>
          <w:color w:val="auto"/>
        </w:rPr>
        <w:t>‑</w:t>
      </w:r>
      <w:r>
        <w:rPr>
          <w:rFonts w:ascii="Arial" w:cs="Arial" w:eastAsia="Arial" w:hAnsi="Arial"/>
          <w:sz w:val="15"/>
          <w:szCs w:val="15"/>
          <w:color w:val="auto"/>
        </w:rPr>
        <w:t>by letters of credit during the years ended December 31, 2016, 2015 and 2014.</w:t>
      </w:r>
    </w:p>
    <w:p>
      <w:pPr>
        <w:spacing w:after="0" w:line="2" w:lineRule="exact"/>
        <w:rPr>
          <w:rFonts w:ascii="Arial" w:cs="Arial" w:eastAsia="Arial" w:hAnsi="Arial"/>
          <w:sz w:val="15"/>
          <w:szCs w:val="15"/>
          <w:color w:val="auto"/>
        </w:rPr>
      </w:pPr>
    </w:p>
    <w:p>
      <w:pPr>
        <w:ind w:left="302" w:hanging="302"/>
        <w:spacing w:after="0" w:line="238" w:lineRule="auto"/>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spacing w:after="0" w:line="1" w:lineRule="exact"/>
        <w:rPr>
          <w:rFonts w:ascii="Arial" w:cs="Arial" w:eastAsia="Arial" w:hAnsi="Arial"/>
          <w:sz w:val="15"/>
          <w:szCs w:val="15"/>
          <w:color w:val="auto"/>
        </w:rPr>
      </w:pPr>
    </w:p>
    <w:p>
      <w:pPr>
        <w:ind w:left="302" w:hanging="302"/>
        <w:spacing w:after="0" w:line="238" w:lineRule="auto"/>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paid $101 million, including interest, under our TRA in January 2017. See Note 6, Income Taxes, to our consolidated financial statements and “—Tax Receivable Agreement.” The exact timing of future payments under the TRA is uncertain and dependent on the timing of the realization of taxable income.</w:t>
      </w:r>
    </w:p>
    <w:p>
      <w:pPr>
        <w:spacing w:after="0" w:line="1" w:lineRule="exact"/>
        <w:rPr>
          <w:rFonts w:ascii="Arial" w:cs="Arial" w:eastAsia="Arial" w:hAnsi="Arial"/>
          <w:sz w:val="15"/>
          <w:szCs w:val="15"/>
          <w:color w:val="auto"/>
        </w:rPr>
      </w:pPr>
    </w:p>
    <w:p>
      <w:pPr>
        <w:ind w:left="302" w:hanging="302"/>
        <w:spacing w:after="0"/>
        <w:tabs>
          <w:tab w:leader="none" w:pos="3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Excludes pension obligations, see Note 13, Pension and Other Postretirement Benefit Plans, to our consolidated financial statements.</w:t>
      </w:r>
    </w:p>
    <w:p>
      <w:pPr>
        <w:spacing w:after="0" w:line="276"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Off Balance Sheet Arrangements</w:t>
      </w:r>
    </w:p>
    <w:p>
      <w:pPr>
        <w:spacing w:after="0" w:line="115" w:lineRule="exact"/>
        <w:rPr>
          <w:sz w:val="20"/>
          <w:szCs w:val="20"/>
          <w:color w:val="auto"/>
        </w:rPr>
      </w:pPr>
    </w:p>
    <w:p>
      <w:pPr>
        <w:ind w:left="462"/>
        <w:spacing w:after="0"/>
        <w:rPr>
          <w:sz w:val="20"/>
          <w:szCs w:val="20"/>
          <w:color w:val="auto"/>
        </w:rPr>
      </w:pPr>
      <w:r>
        <w:rPr>
          <w:rFonts w:ascii="Arial" w:cs="Arial" w:eastAsia="Arial" w:hAnsi="Arial"/>
          <w:sz w:val="15"/>
          <w:szCs w:val="15"/>
          <w:color w:val="auto"/>
        </w:rPr>
        <w:t>We had no off balance sheet arrangements during the years ended December 31, 2016, 2015 and 2014.</w:t>
      </w:r>
    </w:p>
    <w:p>
      <w:pPr>
        <w:spacing w:after="0" w:line="220"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422"/>
          </w:cols>
          <w:pgMar w:left="238" w:top="656" w:right="23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15"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In August 2016, the FASB issued an updated guidance on how companies present and classify certain cash receipts and cash payments in the statement of cash flows. The updated guidance is effective for fiscal years beginning after December 15, 2017, and interim periods within those fiscal years for public business entities. Early adoption is permitted in any interim or annual period provided that the entire ASU is adopted. We early adopted this standard effective fourth quarter of 2016, which did not have a material impact on our consolidated financial statements.</w:t>
      </w:r>
    </w:p>
    <w:p>
      <w:pPr>
        <w:spacing w:after="0" w:line="92"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In March 2016, the FASB issued an updated guidance to simplify accounting for share–based payments. The amendments of the updated standard include, among other things, the requirement to recognize excess tax benefits (or deficiencies) through earnings, the election of a policy to either estimate forfeitures when determining periodic expense or recognize actual forfeitures when they occur, and an increase in the allowable income tax withholding from the minimum to the maximum statutory rate. The updated guidance is effective for fiscal years beginning after December 15, 2016, and interim periods within those years for public business entities. Early adoption is permitted in any interim or annual period provided that the entire ASU is adopted. We early adopted this updated guidance in the first quarter of 2016. See Note 1, Summary of Business and Significant Accounting Policies, to our consolidated financial statements.</w:t>
      </w:r>
    </w:p>
    <w:p>
      <w:pPr>
        <w:spacing w:after="0" w:line="192"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In February 2016, the FASB issued an updated guidance requiring organizations that lease assets—referred to as "lessees"—to recognize on the balance sheet the assets and liabilities for the rights and obligations created by those leases,when the lease has a term of more than 12 months. The updated standard is effective for public companies for fiscal years, and interim periods within those fiscal years, beginning after December 15, 2018. We are currently evaluating the impact of this standard on our consolidated financial statements.</w:t>
      </w:r>
    </w:p>
    <w:p>
      <w:pPr>
        <w:spacing w:after="0" w:line="19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January 2016, the FASB issued an updated guidance on accounting for equity investments, financial liabilities under the fair value option, and the presentation and disclosure for financial instruments. Under this updated standard, entities must measure equity investments at fair value and recognize changes in fair value in net income. For equity investments without readily determinable fair values, entities have the option to either measure these investments at fair value or at cost adjust for changes in observable prices less impairment. The updated guidance does not apply to equity method investments or investments in consolidated subsidiaries. This new standard is effective for public companies for annual periods, including interim periods, beginning after December 15, 2017. We do not expect that the adoption of this updated standard will have a material impact to our consolidated financial statements.</w:t>
      </w:r>
    </w:p>
    <w:p>
      <w:pPr>
        <w:spacing w:after="0" w:line="192"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In April 2015, the FASB issued new guidance on a customer's accounting for fees paid in a cloud computing arrangement. Prior to this standard, there was no specific guidance under GAAP on accounting for these fees from the customer's perspective. Under the new standard, customers will apply the same criteria as vendors to determine whether a cloud computing agreement contains a software license or is solely a service contract. This new standard is effective for public companies for annual periods, including interim periods, beginning after December 15, 2015. We adopted this standard prospectively in the first quarter of 2016, which did not have a material impact on our consolidated financial statements.</w:t>
      </w:r>
    </w:p>
    <w:p>
      <w:pPr>
        <w:spacing w:after="0" w:line="192" w:lineRule="exact"/>
        <w:rPr>
          <w:sz w:val="20"/>
          <w:szCs w:val="20"/>
          <w:color w:val="auto"/>
        </w:rPr>
      </w:pPr>
    </w:p>
    <w:p>
      <w:pPr>
        <w:jc w:val="both"/>
        <w:ind w:right="20" w:firstLine="454"/>
        <w:spacing w:after="0" w:line="241" w:lineRule="auto"/>
        <w:rPr>
          <w:sz w:val="20"/>
          <w:szCs w:val="20"/>
          <w:color w:val="auto"/>
        </w:rPr>
      </w:pPr>
      <w:r>
        <w:rPr>
          <w:rFonts w:ascii="Arial" w:cs="Arial" w:eastAsia="Arial" w:hAnsi="Arial"/>
          <w:sz w:val="15"/>
          <w:szCs w:val="15"/>
          <w:color w:val="auto"/>
        </w:rPr>
        <w:t>In August 2014, the FASB issued new guidance which requires management to assess a company's ability to continue as a going concern within one year from the financial statement issuance date and to provide related footnote disclosures in certain circumstances. The assessment is required to be performed for each reporting period including interim periods. The new standard applies to all companies and is effective for the annual period ending after December 15, 2016, and all annual and interim periods thereafter. We adopted this standard in the fourth quarter of 2016, and its adoption did not have an impact on our consolidated financial statements.</w:t>
      </w:r>
    </w:p>
    <w:p>
      <w:pPr>
        <w:spacing w:after="0" w:line="190" w:lineRule="exact"/>
        <w:rPr>
          <w:sz w:val="20"/>
          <w:szCs w:val="20"/>
          <w:color w:val="auto"/>
        </w:rPr>
      </w:pPr>
    </w:p>
    <w:p>
      <w:pPr>
        <w:jc w:val="both"/>
        <w:ind w:right="20" w:firstLine="454"/>
        <w:spacing w:after="0" w:line="241" w:lineRule="auto"/>
        <w:rPr>
          <w:sz w:val="20"/>
          <w:szCs w:val="20"/>
          <w:color w:val="auto"/>
        </w:rPr>
      </w:pPr>
      <w:r>
        <w:rPr>
          <w:rFonts w:ascii="Arial" w:cs="Arial" w:eastAsia="Arial" w:hAnsi="Arial"/>
          <w:sz w:val="15"/>
          <w:szCs w:val="15"/>
          <w:color w:val="auto"/>
        </w:rPr>
        <w:t>In June 2014, the FASB issued final guidance that a performance target in a share-based payment that affects vesting and that could be achieved after the requisite service period should be accounted for as a performance condition. The guidance was issued to resolve diversity in practice. The standard is effective for annual and interim reporting periods beginning after December 15, 2015. We adopted this standard in the first quarter of 2016, and its adoption did not have a material impact on our consolidated financial statements.</w:t>
      </w:r>
    </w:p>
    <w:p>
      <w:pPr>
        <w:spacing w:after="0" w:line="190" w:lineRule="exact"/>
        <w:rPr>
          <w:sz w:val="20"/>
          <w:szCs w:val="20"/>
          <w:color w:val="auto"/>
        </w:rPr>
      </w:pPr>
    </w:p>
    <w:p>
      <w:pPr>
        <w:jc w:val="both"/>
        <w:ind w:right="20" w:firstLine="454"/>
        <w:spacing w:after="0" w:line="239" w:lineRule="auto"/>
        <w:rPr>
          <w:sz w:val="20"/>
          <w:szCs w:val="20"/>
          <w:color w:val="auto"/>
        </w:rPr>
      </w:pPr>
      <w:r>
        <w:rPr>
          <w:rFonts w:ascii="Arial" w:cs="Arial" w:eastAsia="Arial" w:hAnsi="Arial"/>
          <w:sz w:val="15"/>
          <w:szCs w:val="15"/>
          <w:color w:val="auto"/>
        </w:rPr>
        <w:t>In May 2014, the FASB issued a comprehensive update to revenue recognition guidance that will replace current standards. Under the updated standard, revenue is recognized when a company transfers promised goods or services to customers in an amount that reflects the consideration that is expected to be received for those goods and services. The updated standard also requires additional disclosures on the nature, timing, and uncertainty of revenue and related cash flows. On July 9, 2015, the FASB approved to defer the effective date of the new standard which is now effective for annual and interim reporting periods beginning after December 15, 2017. Based on our initial assessment, we expect to adopt this new standard using the modified retrospective transition method that will result in a cumulative adjustment as of the date of the adoption. Upon initial evaluation, we believe the allocation of contract revenues between various products and solutions, and the timing of when those revenues are recognized will be impacted primarily due to accounting for variable consideration within the standard. Additionally, the requirement to defer incremental costs to obtain a contract, and recognize them over the contract period or expected customer life will result in the recognition of a deferred charge on our balance sheet and will impact our Airline Solutions and Hospitality Solutions business. We are continuing to evaluate all of the provisions of each of these standards, and their impacts to our current accounting policies, processes, controls and systems.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40"/>
          </w:cols>
          <w:pgMar w:left="240" w:top="835" w:right="21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128"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192"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Our accounting policies that include significant estimates and assumptions include: (i) estimation for revenue recognition and multiple-element arrangements, (ii) collectability of accounts receivable, (iii) amounts for future cancellations of bookings processed through our GDS, (iv) determination of the fair value of assets and liabilities acquired in a business combination, (v) the evaluation of the recoverability of the carrying value of long-lived assets and goodwill, (vi) assumptions utilized to test recoverability of capitalized implementation costs, (vii) amortization of deferred customer advances and discounts, and (vii) the evaluation of uncertainties surrounding the calculation of our tax assets and liabilities.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191" w:lineRule="exact"/>
        <w:rPr>
          <w:sz w:val="20"/>
          <w:szCs w:val="20"/>
          <w:color w:val="auto"/>
        </w:rPr>
      </w:pPr>
    </w:p>
    <w:p>
      <w:pPr>
        <w:jc w:val="both"/>
        <w:ind w:firstLine="454"/>
        <w:spacing w:after="0" w:line="262" w:lineRule="auto"/>
        <w:rPr>
          <w:sz w:val="20"/>
          <w:szCs w:val="20"/>
          <w:color w:val="auto"/>
        </w:rPr>
      </w:pPr>
      <w:r>
        <w:rPr>
          <w:rFonts w:ascii="Arial" w:cs="Arial" w:eastAsia="Arial" w:hAnsi="Arial"/>
          <w:sz w:val="14"/>
          <w:szCs w:val="14"/>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 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1, Summary of Business and Significant Accounting Policies, to our consolidated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Revenue Recognition and Multiple-Element Arrangements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Our agreements with customers of our Airline and Hospitality Solutions business may have multiple deliverables which generally include software solutions through SaaS and hosted delivery, professional service fees and implementation services. In addition, from time to time, we enter into agreements with customers to provide access to Travel Network’s GDS and, at or near the same time, enter into a separate agreement to provide software solutions through SaaS and hosted delivery. Due to these multiple-element arrangements, revenue recognition involves judgment, including estimates of the selling prices of goods and services, assessments of the likelihood of nonpayment and estimates of total costs and costs to complete a project.</w:t>
      </w:r>
    </w:p>
    <w:p>
      <w:pPr>
        <w:spacing w:after="0" w:line="192" w:lineRule="exact"/>
        <w:rPr>
          <w:sz w:val="20"/>
          <w:szCs w:val="20"/>
          <w:color w:val="auto"/>
        </w:rPr>
      </w:pPr>
    </w:p>
    <w:p>
      <w:pPr>
        <w:jc w:val="both"/>
        <w:ind w:firstLine="454"/>
        <w:spacing w:after="0" w:line="258" w:lineRule="auto"/>
        <w:rPr>
          <w:sz w:val="20"/>
          <w:szCs w:val="20"/>
          <w:color w:val="auto"/>
        </w:rPr>
      </w:pPr>
      <w:r>
        <w:rPr>
          <w:rFonts w:ascii="Arial" w:cs="Arial" w:eastAsia="Arial" w:hAnsi="Arial"/>
          <w:sz w:val="14"/>
          <w:szCs w:val="14"/>
          <w:color w:val="auto"/>
        </w:rPr>
        <w:t>The professional and implementation services are generally performed in the early stages of the agreements. Access to our GDS is provided over the full term of the contract. Software solutions through SaaS and hosted delivery are often not provided until implementation services are completed. We evaluate revenue recognition for agreements with customers which generally are represented by individual contracts but could include groups of contracts if the contracts are executed at or near the same time. Typically, access to our GDS and our professional service fees are separated from the implementation and software hosting services. We account for separable elements on an individual basis with value assigned to each element based on its relative selling price. A comprehensive market analysis is performed on a periodic basis to determine the range of selling prices for each product and service. In making these judgments we analyze various factors, including competitive landscapes, value differentiators, continuous monitoring of market prices, customer segmentation and overall market and economic conditions. Based on these results, estimated selling prices are set for each product and service delivered to customers. Changes in judgments related to these items, or deterioration in industry or general economic conditions, could materially impact the timing and amount of revenue and costs recognized. Revenue for professional service fees is generally recognized as the services are performed and revenue for implementation services, access to our GDS and SaaS and hosted services is generally recognized on a transaction basis over the term of the agreement.</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Accounts Receivable and Air Booking Cancellation Reserve</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net recorded receivable to the amount we reasonably believe will be collected. For all other customers, we record reserves for bad debts based on past write-off history (average percentage of receivables written off historically) and the length of time the receivables are past due.</w:t>
      </w:r>
    </w:p>
    <w:p>
      <w:pPr>
        <w:spacing w:after="0" w:line="190"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Transaction revenue for airline travel reservations is recognized by Travel Network at the time of the booking of the reservation, net of estimated future cancellations. Cancellations prior to the day of departure are estimated based on the historical level of cancellation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420"/>
          </w:cols>
          <w:pgMar w:left="240" w:top="847" w:right="239" w:bottom="1440" w:gutter="0" w:footer="0" w:header="0"/>
        </w:sectPr>
      </w:pPr>
    </w:p>
    <w:bookmarkStart w:id="55" w:name="page56"/>
    <w:bookmarkEnd w:id="55"/>
    <w:p>
      <w:pPr>
        <w:jc w:val="both"/>
        <w:ind w:right="20"/>
        <w:spacing w:after="0" w:line="245" w:lineRule="auto"/>
        <w:rPr>
          <w:sz w:val="20"/>
          <w:szCs w:val="20"/>
          <w:color w:val="auto"/>
        </w:rPr>
      </w:pPr>
      <w:r>
        <w:rPr>
          <w:rFonts w:ascii="Arial" w:cs="Arial" w:eastAsia="Arial" w:hAnsi="Arial"/>
          <w:sz w:val="15"/>
          <w:szCs w:val="15"/>
          <w:color w:val="auto"/>
        </w:rPr>
        <w:t>that could have a significant effect on our estimates include global security issues, epidemics or pandemics, natural disasters, general economic conditions, the financial condition of travel suppliers, and travel related accidents.</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15" w:lineRule="exact"/>
        <w:rPr>
          <w:sz w:val="20"/>
          <w:szCs w:val="20"/>
          <w:color w:val="auto"/>
        </w:rPr>
      </w:pPr>
    </w:p>
    <w:p>
      <w:pPr>
        <w:jc w:val="both"/>
        <w:ind w:right="20" w:firstLine="454"/>
        <w:spacing w:after="0" w:line="241" w:lineRule="auto"/>
        <w:rPr>
          <w:sz w:val="20"/>
          <w:szCs w:val="20"/>
          <w:color w:val="auto"/>
        </w:rPr>
      </w:pPr>
      <w:r>
        <w:rPr>
          <w:rFonts w:ascii="Arial" w:cs="Arial" w:eastAsia="Arial" w:hAnsi="Arial"/>
          <w:sz w:val="15"/>
          <w:szCs w:val="15"/>
          <w:color w:val="auto"/>
        </w:rPr>
        <w:t>Authoritative guidance for business combinations requires us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as a result, actual results may differ from estimates.</w:t>
      </w:r>
    </w:p>
    <w:p>
      <w:pPr>
        <w:spacing w:after="0" w:line="190" w:lineRule="exact"/>
        <w:rPr>
          <w:sz w:val="20"/>
          <w:szCs w:val="20"/>
          <w:color w:val="auto"/>
        </w:rPr>
      </w:pPr>
    </w:p>
    <w:p>
      <w:pPr>
        <w:jc w:val="both"/>
        <w:ind w:right="20" w:firstLine="454"/>
        <w:spacing w:after="0" w:line="241" w:lineRule="auto"/>
        <w:rPr>
          <w:sz w:val="20"/>
          <w:szCs w:val="20"/>
          <w:color w:val="auto"/>
        </w:rPr>
      </w:pPr>
      <w:r>
        <w:rPr>
          <w:rFonts w:ascii="Arial" w:cs="Arial" w:eastAsia="Arial" w:hAnsi="Arial"/>
          <w:sz w:val="15"/>
          <w:szCs w:val="15"/>
          <w:color w:val="auto"/>
        </w:rPr>
        <w:t>Accounting for business combinations requires our management to make significant estimates and assumptions, especially at the acquisition date including our estimates for intangible assets, contractual obligations assumed, pre-acquisition contingencies, contingent consideration, where applicable and previously-held investment interests. 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90"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Examples of critical estimates in valuing certain of the intangible assets we have acquired include, but are not limited to: future expected cash flows, support agreements, consulting contracts, other customer contracts, acquired developed technologies and patents; the acquired company’s brand and competitive position, as well as assumptions about the period of time the acquired brand will continue to be used in the combined company’s product portfolio; and discount rates. Unanticipated events and circumstances may occur that may affect the accuracy or validity of such assumptions, estimates or actual results.</w:t>
      </w:r>
    </w:p>
    <w:p>
      <w:pPr>
        <w:spacing w:after="0" w:line="190"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For a given acquisition, we may identify certain pre-acquisition contingencies as of the acquisition date and may extend our review and evaluation of these pre-acquisition contingencies throughout the measurement period in order to obtain sufficient information to assess whether we include these contingencies as a part of the fair value estimates of assets acquired and liabilities assumed and, if so, to determine their estimated amounts. If we cannot reasonably determine the fair value of a pre-acquisition contingency (non-income tax related) by the end of the measurement period, which is generally the case given the nature of such matters, we will recognize an asset or a liability for such pre-acquisition contingency if: (i) it is probable that an asset existed or a liability had been incurred at the acquisition date and (ii) the amount of the asset or liability can be reasonably estimated. Subsequent to the measurement period, changes in our estimates of such contingencies will affect earnings and could have a material effect on our results of operations and financial position.</w:t>
      </w:r>
    </w:p>
    <w:p>
      <w:pPr>
        <w:spacing w:after="0" w:line="191" w:lineRule="exact"/>
        <w:rPr>
          <w:sz w:val="20"/>
          <w:szCs w:val="20"/>
          <w:color w:val="auto"/>
        </w:rPr>
      </w:pPr>
    </w:p>
    <w:p>
      <w:pPr>
        <w:jc w:val="both"/>
        <w:ind w:right="20" w:firstLine="454"/>
        <w:spacing w:after="0" w:line="242" w:lineRule="auto"/>
        <w:rPr>
          <w:sz w:val="20"/>
          <w:szCs w:val="20"/>
          <w:color w:val="auto"/>
        </w:rPr>
      </w:pPr>
      <w:r>
        <w:rPr>
          <w:rFonts w:ascii="Arial" w:cs="Arial" w:eastAsia="Arial" w:hAnsi="Arial"/>
          <w:sz w:val="15"/>
          <w:szCs w:val="15"/>
          <w:color w:val="auto"/>
        </w:rPr>
        <w:t>Depending on the circumstances, the fair value of contingent consideration is determined based on management’s best estimate of fair value given the specific facts and circumstances of the contractual arrangement, considering the likelihood of payment, payment terms and management’s best estimates of future performance results on the acquisition date, if applicable.</w:t>
      </w:r>
    </w:p>
    <w:p>
      <w:pPr>
        <w:spacing w:after="0" w:line="190"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 of operations and could have a material impact on our results of operations and financial position.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Goodwill and Long-Lived Assets</w:t>
      </w:r>
    </w:p>
    <w:p>
      <w:pPr>
        <w:spacing w:after="0" w:line="115" w:lineRule="exact"/>
        <w:rPr>
          <w:sz w:val="20"/>
          <w:szCs w:val="20"/>
          <w:color w:val="auto"/>
        </w:rPr>
      </w:pPr>
    </w:p>
    <w:p>
      <w:pPr>
        <w:jc w:val="both"/>
        <w:ind w:right="20" w:firstLine="454"/>
        <w:spacing w:after="0" w:line="239" w:lineRule="auto"/>
        <w:rPr>
          <w:sz w:val="20"/>
          <w:szCs w:val="20"/>
          <w:color w:val="auto"/>
        </w:rPr>
      </w:pPr>
      <w:r>
        <w:rPr>
          <w:rFonts w:ascii="Arial" w:cs="Arial" w:eastAsia="Arial" w:hAnsi="Arial"/>
          <w:sz w:val="15"/>
          <w:szCs w:val="15"/>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Goodwill was assigned to each reporting unit based on that reporting unit’s percentage of enterprise value as of the date of the acquisition of Sabre Corporation by TPG and Silver Lake plus goodwill associated with acquisitions since that time. We have three reporting units associated with our continuing operations: Travel Network, Airline Solutions and Hospitality Solutions.</w:t>
      </w:r>
    </w:p>
    <w:p>
      <w:pPr>
        <w:spacing w:after="0" w:line="196" w:lineRule="exact"/>
        <w:rPr>
          <w:sz w:val="20"/>
          <w:szCs w:val="20"/>
          <w:color w:val="auto"/>
        </w:rPr>
      </w:pPr>
    </w:p>
    <w:p>
      <w:pPr>
        <w:jc w:val="both"/>
        <w:ind w:right="20" w:firstLine="454"/>
        <w:spacing w:after="0" w:line="268" w:lineRule="auto"/>
        <w:rPr>
          <w:sz w:val="20"/>
          <w:szCs w:val="20"/>
          <w:color w:val="auto"/>
        </w:rPr>
      </w:pPr>
      <w:r>
        <w:rPr>
          <w:rFonts w:ascii="Arial" w:cs="Arial" w:eastAsia="Arial" w:hAnsi="Arial"/>
          <w:sz w:val="14"/>
          <w:szCs w:val="14"/>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and rates of increase in operating expenses, cost of revenue and taxes.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40"/>
          </w:cols>
          <w:pgMar w:left="240" w:top="755" w:right="219" w:bottom="1440" w:gutter="0" w:footer="0" w:header="0"/>
        </w:sectPr>
      </w:pPr>
    </w:p>
    <w:bookmarkStart w:id="56" w:name="page57"/>
    <w:bookmarkEnd w:id="56"/>
    <w:p>
      <w:pPr>
        <w:jc w:val="both"/>
        <w:spacing w:after="0"/>
        <w:rPr>
          <w:sz w:val="20"/>
          <w:szCs w:val="20"/>
          <w:color w:val="auto"/>
        </w:rPr>
      </w:pPr>
      <w:r>
        <w:rPr>
          <w:rFonts w:ascii="Arial" w:cs="Arial" w:eastAsia="Arial" w:hAnsi="Arial"/>
          <w:sz w:val="15"/>
          <w:szCs w:val="15"/>
          <w:color w:val="auto"/>
        </w:rPr>
        <w:t>Additionally, in accordance with authoritative guidance on fair value measurements, we made a number of assumptions, including assumptions related to market participants, the principal markets and highest and best use of the reporting units. We did not record any goodwill impairment charges for the year ended December 31, 2016 and 2015. Goodwill related to our other reporting units totaled $2,548 million as of December 31, 2016. Changes in the assumptions used in our impairment testing may result in future impairment losses which could have a material impact on our results of operations. A change of 10% in the future cash flow projections, risk-adjusted discount rates, and rates of growth used in our fair value calculations would not result in impairment of the remaining goodwill for any of our reporting units.</w:t>
      </w:r>
    </w:p>
    <w:p>
      <w:pPr>
        <w:spacing w:after="0" w:line="192"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Definite-lived intangible assets are assigned depreciable lives of two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then measured at fair value and an impairment charge is recorded based on the excess of the carrying value of the assets over its fair value. We also evaluate the need for additional impairment disclosures based on our Level 3 inputs. For fair value measurements categorized within Level 3 of the fair value hierarchy, we disclose the valuation processes used by the reporting entity. We did not record material intangible asset impairment charges for the years ended December 31, 2016, 2015 and 2014.</w:t>
      </w:r>
    </w:p>
    <w:p>
      <w:pPr>
        <w:spacing w:after="0" w:line="196"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most significant assumptions used in the discounted cash flows calculation to determine the fair value of our reporting units in connection with impairment testing include: (i) the discount rate, (ii) the expected long-term growth rate and (iii) annual cash flow projections. See Note 9, Fair Value Measurements, to our consolidated financial statements.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Capitalized Implementation Costs</w:t>
      </w:r>
    </w:p>
    <w:p>
      <w:pPr>
        <w:spacing w:after="0" w:line="66"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Capitalized implementation costs represents upfront costs to implement new customer contracts under our SaaS and hosted revenue model.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We record an impairment charge for the portion of the asset considered unrecoverable in the period identified, while considering the uncertainties associated with these types of contracts and judgments made in estimating revenue and direct costs.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Deferred Advances to Customers and Customer Discounts</w:t>
      </w:r>
    </w:p>
    <w:p>
      <w:pPr>
        <w:spacing w:after="0" w:line="11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Deferred advances to customers and customer discounts are amortized in future periods as the related revenue is earned. The assets are reviewed for recoverability based on future contracted revenues and estimated direct costs of the contract when a significant event occurs that could impact the recoverability of the assets, such as a significant contract modification or early renewal of contract terms. Contracts are priced to generate total revenues over the life of the contract that exceed any discounts or advances provided and any upfront costs incurred to implement the customer contract.</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Income and Non-Income Taxes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At year end, we had a valuation allowance on certain loss carryforwards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191"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believe that it is more likely than not that the benefit from certain non-U.S. deferred tax assets will not be realized. As a result, we established and maintain a valuation allowance on the non-U.S. deferred tax assets of our lastminute.com and other non-US subsidiaries of $72 million and $81 million as of December 31, 2016 and 2015, respectively. We reassess these assumptions regularly, which could cause an increase or decrease to the valuation allowance resulting in an increase or decrease in the effective tax rate, and could materially impact our results of operations.</w:t>
      </w:r>
    </w:p>
    <w:p>
      <w:pPr>
        <w:spacing w:after="0" w:line="190"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As of December 31, 2016, we had approximately $721 million of NOLs for U.S. federal income tax purposes. As a result of an ownership change during 2007 and 2015 (as defined in Section 382 of the Code which imposes an annual limit on the ability of a corporation to use certain tax attributes), all of the U.S. tax NOLs and credit carryforwards are subject to an annual limitation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20"/>
          </w:cols>
          <w:pgMar w:left="240" w:top="755" w:right="239" w:bottom="1440" w:gutter="0" w:footer="0" w:header="0"/>
        </w:sectPr>
      </w:pPr>
    </w:p>
    <w:bookmarkStart w:id="57" w:name="page58"/>
    <w:bookmarkEnd w:id="57"/>
    <w:p>
      <w:pPr>
        <w:jc w:val="both"/>
        <w:spacing w:after="0" w:line="242" w:lineRule="auto"/>
        <w:rPr>
          <w:sz w:val="20"/>
          <w:szCs w:val="20"/>
          <w:color w:val="auto"/>
        </w:rPr>
      </w:pPr>
      <w:r>
        <w:rPr>
          <w:rFonts w:ascii="Arial" w:cs="Arial" w:eastAsia="Arial" w:hAnsi="Arial"/>
          <w:sz w:val="15"/>
          <w:szCs w:val="15"/>
          <w:color w:val="auto"/>
        </w:rPr>
        <w:t>their ability to be utilized. However, we expect that Section 382 will not limit our ability to fully realize the tax benefits. Approximately $664 million of these NOLs are tax benefits subject to the TRA, which provides for the payment by us of 85% of the amount of cash savings, if any, in U.S. federal income tax that we and our subsidiaries are deemed to realize as a result of the utilization of tax benefits.</w:t>
      </w:r>
    </w:p>
    <w:p>
      <w:pPr>
        <w:spacing w:after="0" w:line="202" w:lineRule="exact"/>
        <w:rPr>
          <w:sz w:val="20"/>
          <w:szCs w:val="20"/>
          <w:color w:val="auto"/>
        </w:rPr>
      </w:pPr>
    </w:p>
    <w:p>
      <w:pPr>
        <w:jc w:val="both"/>
        <w:ind w:firstLine="454"/>
        <w:spacing w:after="0" w:line="274" w:lineRule="auto"/>
        <w:rPr>
          <w:sz w:val="20"/>
          <w:szCs w:val="20"/>
          <w:color w:val="auto"/>
        </w:rPr>
      </w:pPr>
      <w:r>
        <w:rPr>
          <w:rFonts w:ascii="Arial" w:cs="Arial" w:eastAsia="Arial" w:hAnsi="Arial"/>
          <w:sz w:val="15"/>
          <w:szCs w:val="15"/>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2016 and 2015, we had a liability, including interest and penalty, of $71 million and $86 million, respectively, for unrecognized tax benefits, which would affect our effective tax rate if recognized. Such a change in recognition or measurement would result in the recognition of a tax benefit or an additional charge to the tax provision.</w:t>
      </w:r>
    </w:p>
    <w:p>
      <w:pPr>
        <w:spacing w:after="0" w:line="260"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Market Risk Management</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Market risk is the potential loss from adverse changes in: (i) prevailing interest rates, (ii) foreign exchange rates, (iii) credit risk and (iv) inflation. Our exposure to market risk relates to interest payments due on our long-term debt, Revolver, derivative instruments, income on cash and cash equivalents, accounts receivable and payable and travel supplier liabilities and related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As of December 31, 2016, our exposure to interest rates relates primarily to our interest rate swaps, our senior secured debt and our borrowings on our Revolver. Offsetting some of this exposure is interest income received from our money market funds. The objectives of our investment in money market funds are (i) preservation of principal, (ii) liquidity and (iii) yield. If future short-term interest rates averaged 10% lower than they were during the year ended December 31, 2016, the impact to our interest income from money market funds would not be material. This amount was determined by applying the hypothetical interest rate change to our average money market funds invested.</w:t>
      </w:r>
    </w:p>
    <w:p>
      <w:pPr>
        <w:spacing w:after="0" w:line="19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In the fourth quarter of 2014, we entered into interest rate swaps that effectively convert $750 million of floating interest rate senior secured debt into a fixed rate obligation. The terms of the outstanding and matured interest rate swaps relevant to the years ended December 31, 2016, 2015, and 2014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Interest Rate</w:t>
            </w: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Pr>
          <w:p>
            <w:pPr>
              <w:spacing w:after="0"/>
              <w:rPr>
                <w:sz w:val="10"/>
                <w:szCs w:val="10"/>
                <w:color w:val="auto"/>
              </w:rPr>
            </w:pPr>
          </w:p>
        </w:tc>
      </w:tr>
      <w:tr>
        <w:trPr>
          <w:trHeight w:val="159"/>
        </w:trPr>
        <w:tc>
          <w:tcPr>
            <w:tcW w:w="13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Notional Amount</w:t>
            </w:r>
          </w:p>
        </w:tc>
        <w:tc>
          <w:tcPr>
            <w:tcW w:w="12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Received</w:t>
            </w:r>
          </w:p>
        </w:tc>
        <w:tc>
          <w:tcPr>
            <w:tcW w:w="12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 Rate Paid</w:t>
            </w:r>
          </w:p>
        </w:tc>
        <w:tc>
          <w:tcPr>
            <w:tcW w:w="120" w:type="dxa"/>
            <w:vAlign w:val="bottom"/>
            <w:tcBorders>
              <w:bottom w:val="single" w:sz="8" w:color="CCEEFF"/>
            </w:tcBorders>
          </w:tcPr>
          <w:p>
            <w:pPr>
              <w:spacing w:after="0"/>
              <w:rPr>
                <w:sz w:val="13"/>
                <w:szCs w:val="13"/>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Effective Date</w:t>
            </w:r>
          </w:p>
        </w:tc>
        <w:tc>
          <w:tcPr>
            <w:tcW w:w="12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Maturity Date</w:t>
            </w:r>
          </w:p>
        </w:tc>
      </w:tr>
      <w:tr>
        <w:trPr>
          <w:trHeight w:val="213"/>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7"/>
              </w:rPr>
              <w:t>$750 million</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6"/>
              </w:rPr>
              <w:t>1 month LIBOR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8"/>
              </w:rPr>
              <w:t>2.19%</w:t>
            </w:r>
          </w:p>
        </w:tc>
        <w:tc>
          <w:tcPr>
            <w:tcW w:w="1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8"/>
              </w:rPr>
              <w:t>December 30, 2016</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8"/>
              </w:rPr>
              <w:t>December 29, 2017</w:t>
            </w:r>
          </w:p>
        </w:tc>
      </w:tr>
      <w:tr>
        <w:trPr>
          <w:trHeight w:val="203"/>
        </w:trPr>
        <w:tc>
          <w:tcPr>
            <w:tcW w:w="138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$750 million</w:t>
            </w:r>
          </w:p>
        </w:tc>
        <w:tc>
          <w:tcPr>
            <w:tcW w:w="1840" w:type="dxa"/>
            <w:vAlign w:val="bottom"/>
            <w:gridSpan w:val="2"/>
          </w:tcPr>
          <w:p>
            <w:pPr>
              <w:jc w:val="center"/>
              <w:ind w:right="120"/>
              <w:spacing w:after="0"/>
              <w:rPr>
                <w:sz w:val="20"/>
                <w:szCs w:val="20"/>
                <w:color w:val="auto"/>
              </w:rPr>
            </w:pPr>
            <w:r>
              <w:rPr>
                <w:rFonts w:ascii="Arial" w:cs="Arial" w:eastAsia="Arial" w:hAnsi="Arial"/>
                <w:sz w:val="15"/>
                <w:szCs w:val="15"/>
                <w:color w:val="auto"/>
                <w:w w:val="96"/>
              </w:rPr>
              <w:t>1 month LIBOR</w:t>
            </w:r>
          </w:p>
        </w:tc>
        <w:tc>
          <w:tcPr>
            <w:tcW w:w="1580" w:type="dxa"/>
            <w:vAlign w:val="bottom"/>
          </w:tcPr>
          <w:p>
            <w:pPr>
              <w:jc w:val="center"/>
              <w:spacing w:after="0"/>
              <w:rPr>
                <w:sz w:val="20"/>
                <w:szCs w:val="20"/>
                <w:color w:val="auto"/>
              </w:rPr>
            </w:pPr>
            <w:r>
              <w:rPr>
                <w:rFonts w:ascii="Arial" w:cs="Arial" w:eastAsia="Arial" w:hAnsi="Arial"/>
                <w:sz w:val="15"/>
                <w:szCs w:val="15"/>
                <w:color w:val="auto"/>
                <w:w w:val="98"/>
              </w:rPr>
              <w:t>2.61%</w:t>
            </w:r>
          </w:p>
        </w:tc>
        <w:tc>
          <w:tcPr>
            <w:tcW w:w="12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December 29, 2017</w:t>
            </w:r>
          </w:p>
        </w:tc>
        <w:tc>
          <w:tcPr>
            <w:tcW w:w="2160" w:type="dxa"/>
            <w:vAlign w:val="bottom"/>
          </w:tcPr>
          <w:p>
            <w:pPr>
              <w:jc w:val="center"/>
              <w:spacing w:after="0"/>
              <w:rPr>
                <w:sz w:val="20"/>
                <w:szCs w:val="20"/>
                <w:color w:val="auto"/>
              </w:rPr>
            </w:pPr>
            <w:r>
              <w:rPr>
                <w:rFonts w:ascii="Arial" w:cs="Arial" w:eastAsia="Arial" w:hAnsi="Arial"/>
                <w:sz w:val="15"/>
                <w:szCs w:val="15"/>
                <w:color w:val="auto"/>
                <w:w w:val="98"/>
              </w:rPr>
              <w:t>December 31, 2018</w:t>
            </w:r>
          </w:p>
        </w:tc>
      </w:tr>
      <w:tr>
        <w:trPr>
          <w:trHeight w:val="42"/>
        </w:trPr>
        <w:tc>
          <w:tcPr>
            <w:tcW w:w="13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25"/>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Matured:</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7"/>
              </w:rPr>
              <w:t>$400 million</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6"/>
              </w:rPr>
              <w:t>1 month LIBOR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8"/>
              </w:rPr>
              <w:t>2.03%</w:t>
            </w:r>
          </w:p>
        </w:tc>
        <w:tc>
          <w:tcPr>
            <w:tcW w:w="1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8"/>
              </w:rPr>
              <w:t>July 29, 2011</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8"/>
              </w:rPr>
              <w:t>September 30, 2014</w:t>
            </w:r>
          </w:p>
        </w:tc>
      </w:tr>
      <w:tr>
        <w:trPr>
          <w:trHeight w:val="203"/>
        </w:trPr>
        <w:tc>
          <w:tcPr>
            <w:tcW w:w="138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$350 million</w:t>
            </w:r>
          </w:p>
        </w:tc>
        <w:tc>
          <w:tcPr>
            <w:tcW w:w="1840" w:type="dxa"/>
            <w:vAlign w:val="bottom"/>
            <w:gridSpan w:val="2"/>
          </w:tcPr>
          <w:p>
            <w:pPr>
              <w:jc w:val="center"/>
              <w:ind w:right="120"/>
              <w:spacing w:after="0"/>
              <w:rPr>
                <w:sz w:val="20"/>
                <w:szCs w:val="20"/>
                <w:color w:val="auto"/>
              </w:rPr>
            </w:pPr>
            <w:r>
              <w:rPr>
                <w:rFonts w:ascii="Arial" w:cs="Arial" w:eastAsia="Arial" w:hAnsi="Arial"/>
                <w:sz w:val="15"/>
                <w:szCs w:val="15"/>
                <w:color w:val="auto"/>
                <w:w w:val="96"/>
              </w:rPr>
              <w:t>1 month LIBOR</w:t>
            </w:r>
          </w:p>
        </w:tc>
        <w:tc>
          <w:tcPr>
            <w:tcW w:w="1580" w:type="dxa"/>
            <w:vAlign w:val="bottom"/>
          </w:tcPr>
          <w:p>
            <w:pPr>
              <w:jc w:val="center"/>
              <w:spacing w:after="0"/>
              <w:rPr>
                <w:sz w:val="20"/>
                <w:szCs w:val="20"/>
                <w:color w:val="auto"/>
              </w:rPr>
            </w:pPr>
            <w:r>
              <w:rPr>
                <w:rFonts w:ascii="Arial" w:cs="Arial" w:eastAsia="Arial" w:hAnsi="Arial"/>
                <w:sz w:val="15"/>
                <w:szCs w:val="15"/>
                <w:color w:val="auto"/>
                <w:w w:val="98"/>
              </w:rPr>
              <w:t>2.51%</w:t>
            </w:r>
          </w:p>
        </w:tc>
        <w:tc>
          <w:tcPr>
            <w:tcW w:w="12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April 30, 2012</w:t>
            </w:r>
          </w:p>
        </w:tc>
        <w:tc>
          <w:tcPr>
            <w:tcW w:w="2160" w:type="dxa"/>
            <w:vAlign w:val="bottom"/>
          </w:tcPr>
          <w:p>
            <w:pPr>
              <w:jc w:val="center"/>
              <w:spacing w:after="0"/>
              <w:rPr>
                <w:sz w:val="20"/>
                <w:szCs w:val="20"/>
                <w:color w:val="auto"/>
              </w:rPr>
            </w:pPr>
            <w:r>
              <w:rPr>
                <w:rFonts w:ascii="Arial" w:cs="Arial" w:eastAsia="Arial" w:hAnsi="Arial"/>
                <w:sz w:val="15"/>
                <w:szCs w:val="15"/>
                <w:color w:val="auto"/>
                <w:w w:val="98"/>
              </w:rPr>
              <w:t>September 30, 2014</w:t>
            </w:r>
          </w:p>
        </w:tc>
      </w:tr>
      <w:tr>
        <w:trPr>
          <w:trHeight w:val="42"/>
        </w:trPr>
        <w:tc>
          <w:tcPr>
            <w:tcW w:w="13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203"/>
        </w:trPr>
        <w:tc>
          <w:tcPr>
            <w:tcW w:w="13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7"/>
              </w:rPr>
              <w:t>$750 million</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6"/>
              </w:rPr>
              <w:t>1 month LIBOR</w:t>
            </w:r>
          </w:p>
        </w:tc>
        <w:tc>
          <w:tcPr>
            <w:tcW w:w="1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1.48%</w:t>
            </w:r>
          </w:p>
        </w:tc>
        <w:tc>
          <w:tcPr>
            <w:tcW w:w="1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8"/>
              </w:rPr>
              <w:t>December 31, 2015</w:t>
            </w: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December 30, 2016</w:t>
            </w:r>
          </w:p>
        </w:tc>
      </w:tr>
      <w:tr>
        <w:trPr>
          <w:trHeight w:val="42"/>
        </w:trPr>
        <w:tc>
          <w:tcPr>
            <w:tcW w:w="138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Since outstanding balances under our senior secured credit facilities incur interest at rates based on LIBOR, subject to a 1.00% floor, increases in short-term interest rates would not impact our interest expense until LIBOR exceeded 1.00%. If our mix of interest rate-sensitive assets and liabilities changes significantly, we may enter into additional derivative transactions to manage our net interest rate exposure. The fair value of these interest rate swaps was a liability of $16 million and $14 million at December 31, 2016 and 2015, respectively.</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Foreign Currency Risk</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conduct various operations outside the United States, primarily in Asia Pacific, Europe and Latin America. Our foreign currency risk is primarily associated with operating expenses. During the year ended December 31, 2016, foreign currency operations included $211 million of revenue and $666 million of operating expenses, representing approximately 6% and 23% of our total revenue and operating expenses, respectively, including the impact of our Abacus acquisition on July 1, 2015. During the year ended December 31, 2015, foreign currency operations included $178 million of revenue and $481 million of operating expenses, representing approximately 6% and 19% of our total revenue and operating expenses,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20"/>
          </w:cols>
          <w:pgMar w:left="240" w:top="754" w:right="239" w:bottom="1440" w:gutter="0" w:footer="0" w:header="0"/>
        </w:sectPr>
      </w:pPr>
    </w:p>
    <w:bookmarkStart w:id="58" w:name="page59"/>
    <w:bookmarkEnd w:id="58"/>
    <w:p>
      <w:pPr>
        <w:jc w:val="both"/>
        <w:ind w:firstLine="454"/>
        <w:spacing w:after="0" w:line="239" w:lineRule="auto"/>
        <w:rPr>
          <w:sz w:val="20"/>
          <w:szCs w:val="20"/>
          <w:color w:val="auto"/>
        </w:rPr>
      </w:pPr>
      <w:r>
        <w:rPr>
          <w:rFonts w:ascii="Arial" w:cs="Arial" w:eastAsia="Arial" w:hAnsi="Arial"/>
          <w:sz w:val="15"/>
          <w:szCs w:val="15"/>
          <w:color w:val="auto"/>
        </w:rPr>
        <w:t>The principal foreign currencies involved include the Euro, the Singapore Dollar, the British Pound Sterling, the Polish Zloty, the Indian Rupee and the Australian Dollar. Our most significant foreign currency denominated operating expenses is in the Euro, which comprised approximately 7% and 6% of our operating expenses for each of the years ended December 31, 2016 and 2015, respectively. In recent years, exchange rates between these currencies and the U.S. dollar have fluctuated significantly and may continue to do so in the future. During times of volatile currency movements, this risk can impact our earnings. To reduce the impact of this earnings volatility, we hedge our foreign currency exposure in our operating expenses by entering into foreign currency forward contracts on several of our largest exposures, including the Euro, the British Pound Sterling, the Polish Zloty, the Indian Rupee and the Australian Dollar. In 2016, we hedged approximately 24% of our exposure in foreign currency operating expenses. In addition, approximately 32% of our exposure in foreign currency operating expenses is naturally hedged by foreign currency cash receipts associated with foreign currency revenue. In 2016, we began hedging of our foreign currency exposure in operating expenses denominated in Singapore Dollars by entering into foreign currency forward contracts.</w:t>
      </w:r>
    </w:p>
    <w:p>
      <w:pPr>
        <w:spacing w:after="0" w:line="196"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notional amounts of our forward contracts totaled $154 million at December 31, 2016. The forward contracts represent obligations to purchase foreign currencies at a predetermined exchange rate to fund a portion of our expenses that are denominated in foreign currencies. The fair value of these forward contracts recognized in our consolidated balance sheets was a $7 million and an $2 million liability as of December 31, 2016 and December 31, 2015, respectively.</w:t>
      </w:r>
    </w:p>
    <w:p>
      <w:pPr>
        <w:spacing w:after="0" w:line="190"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are also exposed to foreign currency fluctuations through the translation of the financial condition and results of operations of our foreign operations into U.S. dollars in consolidation. These gains and losses are recognized as a component of accumulated other comprehensive income (loss) and is included in stockholders’ equity. Translation (losses) gains recognized as other comprehensive (loss) income were $(1) million, $(4) million and $8 million for the years ended December 31, 2016, 2015 and 2014, respectively.</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Credit Risk</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customers are primarily located in the United States, Canada, Europe, Latin America and Asia, and are concentrated in the travel industry.</w:t>
      </w:r>
    </w:p>
    <w:p>
      <w:pPr>
        <w:spacing w:after="0" w:line="19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generate a significant portion of our revenues and corresponding accounts receivable from services provided to the commercial air travel industry. As of December 31, 2016 and 2015, approximately $274 million or 74% and $252 million or 72%, respectively, of our trade accounts receivable were attributable to these customers, in each case excluding balances associated with our discontinued Travelocity segment. Our other accounts receivable are generally due from other participants in the travel and transportation industry. Substantially all of our accounts receivable represents trade balances. We generally do not require security or collateral from our customers as a condition of sale. See “Risk Factors—Our travel supplier customers may experience financial instability or consolidation, pursue cost reductions, change their distribution model or undergo other changes.”</w:t>
      </w:r>
    </w:p>
    <w:p>
      <w:pPr>
        <w:spacing w:after="0" w:line="19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the Airline Clearing House (“ACH”) and other similar clearing houses.</w:t>
      </w:r>
    </w:p>
    <w:p>
      <w:pPr>
        <w:spacing w:after="0" w:line="188"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As of December 31, 2016, 2015 and 2014, approximately 69%, 57%, and 58%, respectively, of our air customers make payments through the ACH which accounts for approximately 95%, 89% and 95%, respectively, of our air billings. ACH requires participants to deposit certain balances into their demand deposit accounts by certain deadlines, which facilitates a timely settlement process.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Inflation</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Competitive market conditions and the general economic environment have minimized inflation’s impact on our results of operations in recent periods. There can be no assurance, however, that our operating results will not be affected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20"/>
          </w:cols>
          <w:pgMar w:left="240" w:top="75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800" w:type="dxa"/>
            <w:vAlign w:val="bottom"/>
            <w:gridSpan w:val="3"/>
          </w:tcPr>
          <w:p>
            <w:pPr>
              <w:spacing w:after="0"/>
              <w:rPr>
                <w:sz w:val="20"/>
                <w:szCs w:val="20"/>
                <w:color w:val="auto"/>
              </w:rPr>
            </w:pPr>
            <w:r>
              <w:rPr>
                <w:rFonts w:ascii="Arial" w:cs="Arial" w:eastAsia="Arial" w:hAnsi="Arial"/>
                <w:sz w:val="15"/>
                <w:szCs w:val="15"/>
                <w:b w:val="1"/>
                <w:bCs w:val="1"/>
                <w:color w:val="auto"/>
              </w:rPr>
              <w:t>ITEM 8.</w:t>
            </w:r>
          </w:p>
        </w:tc>
        <w:tc>
          <w:tcPr>
            <w:tcW w:w="7540" w:type="dxa"/>
            <w:vAlign w:val="bottom"/>
            <w:gridSpan w:val="8"/>
          </w:tcPr>
          <w:p>
            <w:pPr>
              <w:ind w:left="300"/>
              <w:spacing w:after="0"/>
              <w:rPr>
                <w:sz w:val="20"/>
                <w:szCs w:val="20"/>
                <w:color w:val="auto"/>
              </w:rPr>
            </w:pPr>
            <w:r>
              <w:rPr>
                <w:rFonts w:ascii="Arial" w:cs="Arial" w:eastAsia="Arial" w:hAnsi="Arial"/>
                <w:sz w:val="15"/>
                <w:szCs w:val="15"/>
                <w:b w:val="1"/>
                <w:bCs w:val="1"/>
                <w:color w:val="auto"/>
              </w:rPr>
              <w:t>FINANCIAL STATEMENTS AND SUPPLEMENTARY DATA</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8"/>
        </w:trPr>
        <w:tc>
          <w:tcPr>
            <w:tcW w:w="8340" w:type="dxa"/>
            <w:vAlign w:val="bottom"/>
            <w:gridSpan w:val="11"/>
          </w:tcPr>
          <w:p>
            <w:pPr>
              <w:spacing w:after="0"/>
              <w:rPr>
                <w:sz w:val="20"/>
                <w:szCs w:val="20"/>
                <w:color w:val="auto"/>
              </w:rPr>
            </w:pPr>
            <w:r>
              <w:rPr>
                <w:rFonts w:ascii="Arial" w:cs="Arial" w:eastAsia="Arial" w:hAnsi="Arial"/>
                <w:sz w:val="15"/>
                <w:szCs w:val="15"/>
                <w:b w:val="1"/>
                <w:bCs w:val="1"/>
                <w:color w:val="auto"/>
              </w:rPr>
              <w:t>Index to Financial Statements and Supplementary Data</w:t>
            </w: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8340" w:type="dxa"/>
            <w:vAlign w:val="bottom"/>
            <w:gridSpan w:val="11"/>
          </w:tcPr>
          <w:p>
            <w:pPr>
              <w:ind w:left="20"/>
              <w:spacing w:after="0"/>
              <w:rPr>
                <w:sz w:val="20"/>
                <w:szCs w:val="20"/>
                <w:color w:val="auto"/>
              </w:rPr>
            </w:pPr>
            <w:r>
              <w:rPr>
                <w:rFonts w:ascii="Arial" w:cs="Arial" w:eastAsia="Arial" w:hAnsi="Arial"/>
                <w:sz w:val="15"/>
                <w:szCs w:val="15"/>
                <w:color w:val="auto"/>
              </w:rPr>
              <w:t>Consolidated Financial Statements:</w:t>
            </w: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9"/>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tcBorders>
              <w:bottom w:val="single" w:sz="8" w:color="0000EE"/>
            </w:tcBorders>
            <w:gridSpan w:val="3"/>
          </w:tcPr>
          <w:p>
            <w:pPr>
              <w:spacing w:after="0"/>
              <w:rPr>
                <w:rFonts w:ascii="Arial" w:cs="Arial" w:eastAsia="Arial" w:hAnsi="Arial"/>
                <w:sz w:val="15"/>
                <w:szCs w:val="15"/>
                <w:color w:val="0000EE"/>
                <w:w w:val="97"/>
              </w:rPr>
            </w:pPr>
            <w:hyperlink w:anchor="page61">
              <w:r>
                <w:rPr>
                  <w:rFonts w:ascii="Arial" w:cs="Arial" w:eastAsia="Arial" w:hAnsi="Arial"/>
                  <w:sz w:val="15"/>
                  <w:szCs w:val="15"/>
                  <w:color w:val="0000EE"/>
                  <w:w w:val="97"/>
                </w:rPr>
                <w:t>Reports of Independent Registered Public Accounting Firm</w:t>
              </w:r>
            </w:hyperlink>
          </w:p>
        </w:tc>
        <w:tc>
          <w:tcPr>
            <w:tcW w:w="4160" w:type="dxa"/>
            <w:vAlign w:val="bottom"/>
            <w:gridSpan w:val="6"/>
          </w:tcPr>
          <w:p>
            <w:pPr>
              <w:spacing w:after="0"/>
              <w:rPr>
                <w:sz w:val="16"/>
                <w:szCs w:val="16"/>
                <w:color w:val="auto"/>
              </w:rPr>
            </w:pPr>
          </w:p>
        </w:tc>
        <w:tc>
          <w:tcPr>
            <w:tcW w:w="2900" w:type="dxa"/>
            <w:vAlign w:val="bottom"/>
            <w:gridSpan w:val="2"/>
          </w:tcPr>
          <w:p>
            <w:pPr>
              <w:spacing w:after="0"/>
              <w:rPr>
                <w:sz w:val="16"/>
                <w:szCs w:val="16"/>
                <w:color w:val="auto"/>
              </w:rPr>
            </w:pP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61">
              <w:r>
                <w:rPr>
                  <w:rFonts w:ascii="Arial" w:cs="Arial" w:eastAsia="Arial" w:hAnsi="Arial"/>
                  <w:sz w:val="15"/>
                  <w:szCs w:val="15"/>
                  <w:color w:val="0000EE"/>
                  <w:w w:val="83"/>
                </w:rPr>
                <w:t>59</w:t>
              </w:r>
            </w:hyperlink>
          </w:p>
        </w:tc>
      </w:tr>
      <w:tr>
        <w:trPr>
          <w:trHeight w:val="201"/>
        </w:trPr>
        <w:tc>
          <w:tcPr>
            <w:tcW w:w="320" w:type="dxa"/>
            <w:vAlign w:val="bottom"/>
          </w:tcPr>
          <w:p>
            <w:pPr>
              <w:spacing w:after="0"/>
              <w:rPr>
                <w:sz w:val="17"/>
                <w:szCs w:val="17"/>
                <w:color w:val="auto"/>
              </w:rPr>
            </w:pPr>
          </w:p>
        </w:tc>
        <w:tc>
          <w:tcPr>
            <w:tcW w:w="6300" w:type="dxa"/>
            <w:vAlign w:val="bottom"/>
            <w:tcBorders>
              <w:bottom w:val="single" w:sz="8" w:color="0000EE"/>
            </w:tcBorders>
            <w:gridSpan w:val="7"/>
          </w:tcPr>
          <w:p>
            <w:pPr>
              <w:spacing w:after="0"/>
              <w:rPr>
                <w:rFonts w:ascii="Arial" w:cs="Arial" w:eastAsia="Arial" w:hAnsi="Arial"/>
                <w:sz w:val="15"/>
                <w:szCs w:val="15"/>
                <w:color w:val="0000EE"/>
                <w:w w:val="97"/>
              </w:rPr>
            </w:pPr>
            <w:hyperlink w:anchor="page63">
              <w:r>
                <w:rPr>
                  <w:rFonts w:ascii="Arial" w:cs="Arial" w:eastAsia="Arial" w:hAnsi="Arial"/>
                  <w:sz w:val="15"/>
                  <w:szCs w:val="15"/>
                  <w:color w:val="0000EE"/>
                  <w:w w:val="97"/>
                </w:rPr>
                <w:t>Consolidated Statements of Operations for the Years Ended December 31, 2016, 2015 and 2014</w:t>
              </w:r>
            </w:hyperlink>
          </w:p>
        </w:tc>
        <w:tc>
          <w:tcPr>
            <w:tcW w:w="1720" w:type="dxa"/>
            <w:vAlign w:val="bottom"/>
            <w:gridSpan w:val="3"/>
          </w:tcPr>
          <w:p>
            <w:pPr>
              <w:spacing w:after="0"/>
              <w:rPr>
                <w:sz w:val="17"/>
                <w:szCs w:val="17"/>
                <w:color w:val="auto"/>
              </w:rPr>
            </w:pPr>
          </w:p>
        </w:tc>
        <w:tc>
          <w:tcPr>
            <w:tcW w:w="2900" w:type="dxa"/>
            <w:vAlign w:val="bottom"/>
            <w:gridSpan w:val="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63">
              <w:r>
                <w:rPr>
                  <w:rFonts w:ascii="Arial" w:cs="Arial" w:eastAsia="Arial" w:hAnsi="Arial"/>
                  <w:sz w:val="15"/>
                  <w:szCs w:val="15"/>
                  <w:color w:val="0000EE"/>
                  <w:w w:val="83"/>
                </w:rPr>
                <w:t>61</w:t>
              </w:r>
            </w:hyperlink>
          </w:p>
        </w:tc>
      </w:tr>
      <w:tr>
        <w:trPr>
          <w:trHeight w:val="201"/>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tcBorders>
              <w:bottom w:val="single" w:sz="8" w:color="0000EE"/>
            </w:tcBorders>
            <w:gridSpan w:val="9"/>
          </w:tcPr>
          <w:p>
            <w:pPr>
              <w:spacing w:after="0"/>
              <w:rPr>
                <w:rFonts w:ascii="Arial" w:cs="Arial" w:eastAsia="Arial" w:hAnsi="Arial"/>
                <w:sz w:val="15"/>
                <w:szCs w:val="15"/>
                <w:color w:val="0000EE"/>
                <w:w w:val="97"/>
              </w:rPr>
            </w:pPr>
            <w:hyperlink w:anchor="page64">
              <w:r>
                <w:rPr>
                  <w:rFonts w:ascii="Arial" w:cs="Arial" w:eastAsia="Arial" w:hAnsi="Arial"/>
                  <w:sz w:val="15"/>
                  <w:szCs w:val="15"/>
                  <w:color w:val="0000EE"/>
                  <w:w w:val="97"/>
                </w:rPr>
                <w:t>Consolidated Statements of Other Comprehensive Income (Loss) for the Years Ended December 31, 2016, 2015 and 2014</w:t>
              </w:r>
            </w:hyperlink>
          </w:p>
        </w:tc>
        <w:tc>
          <w:tcPr>
            <w:tcW w:w="2900" w:type="dxa"/>
            <w:vAlign w:val="bottom"/>
            <w:gridSpan w:val="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64">
              <w:r>
                <w:rPr>
                  <w:rFonts w:ascii="Arial" w:cs="Arial" w:eastAsia="Arial" w:hAnsi="Arial"/>
                  <w:sz w:val="15"/>
                  <w:szCs w:val="15"/>
                  <w:color w:val="0000EE"/>
                  <w:w w:val="83"/>
                </w:rPr>
                <w:t>62</w:t>
              </w:r>
            </w:hyperlink>
          </w:p>
        </w:tc>
      </w:tr>
      <w:tr>
        <w:trPr>
          <w:trHeight w:val="201"/>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gridSpan w:val="9"/>
          </w:tcPr>
          <w:p>
            <w:pPr>
              <w:spacing w:after="0"/>
              <w:rPr>
                <w:rFonts w:ascii="Arial" w:cs="Arial" w:eastAsia="Arial" w:hAnsi="Arial"/>
                <w:sz w:val="15"/>
                <w:szCs w:val="15"/>
                <w:color w:val="0000EE"/>
              </w:rPr>
            </w:pPr>
            <w:hyperlink w:anchor="page65">
              <w:r>
                <w:rPr>
                  <w:rFonts w:ascii="Arial" w:cs="Arial" w:eastAsia="Arial" w:hAnsi="Arial"/>
                  <w:sz w:val="15"/>
                  <w:szCs w:val="15"/>
                  <w:color w:val="0000EE"/>
                </w:rPr>
                <w:t>Consolidated Balance Sheets as of December 31, 2016 and 2015</w:t>
              </w:r>
            </w:hyperlink>
          </w:p>
        </w:tc>
        <w:tc>
          <w:tcPr>
            <w:tcW w:w="3060" w:type="dxa"/>
            <w:vAlign w:val="bottom"/>
            <w:gridSpan w:val="3"/>
          </w:tcPr>
          <w:p>
            <w:pPr>
              <w:jc w:val="right"/>
              <w:spacing w:after="0"/>
              <w:rPr>
                <w:rFonts w:ascii="Arial" w:cs="Arial" w:eastAsia="Arial" w:hAnsi="Arial"/>
                <w:sz w:val="15"/>
                <w:szCs w:val="15"/>
                <w:color w:val="0000EE"/>
              </w:rPr>
            </w:pPr>
            <w:hyperlink w:anchor="page65">
              <w:r>
                <w:rPr>
                  <w:rFonts w:ascii="Arial" w:cs="Arial" w:eastAsia="Arial" w:hAnsi="Arial"/>
                  <w:sz w:val="15"/>
                  <w:szCs w:val="15"/>
                  <w:color w:val="0000EE"/>
                </w:rPr>
                <w:t>63</w:t>
              </w:r>
            </w:hyperlink>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8020" w:type="dxa"/>
            <w:vAlign w:val="bottom"/>
            <w:gridSpan w:val="10"/>
          </w:tcPr>
          <w:p>
            <w:pPr>
              <w:spacing w:after="0"/>
              <w:rPr>
                <w:rFonts w:ascii="Arial" w:cs="Arial" w:eastAsia="Arial" w:hAnsi="Arial"/>
                <w:sz w:val="15"/>
                <w:szCs w:val="15"/>
                <w:color w:val="0000EE"/>
              </w:rPr>
            </w:pPr>
            <w:hyperlink w:anchor="page66">
              <w:r>
                <w:rPr>
                  <w:rFonts w:ascii="Arial" w:cs="Arial" w:eastAsia="Arial" w:hAnsi="Arial"/>
                  <w:sz w:val="15"/>
                  <w:szCs w:val="15"/>
                  <w:color w:val="0000EE"/>
                </w:rPr>
                <w:t>Consolidated Statements of Cash Flows for the Years Ended December 31, 2016, 2015 and 2014</w:t>
              </w:r>
            </w:hyperlink>
          </w:p>
        </w:tc>
        <w:tc>
          <w:tcPr>
            <w:tcW w:w="3060" w:type="dxa"/>
            <w:vAlign w:val="bottom"/>
            <w:gridSpan w:val="3"/>
          </w:tcPr>
          <w:p>
            <w:pPr>
              <w:jc w:val="right"/>
              <w:spacing w:after="0"/>
              <w:rPr>
                <w:rFonts w:ascii="Arial" w:cs="Arial" w:eastAsia="Arial" w:hAnsi="Arial"/>
                <w:sz w:val="15"/>
                <w:szCs w:val="15"/>
                <w:color w:val="0000EE"/>
              </w:rPr>
            </w:pPr>
            <w:hyperlink w:anchor="page66">
              <w:r>
                <w:rPr>
                  <w:rFonts w:ascii="Arial" w:cs="Arial" w:eastAsia="Arial" w:hAnsi="Arial"/>
                  <w:sz w:val="15"/>
                  <w:szCs w:val="15"/>
                  <w:color w:val="0000EE"/>
                </w:rPr>
                <w:t>64</w:t>
              </w:r>
            </w:hyperlink>
          </w:p>
        </w:tc>
      </w:tr>
      <w:tr>
        <w:trPr>
          <w:trHeight w:val="20"/>
        </w:trPr>
        <w:tc>
          <w:tcPr>
            <w:tcW w:w="32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01"/>
        </w:trPr>
        <w:tc>
          <w:tcPr>
            <w:tcW w:w="320" w:type="dxa"/>
            <w:vAlign w:val="bottom"/>
          </w:tcPr>
          <w:p>
            <w:pPr>
              <w:spacing w:after="0"/>
              <w:rPr>
                <w:sz w:val="17"/>
                <w:szCs w:val="17"/>
                <w:color w:val="auto"/>
              </w:rPr>
            </w:pPr>
          </w:p>
        </w:tc>
        <w:tc>
          <w:tcPr>
            <w:tcW w:w="6920" w:type="dxa"/>
            <w:vAlign w:val="bottom"/>
            <w:tcBorders>
              <w:bottom w:val="single" w:sz="8" w:color="0000EE"/>
            </w:tcBorders>
            <w:gridSpan w:val="9"/>
          </w:tcPr>
          <w:p>
            <w:pPr>
              <w:spacing w:after="0"/>
              <w:rPr>
                <w:rFonts w:ascii="Arial" w:cs="Arial" w:eastAsia="Arial" w:hAnsi="Arial"/>
                <w:sz w:val="15"/>
                <w:szCs w:val="15"/>
                <w:color w:val="0000EE"/>
                <w:w w:val="97"/>
              </w:rPr>
            </w:pPr>
            <w:hyperlink w:anchor="page67">
              <w:r>
                <w:rPr>
                  <w:rFonts w:ascii="Arial" w:cs="Arial" w:eastAsia="Arial" w:hAnsi="Arial"/>
                  <w:sz w:val="15"/>
                  <w:szCs w:val="15"/>
                  <w:color w:val="0000EE"/>
                  <w:w w:val="97"/>
                </w:rPr>
                <w:t>Consolidated Statements of Stockholders’ Equity for the Years Ended December 31, 2016, 2015 and 2014</w:t>
              </w:r>
            </w:hyperlink>
          </w:p>
        </w:tc>
        <w:tc>
          <w:tcPr>
            <w:tcW w:w="1100" w:type="dxa"/>
            <w:vAlign w:val="bottom"/>
          </w:tcPr>
          <w:p>
            <w:pPr>
              <w:spacing w:after="0"/>
              <w:rPr>
                <w:sz w:val="17"/>
                <w:szCs w:val="17"/>
                <w:color w:val="auto"/>
              </w:rPr>
            </w:pPr>
          </w:p>
        </w:tc>
        <w:tc>
          <w:tcPr>
            <w:tcW w:w="2900" w:type="dxa"/>
            <w:vAlign w:val="bottom"/>
            <w:gridSpan w:val="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5"/>
                <w:szCs w:val="15"/>
                <w:color w:val="0000EE"/>
                <w:w w:val="83"/>
              </w:rPr>
            </w:pPr>
            <w:hyperlink w:anchor="page67">
              <w:r>
                <w:rPr>
                  <w:rFonts w:ascii="Arial" w:cs="Arial" w:eastAsia="Arial" w:hAnsi="Arial"/>
                  <w:sz w:val="15"/>
                  <w:szCs w:val="15"/>
                  <w:color w:val="0000EE"/>
                  <w:w w:val="83"/>
                </w:rPr>
                <w:t>65</w:t>
              </w:r>
            </w:hyperlink>
          </w:p>
        </w:tc>
      </w:tr>
      <w:tr>
        <w:trPr>
          <w:trHeight w:val="201"/>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gridSpan w:val="9"/>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Notes to Consolidated Financial Statements</w:t>
              </w:r>
            </w:hyperlink>
          </w:p>
        </w:tc>
        <w:tc>
          <w:tcPr>
            <w:tcW w:w="3060" w:type="dxa"/>
            <w:vAlign w:val="bottom"/>
            <w:gridSpan w:val="3"/>
          </w:tcPr>
          <w:p>
            <w:pPr>
              <w:jc w:val="right"/>
              <w:spacing w:after="0"/>
              <w:rPr>
                <w:rFonts w:ascii="Arial" w:cs="Arial" w:eastAsia="Arial" w:hAnsi="Arial"/>
                <w:sz w:val="15"/>
                <w:szCs w:val="15"/>
                <w:color w:val="0000EE"/>
              </w:rPr>
            </w:pPr>
            <w:hyperlink w:anchor="page68">
              <w:r>
                <w:rPr>
                  <w:rFonts w:ascii="Arial" w:cs="Arial" w:eastAsia="Arial" w:hAnsi="Arial"/>
                  <w:sz w:val="15"/>
                  <w:szCs w:val="15"/>
                  <w:color w:val="0000EE"/>
                </w:rPr>
                <w:t>66</w:t>
              </w:r>
            </w:hyperlink>
          </w:p>
        </w:tc>
      </w:tr>
      <w:tr>
        <w:trPr>
          <w:trHeight w:val="20"/>
        </w:trPr>
        <w:tc>
          <w:tcPr>
            <w:tcW w:w="340" w:type="dxa"/>
            <w:vAlign w:val="bottom"/>
            <w:gridSpan w:val="2"/>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453"/>
        </w:trPr>
        <w:tc>
          <w:tcPr>
            <w:tcW w:w="8340" w:type="dxa"/>
            <w:vAlign w:val="bottom"/>
            <w:gridSpan w:val="11"/>
          </w:tcPr>
          <w:p>
            <w:pPr>
              <w:ind w:left="20"/>
              <w:spacing w:after="0"/>
              <w:rPr>
                <w:sz w:val="20"/>
                <w:szCs w:val="20"/>
                <w:color w:val="auto"/>
              </w:rPr>
            </w:pPr>
            <w:r>
              <w:rPr>
                <w:rFonts w:ascii="Arial" w:cs="Arial" w:eastAsia="Arial" w:hAnsi="Arial"/>
                <w:sz w:val="15"/>
                <w:szCs w:val="15"/>
                <w:color w:val="auto"/>
              </w:rPr>
              <w:t>Financial Statement Schedules:</w:t>
            </w: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9"/>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0" w:type="dxa"/>
            <w:vAlign w:val="bottom"/>
            <w:gridSpan w:val="9"/>
          </w:tcPr>
          <w:p>
            <w:pPr>
              <w:spacing w:after="0"/>
              <w:rPr>
                <w:rFonts w:ascii="Arial" w:cs="Arial" w:eastAsia="Arial" w:hAnsi="Arial"/>
                <w:sz w:val="15"/>
                <w:szCs w:val="15"/>
                <w:color w:val="0000EE"/>
              </w:rPr>
            </w:pPr>
            <w:hyperlink w:anchor="page114">
              <w:r>
                <w:rPr>
                  <w:rFonts w:ascii="Arial" w:cs="Arial" w:eastAsia="Arial" w:hAnsi="Arial"/>
                  <w:sz w:val="15"/>
                  <w:szCs w:val="15"/>
                  <w:color w:val="0000EE"/>
                </w:rPr>
                <w:t>Schedule II — Valuation and Qualifying Accounts as of December 31, 2016, 2015 and 2014</w:t>
              </w:r>
            </w:hyperlink>
          </w:p>
        </w:tc>
        <w:tc>
          <w:tcPr>
            <w:tcW w:w="3060" w:type="dxa"/>
            <w:vAlign w:val="bottom"/>
            <w:gridSpan w:val="3"/>
          </w:tcPr>
          <w:p>
            <w:pPr>
              <w:jc w:val="right"/>
              <w:spacing w:after="0"/>
              <w:rPr>
                <w:rFonts w:ascii="Arial" w:cs="Arial" w:eastAsia="Arial" w:hAnsi="Arial"/>
                <w:sz w:val="15"/>
                <w:szCs w:val="15"/>
                <w:color w:val="0000EE"/>
              </w:rPr>
            </w:pPr>
            <w:hyperlink w:anchor="page114">
              <w:r>
                <w:rPr>
                  <w:rFonts w:ascii="Arial" w:cs="Arial" w:eastAsia="Arial" w:hAnsi="Arial"/>
                  <w:sz w:val="15"/>
                  <w:szCs w:val="15"/>
                  <w:color w:val="0000EE"/>
                </w:rPr>
                <w:t>112</w:t>
              </w:r>
            </w:hyperlink>
          </w:p>
        </w:tc>
      </w:tr>
      <w:tr>
        <w:trPr>
          <w:trHeight w:val="42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500" w:type="dxa"/>
            <w:vAlign w:val="bottom"/>
            <w:tcBorders>
              <w:top w:val="single" w:sz="8" w:color="0000EE"/>
            </w:tcBorders>
            <w:gridSpan w:val="4"/>
          </w:tcPr>
          <w:p>
            <w:pPr>
              <w:jc w:val="right"/>
              <w:ind w:right="500"/>
              <w:spacing w:after="0"/>
              <w:rPr>
                <w:sz w:val="20"/>
                <w:szCs w:val="20"/>
                <w:color w:val="auto"/>
              </w:rPr>
            </w:pPr>
            <w:r>
              <w:rPr>
                <w:rFonts w:ascii="Arial" w:cs="Arial" w:eastAsia="Arial" w:hAnsi="Arial"/>
                <w:sz w:val="15"/>
                <w:szCs w:val="15"/>
                <w:color w:val="auto"/>
              </w:rPr>
              <w:t>58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835" w:right="259" w:bottom="1440" w:gutter="0" w:footer="0" w:header="0"/>
        </w:sectPr>
      </w:pPr>
    </w:p>
    <w:bookmarkStart w:id="60" w:name="page61"/>
    <w:bookmarkEnd w:id="60"/>
    <w:p>
      <w:pPr>
        <w:ind w:right="3680" w:firstLine="3684"/>
        <w:spacing w:after="0" w:line="407" w:lineRule="auto"/>
        <w:rPr>
          <w:sz w:val="20"/>
          <w:szCs w:val="20"/>
          <w:color w:val="auto"/>
        </w:rPr>
      </w:pPr>
      <w:r>
        <w:rPr>
          <w:rFonts w:ascii="Arial" w:cs="Arial" w:eastAsia="Arial" w:hAnsi="Arial"/>
          <w:sz w:val="15"/>
          <w:szCs w:val="15"/>
          <w:b w:val="1"/>
          <w:bCs w:val="1"/>
          <w:color w:val="auto"/>
        </w:rPr>
        <w:t xml:space="preserve">Report of Independent Registered Public Accounting Firm </w:t>
      </w:r>
      <w:r>
        <w:rPr>
          <w:rFonts w:ascii="Arial" w:cs="Arial" w:eastAsia="Arial" w:hAnsi="Arial"/>
          <w:sz w:val="15"/>
          <w:szCs w:val="15"/>
          <w:color w:val="auto"/>
        </w:rPr>
        <w:t>The Board of Directors and Stockholders of Sabre Corporation:</w:t>
      </w:r>
    </w:p>
    <w:p>
      <w:pPr>
        <w:spacing w:after="0" w:line="7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have audited the accompanying consolidated balance sheets of Sabre Corporation as of December 31, 2016 and 2015, and the related consolidated statements of operations, comprehensive income, stockholders’ equity (deficit), and cash flows for each of the three years in the period ended December 31, 2016. Our audits also included the financial statement schedule listed in the Index at Item 15. These financial statements and schedule are the responsibility of the Company’s management. Our responsibility is to express an opinion on these financial statements and the schedule based on our audits.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Sabre Corporation at December 31, 2016 and 2015, and the consolidated results of its operations and its cash flows for each of the three years in the period ended December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discussed in Note 1 to the consolidated financial statements, the Company has adopted ASU 2016-09 Compensation—Stock Compensation (Topic 718): Improvements to Employee Share-Based Payment Accounting effective January 1, 2016.</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Sabre Corporation’s internal control over financial reporting as of December 31, 2016, based on criteria established in Internal Control-Integrated Framework issued by the Committee of Sponsoring Organizations of the Treadway Commission (2013 Framework) and our report dated February 17, 2017 expressed an unqualified opinion thereon.</w:t>
      </w:r>
    </w:p>
    <w:p>
      <w:pPr>
        <w:spacing w:after="0" w:line="337"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 Ernst &amp; Young LLP</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Dallas, Texas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February 17, 2017</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420"/>
          </w:cols>
          <w:pgMar w:left="240" w:top="540" w:right="239" w:bottom="1440" w:gutter="0" w:footer="0" w:header="0"/>
        </w:sectPr>
      </w:pPr>
    </w:p>
    <w:bookmarkStart w:id="61" w:name="page62"/>
    <w:bookmarkEnd w:id="61"/>
    <w:p>
      <w:pPr>
        <w:ind w:right="3680" w:firstLine="3684"/>
        <w:spacing w:after="0" w:line="407" w:lineRule="auto"/>
        <w:rPr>
          <w:sz w:val="20"/>
          <w:szCs w:val="20"/>
          <w:color w:val="auto"/>
        </w:rPr>
      </w:pPr>
      <w:r>
        <w:rPr>
          <w:rFonts w:ascii="Arial" w:cs="Arial" w:eastAsia="Arial" w:hAnsi="Arial"/>
          <w:sz w:val="15"/>
          <w:szCs w:val="15"/>
          <w:b w:val="1"/>
          <w:bCs w:val="1"/>
          <w:color w:val="auto"/>
        </w:rPr>
        <w:t xml:space="preserve">Report of Independent Registered Public Accounting Firm </w:t>
      </w:r>
      <w:r>
        <w:rPr>
          <w:rFonts w:ascii="Arial" w:cs="Arial" w:eastAsia="Arial" w:hAnsi="Arial"/>
          <w:sz w:val="15"/>
          <w:szCs w:val="15"/>
          <w:color w:val="auto"/>
        </w:rPr>
        <w:t>The Board of Directors and Stockholders of Sabre Corporation:</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5"/>
          <w:szCs w:val="15"/>
          <w:color w:val="auto"/>
        </w:rPr>
        <w:t>We have audited Sabre Corporation's internal control over financial reporting as of December 31, 2016, based on criteria established in Internal Control—Integrated Framework issued by the Committee of Sponsoring Organizations of the Treadway Commission (2013 Framework) (the “COSO criteria”). Sabre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 our opinion, Sabre Corporation maintained, in all material respects, effective internal control over financial reporting as of December 31, 2016, based on the COSO criteria.</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Sabre Corporation as of December 31, 2016 and 2015, and the related consolidated statements of operations, comprehensive income, stockholders’ equity (deficit), and cash flows for each of the three years in the period ended December 31, 2016 and our report dated February 17, 2017 expressed an unqualified opinion thereon.</w:t>
      </w:r>
    </w:p>
    <w:p>
      <w:pPr>
        <w:spacing w:after="0" w:line="337"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 Ernst &amp; Young LLP</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Dallas, Texas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February 17,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420"/>
          </w:cols>
          <w:pgMar w:left="240" w:top="54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5"/>
          <w:szCs w:val="15"/>
          <w:b w:val="1"/>
          <w:bCs w:val="1"/>
          <w:color w:val="auto"/>
        </w:rPr>
        <w:t>SABRE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jc w:val="center"/>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b w:val="1"/>
                <w:bCs w:val="1"/>
                <w:color w:val="auto"/>
              </w:rPr>
              <w:t>2014</w:t>
            </w: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3,373,387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2,960,896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2,631,417</w:t>
            </w:r>
          </w:p>
        </w:tc>
      </w:tr>
      <w:tr>
        <w:trPr>
          <w:trHeight w:val="237"/>
        </w:trPr>
        <w:tc>
          <w:tcPr>
            <w:tcW w:w="520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2,287,662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1,944,050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1,742,478</w:t>
            </w:r>
          </w:p>
        </w:tc>
      </w:tr>
      <w:tr>
        <w:trPr>
          <w:trHeight w:val="254"/>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w:t>
            </w:r>
          </w:p>
        </w:tc>
        <w:tc>
          <w:tcPr>
            <w:tcW w:w="18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626,153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557,077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467,594</w:t>
            </w:r>
          </w:p>
        </w:tc>
      </w:tr>
      <w:tr>
        <w:trPr>
          <w:trHeight w:val="217"/>
        </w:trPr>
        <w:tc>
          <w:tcPr>
            <w:tcW w:w="520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459,572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459,769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421,345</w:t>
            </w:r>
          </w:p>
        </w:tc>
      </w:tr>
      <w:tr>
        <w:trPr>
          <w:trHeight w:val="23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(expense) income:</w:t>
            </w:r>
          </w:p>
        </w:tc>
        <w:tc>
          <w:tcPr>
            <w:tcW w:w="1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5200" w:type="dxa"/>
            <w:vAlign w:val="bottom"/>
          </w:tcPr>
          <w:p>
            <w:pPr>
              <w:ind w:left="240"/>
              <w:spacing w:after="0"/>
              <w:rPr>
                <w:sz w:val="20"/>
                <w:szCs w:val="20"/>
                <w:color w:val="auto"/>
              </w:rPr>
            </w:pPr>
            <w:r>
              <w:rPr>
                <w:rFonts w:ascii="Arial" w:cs="Arial" w:eastAsia="Arial" w:hAnsi="Arial"/>
                <w:sz w:val="15"/>
                <w:szCs w:val="15"/>
                <w:color w:val="auto"/>
              </w:rPr>
              <w:t>Interest expense, net</w:t>
            </w:r>
          </w:p>
        </w:tc>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(158,251)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(173,298)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(218,877)</w:t>
            </w:r>
          </w:p>
        </w:tc>
      </w:tr>
      <w:tr>
        <w:trPr>
          <w:trHeight w:val="254"/>
        </w:trPr>
        <w:tc>
          <w:tcPr>
            <w:tcW w:w="5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on extinguishment of debt</w:t>
            </w:r>
          </w:p>
        </w:tc>
        <w:tc>
          <w:tcPr>
            <w:tcW w:w="1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(33,538)</w:t>
            </w:r>
          </w:p>
        </w:tc>
      </w:tr>
      <w:tr>
        <w:trPr>
          <w:trHeight w:val="237"/>
        </w:trPr>
        <w:tc>
          <w:tcPr>
            <w:tcW w:w="5200" w:type="dxa"/>
            <w:vAlign w:val="bottom"/>
          </w:tcPr>
          <w:p>
            <w:pPr>
              <w:ind w:left="240"/>
              <w:spacing w:after="0"/>
              <w:rPr>
                <w:sz w:val="20"/>
                <w:szCs w:val="20"/>
                <w:color w:val="auto"/>
              </w:rPr>
            </w:pPr>
            <w:r>
              <w:rPr>
                <w:rFonts w:ascii="Arial" w:cs="Arial" w:eastAsia="Arial" w:hAnsi="Arial"/>
                <w:sz w:val="15"/>
                <w:szCs w:val="15"/>
                <w:color w:val="auto"/>
              </w:rPr>
              <w:t>Joint venture equity income</w:t>
            </w:r>
          </w:p>
        </w:tc>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2,780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14,842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12,082</w:t>
            </w:r>
          </w:p>
        </w:tc>
      </w:tr>
      <w:tr>
        <w:trPr>
          <w:trHeight w:val="254"/>
        </w:trPr>
        <w:tc>
          <w:tcPr>
            <w:tcW w:w="5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net</w:t>
            </w:r>
          </w:p>
        </w:tc>
        <w:tc>
          <w:tcPr>
            <w:tcW w:w="18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27,617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91,377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(63,860)</w:t>
            </w:r>
          </w:p>
        </w:tc>
      </w:tr>
      <w:tr>
        <w:trPr>
          <w:trHeight w:val="21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other expense, net</w:t>
            </w:r>
          </w:p>
        </w:tc>
        <w:tc>
          <w:tcPr>
            <w:tcW w:w="18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(131,537)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(105,862)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(304,193)</w:t>
            </w: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 before income taxes</w:t>
            </w:r>
          </w:p>
        </w:tc>
        <w:tc>
          <w:tcPr>
            <w:tcW w:w="1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328,035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353,907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117,152</w:t>
            </w:r>
          </w:p>
        </w:tc>
      </w:tr>
      <w:tr>
        <w:trPr>
          <w:trHeight w:val="23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1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86,645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119,352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6,279</w:t>
            </w: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w:t>
            </w:r>
          </w:p>
        </w:tc>
        <w:tc>
          <w:tcPr>
            <w:tcW w:w="1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241,390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234,555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110,873</w:t>
            </w:r>
          </w:p>
        </w:tc>
      </w:tr>
      <w:tr>
        <w:trPr>
          <w:trHeight w:val="23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(Loss) income from discontinued operations, net of tax</w:t>
            </w:r>
          </w:p>
        </w:tc>
        <w:tc>
          <w:tcPr>
            <w:tcW w:w="1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5,549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314,408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(38,918)</w:t>
            </w: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246,939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548,963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71,955</w:t>
            </w:r>
          </w:p>
        </w:tc>
      </w:tr>
      <w:tr>
        <w:trPr>
          <w:trHeight w:val="23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income attributable to noncontrolling interests</w:t>
            </w:r>
          </w:p>
        </w:tc>
        <w:tc>
          <w:tcPr>
            <w:tcW w:w="1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4,377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3,481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2,732</w:t>
            </w: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Sabre Corporation</w:t>
            </w:r>
          </w:p>
        </w:tc>
        <w:tc>
          <w:tcPr>
            <w:tcW w:w="1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242,562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545,482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69,223</w:t>
            </w:r>
          </w:p>
        </w:tc>
      </w:tr>
      <w:tr>
        <w:trPr>
          <w:trHeight w:val="23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Preferred stock dividends</w:t>
            </w:r>
          </w:p>
        </w:tc>
        <w:tc>
          <w:tcPr>
            <w:tcW w:w="1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11,381</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common stockholders</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242,562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545,482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57,842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net income (loss) per share attributable to common stockholders:</w:t>
            </w:r>
          </w:p>
        </w:tc>
        <w:tc>
          <w:tcPr>
            <w:tcW w:w="1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7"/>
        </w:trPr>
        <w:tc>
          <w:tcPr>
            <w:tcW w:w="5200" w:type="dxa"/>
            <w:vAlign w:val="bottom"/>
          </w:tcPr>
          <w:p>
            <w:pPr>
              <w:ind w:left="240"/>
              <w:spacing w:after="0"/>
              <w:rPr>
                <w:sz w:val="20"/>
                <w:szCs w:val="20"/>
                <w:color w:val="auto"/>
              </w:rPr>
            </w:pPr>
            <w:r>
              <w:rPr>
                <w:rFonts w:ascii="Arial" w:cs="Arial" w:eastAsia="Arial" w:hAnsi="Arial"/>
                <w:sz w:val="15"/>
                <w:szCs w:val="15"/>
                <w:color w:val="auto"/>
              </w:rPr>
              <w:t>Income from continuing operations</w:t>
            </w:r>
          </w:p>
        </w:tc>
        <w:tc>
          <w:tcPr>
            <w:tcW w:w="2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0.85</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0.85</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0.41</w:t>
            </w:r>
          </w:p>
        </w:tc>
      </w:tr>
      <w:tr>
        <w:trPr>
          <w:trHeight w:val="254"/>
        </w:trPr>
        <w:tc>
          <w:tcPr>
            <w:tcW w:w="5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(loss) from discontinued operations</w:t>
            </w:r>
          </w:p>
        </w:tc>
        <w:tc>
          <w:tcPr>
            <w:tcW w:w="18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0.02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(0.16)</w:t>
            </w:r>
          </w:p>
        </w:tc>
      </w:tr>
      <w:tr>
        <w:trPr>
          <w:trHeight w:val="245"/>
        </w:trPr>
        <w:tc>
          <w:tcPr>
            <w:tcW w:w="5200" w:type="dxa"/>
            <w:vAlign w:val="bottom"/>
          </w:tcPr>
          <w:p>
            <w:pPr>
              <w:ind w:left="240"/>
              <w:spacing w:after="0"/>
              <w:rPr>
                <w:sz w:val="20"/>
                <w:szCs w:val="20"/>
                <w:color w:val="auto"/>
              </w:rPr>
            </w:pPr>
            <w:r>
              <w:rPr>
                <w:rFonts w:ascii="Arial" w:cs="Arial" w:eastAsia="Arial" w:hAnsi="Arial"/>
                <w:sz w:val="15"/>
                <w:szCs w:val="15"/>
                <w:color w:val="auto"/>
              </w:rPr>
              <w:t>Net income (loss) per common share</w:t>
            </w:r>
          </w:p>
        </w:tc>
        <w:tc>
          <w:tcPr>
            <w:tcW w:w="2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0.87</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1"/>
                <w:szCs w:val="21"/>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0.24</w:t>
            </w:r>
          </w:p>
        </w:tc>
      </w:tr>
      <w:tr>
        <w:trPr>
          <w:trHeight w:val="163"/>
        </w:trPr>
        <w:tc>
          <w:tcPr>
            <w:tcW w:w="52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Diluted net income (loss) per share attributable to common stockholders:</w:t>
            </w:r>
          </w:p>
        </w:tc>
        <w:tc>
          <w:tcPr>
            <w:tcW w:w="18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66"/>
        </w:trPr>
        <w:tc>
          <w:tcPr>
            <w:tcW w:w="5200" w:type="dxa"/>
            <w:vAlign w:val="bottom"/>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5200" w:type="dxa"/>
            <w:vAlign w:val="bottom"/>
          </w:tcPr>
          <w:p>
            <w:pPr>
              <w:ind w:left="240"/>
              <w:spacing w:after="0"/>
              <w:rPr>
                <w:sz w:val="20"/>
                <w:szCs w:val="20"/>
                <w:color w:val="auto"/>
              </w:rPr>
            </w:pPr>
            <w:r>
              <w:rPr>
                <w:rFonts w:ascii="Arial" w:cs="Arial" w:eastAsia="Arial" w:hAnsi="Arial"/>
                <w:sz w:val="15"/>
                <w:szCs w:val="15"/>
                <w:color w:val="auto"/>
              </w:rPr>
              <w:t>Income from continuing operations</w:t>
            </w:r>
          </w:p>
        </w:tc>
        <w:tc>
          <w:tcPr>
            <w:tcW w:w="2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0.84</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0.83</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0.39</w:t>
            </w:r>
          </w:p>
        </w:tc>
      </w:tr>
      <w:tr>
        <w:trPr>
          <w:trHeight w:val="254"/>
        </w:trPr>
        <w:tc>
          <w:tcPr>
            <w:tcW w:w="5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 (loss) income from discontinued operations</w:t>
            </w:r>
          </w:p>
        </w:tc>
        <w:tc>
          <w:tcPr>
            <w:tcW w:w="18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0.02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1.12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(0.16)</w:t>
            </w:r>
          </w:p>
        </w:tc>
      </w:tr>
      <w:tr>
        <w:trPr>
          <w:trHeight w:val="245"/>
        </w:trPr>
        <w:tc>
          <w:tcPr>
            <w:tcW w:w="5200" w:type="dxa"/>
            <w:vAlign w:val="bottom"/>
          </w:tcPr>
          <w:p>
            <w:pPr>
              <w:ind w:left="240"/>
              <w:spacing w:after="0"/>
              <w:rPr>
                <w:sz w:val="20"/>
                <w:szCs w:val="20"/>
                <w:color w:val="auto"/>
              </w:rPr>
            </w:pPr>
            <w:r>
              <w:rPr>
                <w:rFonts w:ascii="Arial" w:cs="Arial" w:eastAsia="Arial" w:hAnsi="Arial"/>
                <w:sz w:val="15"/>
                <w:szCs w:val="15"/>
                <w:color w:val="auto"/>
              </w:rPr>
              <w:t>Net income per common share</w:t>
            </w:r>
          </w:p>
        </w:tc>
        <w:tc>
          <w:tcPr>
            <w:tcW w:w="2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0.86</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1.95</w:t>
            </w:r>
          </w:p>
        </w:tc>
        <w:tc>
          <w:tcPr>
            <w:tcW w:w="100" w:type="dxa"/>
            <w:vAlign w:val="bottom"/>
          </w:tcPr>
          <w:p>
            <w:pPr>
              <w:spacing w:after="0"/>
              <w:rPr>
                <w:sz w:val="21"/>
                <w:szCs w:val="21"/>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0.23</w:t>
            </w:r>
          </w:p>
        </w:tc>
      </w:tr>
      <w:tr>
        <w:trPr>
          <w:trHeight w:val="163"/>
        </w:trPr>
        <w:tc>
          <w:tcPr>
            <w:tcW w:w="52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5"/>
                <w:szCs w:val="15"/>
                <w:color w:val="auto"/>
              </w:rPr>
              <w:t>Weighted-average common shares outstanding:</w:t>
            </w:r>
          </w:p>
        </w:tc>
        <w:tc>
          <w:tcPr>
            <w:tcW w:w="18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66"/>
        </w:trPr>
        <w:tc>
          <w:tcPr>
            <w:tcW w:w="5200" w:type="dxa"/>
            <w:vAlign w:val="bottom"/>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5200" w:type="dxa"/>
            <w:vAlign w:val="bottom"/>
          </w:tcPr>
          <w:p>
            <w:pPr>
              <w:ind w:left="240"/>
              <w:spacing w:after="0"/>
              <w:rPr>
                <w:sz w:val="20"/>
                <w:szCs w:val="20"/>
                <w:color w:val="auto"/>
              </w:rPr>
            </w:pPr>
            <w:r>
              <w:rPr>
                <w:rFonts w:ascii="Arial" w:cs="Arial" w:eastAsia="Arial" w:hAnsi="Arial"/>
                <w:sz w:val="15"/>
                <w:szCs w:val="15"/>
                <w:color w:val="auto"/>
              </w:rPr>
              <w:t>Basic</w:t>
            </w:r>
          </w:p>
        </w:tc>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277,546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273,139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238,633</w:t>
            </w:r>
          </w:p>
        </w:tc>
      </w:tr>
      <w:tr>
        <w:trPr>
          <w:trHeight w:val="254"/>
        </w:trPr>
        <w:tc>
          <w:tcPr>
            <w:tcW w:w="5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1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282,752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280,067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246,747</w:t>
            </w:r>
          </w:p>
        </w:tc>
      </w:tr>
      <w:tr>
        <w:trPr>
          <w:trHeight w:val="245"/>
        </w:trPr>
        <w:tc>
          <w:tcPr>
            <w:tcW w:w="5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 per common share</w:t>
            </w:r>
          </w:p>
        </w:tc>
        <w:tc>
          <w:tcPr>
            <w:tcW w:w="2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0.52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0.36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0.18</w:t>
            </w:r>
          </w:p>
        </w:tc>
      </w:tr>
      <w:tr>
        <w:trPr>
          <w:trHeight w:val="375"/>
        </w:trPr>
        <w:tc>
          <w:tcPr>
            <w:tcW w:w="5200" w:type="dxa"/>
            <w:vAlign w:val="bottom"/>
          </w:tcPr>
          <w:p>
            <w:pPr>
              <w:spacing w:after="0"/>
              <w:rPr>
                <w:sz w:val="20"/>
                <w:szCs w:val="20"/>
                <w:color w:val="auto"/>
              </w:rPr>
            </w:pPr>
            <w:r>
              <w:rPr>
                <w:rFonts w:ascii="Arial" w:cs="Arial" w:eastAsia="Arial" w:hAnsi="Arial"/>
                <w:sz w:val="15"/>
                <w:szCs w:val="15"/>
                <w:color w:val="auto"/>
              </w:rPr>
              <w:t>See Notes to Consolidated Financial Statements.</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3"/>
        </w:trPr>
        <w:tc>
          <w:tcPr>
            <w:tcW w:w="5200" w:type="dxa"/>
            <w:vAlign w:val="bottom"/>
          </w:tcPr>
          <w:p>
            <w:pPr>
              <w:spacing w:after="0"/>
              <w:rPr>
                <w:sz w:val="24"/>
                <w:szCs w:val="24"/>
                <w:color w:val="auto"/>
              </w:rPr>
            </w:pPr>
          </w:p>
        </w:tc>
        <w:tc>
          <w:tcPr>
            <w:tcW w:w="1880" w:type="dxa"/>
            <w:vAlign w:val="bottom"/>
          </w:tcPr>
          <w:p>
            <w:pPr>
              <w:jc w:val="right"/>
              <w:ind w:right="1206"/>
              <w:spacing w:after="0"/>
              <w:rPr>
                <w:sz w:val="20"/>
                <w:szCs w:val="20"/>
                <w:color w:val="auto"/>
              </w:rPr>
            </w:pPr>
            <w:r>
              <w:rPr>
                <w:rFonts w:ascii="Arial" w:cs="Arial" w:eastAsia="Arial" w:hAnsi="Arial"/>
                <w:sz w:val="15"/>
                <w:szCs w:val="15"/>
                <w:color w:val="auto"/>
              </w:rPr>
              <w:t>61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4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5"/>
          <w:szCs w:val="15"/>
          <w:b w:val="1"/>
          <w:bCs w:val="1"/>
          <w:color w:val="auto"/>
        </w:rPr>
        <w:t>SABRE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93"/>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7"/>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27"/>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407"/>
              <w:spacing w:after="0"/>
              <w:rPr>
                <w:sz w:val="20"/>
                <w:szCs w:val="20"/>
                <w:color w:val="auto"/>
              </w:rPr>
            </w:pPr>
            <w:r>
              <w:rPr>
                <w:rFonts w:ascii="Arial" w:cs="Arial" w:eastAsia="Arial" w:hAnsi="Arial"/>
                <w:sz w:val="11"/>
                <w:szCs w:val="11"/>
                <w:b w:val="1"/>
                <w:bCs w:val="1"/>
                <w:color w:val="auto"/>
              </w:rPr>
              <w:t>2014</w:t>
            </w:r>
          </w:p>
        </w:tc>
      </w:tr>
      <w:tr>
        <w:trPr>
          <w:trHeight w:val="52"/>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246,939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548,963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71,955</w:t>
            </w:r>
          </w:p>
        </w:tc>
      </w:tr>
      <w:tr>
        <w:trPr>
          <w:trHeight w:val="183"/>
        </w:trPr>
        <w:tc>
          <w:tcPr>
            <w:tcW w:w="7440" w:type="dxa"/>
            <w:vAlign w:val="bottom"/>
          </w:tcPr>
          <w:p>
            <w:pPr>
              <w:ind w:left="20"/>
              <w:spacing w:after="0"/>
              <w:rPr>
                <w:sz w:val="20"/>
                <w:szCs w:val="20"/>
                <w:color w:val="auto"/>
              </w:rPr>
            </w:pPr>
            <w:r>
              <w:rPr>
                <w:rFonts w:ascii="Arial" w:cs="Arial" w:eastAsia="Arial" w:hAnsi="Arial"/>
                <w:sz w:val="15"/>
                <w:szCs w:val="15"/>
                <w:color w:val="auto"/>
              </w:rPr>
              <w:t>Other comprehensive (loss) income, net of tax:</w:t>
            </w: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54"/>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5"/>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Foreign currency translation adjustments (“CTA”):</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7"/>
        </w:trPr>
        <w:tc>
          <w:tcPr>
            <w:tcW w:w="7440" w:type="dxa"/>
            <w:vAlign w:val="bottom"/>
          </w:tcPr>
          <w:p>
            <w:pPr>
              <w:ind w:left="440"/>
              <w:spacing w:after="0"/>
              <w:rPr>
                <w:sz w:val="20"/>
                <w:szCs w:val="20"/>
                <w:color w:val="auto"/>
              </w:rPr>
            </w:pPr>
            <w:r>
              <w:rPr>
                <w:rFonts w:ascii="Arial" w:cs="Arial" w:eastAsia="Arial" w:hAnsi="Arial"/>
                <w:sz w:val="15"/>
                <w:szCs w:val="15"/>
                <w:color w:val="auto"/>
              </w:rPr>
              <w:t>Foreign CTA (losses) gains, net of tax</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7,794</w:t>
            </w:r>
          </w:p>
        </w:tc>
      </w:tr>
      <w:tr>
        <w:trPr>
          <w:trHeight w:val="254"/>
        </w:trPr>
        <w:tc>
          <w:tcPr>
            <w:tcW w:w="74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Reclassification adjustment for realized losses on foreign CTA, net of taxes of $107, $12,152, and $0</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(18,558)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r>
      <w:tr>
        <w:trPr>
          <w:trHeight w:val="218"/>
        </w:trPr>
        <w:tc>
          <w:tcPr>
            <w:tcW w:w="744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Net change in foreign CTA (losses) gains, net of tax</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(22,940)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7,794</w:t>
            </w:r>
          </w:p>
        </w:tc>
      </w:tr>
      <w:tr>
        <w:trPr>
          <w:trHeight w:val="225"/>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Retirement-related benefit plans: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7"/>
        </w:trPr>
        <w:tc>
          <w:tcPr>
            <w:tcW w:w="7440" w:type="dxa"/>
            <w:vAlign w:val="bottom"/>
          </w:tcPr>
          <w:p>
            <w:pPr>
              <w:ind w:left="440"/>
              <w:spacing w:after="0"/>
              <w:rPr>
                <w:sz w:val="20"/>
                <w:szCs w:val="20"/>
                <w:color w:val="auto"/>
              </w:rPr>
            </w:pPr>
            <w:r>
              <w:rPr>
                <w:rFonts w:ascii="Arial" w:cs="Arial" w:eastAsia="Arial" w:hAnsi="Arial"/>
                <w:sz w:val="15"/>
                <w:szCs w:val="15"/>
                <w:color w:val="auto"/>
              </w:rPr>
              <w:t>Net actuarial (loss), net of taxes of $9,701, $2,273 and $16,296</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(17,223)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(4,060)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(28,554)</w:t>
            </w:r>
          </w:p>
        </w:tc>
      </w:tr>
      <w:tr>
        <w:trPr>
          <w:trHeight w:val="254"/>
        </w:trPr>
        <w:tc>
          <w:tcPr>
            <w:tcW w:w="74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prior service credits, net of taxes of $518, $516 and $516</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w:t>
            </w:r>
          </w:p>
        </w:tc>
      </w:tr>
      <w:tr>
        <w:trPr>
          <w:trHeight w:val="238"/>
        </w:trPr>
        <w:tc>
          <w:tcPr>
            <w:tcW w:w="744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Amortization of actuarial losses, net of taxes of $(2,123), $(2,545) and $(1,730)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3,748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4,500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3,058</w:t>
            </w:r>
          </w:p>
        </w:tc>
      </w:tr>
      <w:tr>
        <w:trPr>
          <w:trHeight w:val="233"/>
        </w:trPr>
        <w:tc>
          <w:tcPr>
            <w:tcW w:w="74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retirement-related benefit plans</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(14,389)</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(26,412)</w:t>
            </w:r>
          </w:p>
        </w:tc>
      </w:tr>
      <w:tr>
        <w:trPr>
          <w:trHeight w:val="183"/>
        </w:trPr>
        <w:tc>
          <w:tcPr>
            <w:tcW w:w="7440" w:type="dxa"/>
            <w:vAlign w:val="bottom"/>
          </w:tcPr>
          <w:p>
            <w:pPr>
              <w:ind w:left="240"/>
              <w:spacing w:after="0"/>
              <w:rPr>
                <w:sz w:val="20"/>
                <w:szCs w:val="20"/>
                <w:color w:val="auto"/>
              </w:rPr>
            </w:pPr>
            <w:r>
              <w:rPr>
                <w:rFonts w:ascii="Arial" w:cs="Arial" w:eastAsia="Arial" w:hAnsi="Arial"/>
                <w:sz w:val="15"/>
                <w:szCs w:val="15"/>
                <w:color w:val="auto"/>
              </w:rPr>
              <w:t>Derivatives and available-for-sale securities: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4"/>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5"/>
        </w:trPr>
        <w:tc>
          <w:tcPr>
            <w:tcW w:w="74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Unrealized losses (gains), net of taxes of $2,214, $5,753 and $2,604</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4,307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(8,797)</w:t>
            </w:r>
          </w:p>
        </w:tc>
      </w:tr>
      <w:tr>
        <w:trPr>
          <w:trHeight w:val="238"/>
        </w:trPr>
        <w:tc>
          <w:tcPr>
            <w:tcW w:w="744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Reclassification adjustment for realized (gains) losses, net of taxes of $1,170, $(3,312) and $(2,913)</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(13,422)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10,646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4,086</w:t>
            </w:r>
          </w:p>
        </w:tc>
      </w:tr>
      <w:tr>
        <w:trPr>
          <w:trHeight w:val="233"/>
        </w:trPr>
        <w:tc>
          <w:tcPr>
            <w:tcW w:w="74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Net change in derivatives and available-for-sale securities, net of tax</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(9,115)</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1,004</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(4,711)</w:t>
            </w:r>
          </w:p>
        </w:tc>
      </w:tr>
      <w:tr>
        <w:trPr>
          <w:trHeight w:val="218"/>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Share of other comprehensive (loss)/income of joint ventures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3,421</w:t>
            </w:r>
          </w:p>
        </w:tc>
      </w:tr>
      <w:tr>
        <w:trPr>
          <w:trHeight w:val="23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loss</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(25,664)</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(27,332)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(19,908)</w:t>
            </w:r>
          </w:p>
        </w:tc>
      </w:tr>
      <w:tr>
        <w:trPr>
          <w:trHeight w:val="217"/>
        </w:trPr>
        <w:tc>
          <w:tcPr>
            <w:tcW w:w="7440" w:type="dxa"/>
            <w:vAlign w:val="bottom"/>
          </w:tcPr>
          <w:p>
            <w:pPr>
              <w:ind w:left="20"/>
              <w:spacing w:after="0"/>
              <w:rPr>
                <w:sz w:val="20"/>
                <w:szCs w:val="20"/>
                <w:color w:val="auto"/>
              </w:rPr>
            </w:pPr>
            <w:r>
              <w:rPr>
                <w:rFonts w:ascii="Arial" w:cs="Arial" w:eastAsia="Arial" w:hAnsi="Arial"/>
                <w:sz w:val="15"/>
                <w:szCs w:val="15"/>
                <w:color w:val="auto"/>
              </w:rPr>
              <w:t>Comprehensive income</w:t>
            </w:r>
          </w:p>
        </w:tc>
        <w:tc>
          <w:tcPr>
            <w:tcW w:w="30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221,275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521,631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52,047</w:t>
            </w:r>
          </w:p>
        </w:tc>
      </w:tr>
      <w:tr>
        <w:trPr>
          <w:trHeight w:val="254"/>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(2,732)</w:t>
            </w:r>
          </w:p>
        </w:tc>
      </w:tr>
      <w:tr>
        <w:trPr>
          <w:trHeight w:val="205"/>
        </w:trPr>
        <w:tc>
          <w:tcPr>
            <w:tcW w:w="7440" w:type="dxa"/>
            <w:vAlign w:val="bottom"/>
          </w:tcPr>
          <w:p>
            <w:pPr>
              <w:ind w:left="20"/>
              <w:spacing w:after="0"/>
              <w:rPr>
                <w:sz w:val="20"/>
                <w:szCs w:val="20"/>
                <w:color w:val="auto"/>
              </w:rPr>
            </w:pPr>
            <w:r>
              <w:rPr>
                <w:rFonts w:ascii="Arial" w:cs="Arial" w:eastAsia="Arial" w:hAnsi="Arial"/>
                <w:sz w:val="15"/>
                <w:szCs w:val="15"/>
                <w:color w:val="auto"/>
              </w:rPr>
              <w:t>Comprehensive income attributable to Sabre Corporation</w:t>
            </w: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216,898</w:t>
            </w:r>
          </w:p>
        </w:tc>
        <w:tc>
          <w:tcPr>
            <w:tcW w:w="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518,150</w:t>
            </w:r>
          </w:p>
        </w:tc>
        <w:tc>
          <w:tcPr>
            <w:tcW w:w="120" w:type="dxa"/>
            <w:vAlign w:val="bottom"/>
          </w:tcPr>
          <w:p>
            <w:pPr>
              <w:spacing w:after="0"/>
              <w:rPr>
                <w:sz w:val="17"/>
                <w:szCs w:val="17"/>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49,315</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20"/>
          </w:cols>
          <w:pgMar w:left="240" w:top="54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5"/>
          <w:szCs w:val="15"/>
          <w:b w:val="1"/>
          <w:bCs w:val="1"/>
          <w:color w:val="auto"/>
        </w:rPr>
        <w:t>SABRE CORPORATION</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CONSOLIDATED BALANCE SHEETS</w:t>
      </w:r>
    </w:p>
    <w:p>
      <w:pPr>
        <w:ind w:left="4380"/>
        <w:spacing w:after="0"/>
        <w:rPr>
          <w:sz w:val="20"/>
          <w:szCs w:val="20"/>
          <w:color w:val="auto"/>
        </w:rPr>
      </w:pPr>
      <w:r>
        <w:rPr>
          <w:rFonts w:ascii="Arial" w:cs="Arial" w:eastAsia="Arial" w:hAnsi="Arial"/>
          <w:sz w:val="15"/>
          <w:szCs w:val="15"/>
          <w:b w:val="1"/>
          <w:bCs w:val="1"/>
          <w:color w:val="auto"/>
        </w:rPr>
        <w:t>(In thousands, except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r>
      <w:tr>
        <w:trPr>
          <w:trHeight w:val="193"/>
        </w:trPr>
        <w:tc>
          <w:tcPr>
            <w:tcW w:w="8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87"/>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467"/>
              <w:spacing w:after="0"/>
              <w:rPr>
                <w:sz w:val="20"/>
                <w:szCs w:val="20"/>
                <w:color w:val="auto"/>
              </w:rPr>
            </w:pPr>
            <w:r>
              <w:rPr>
                <w:rFonts w:ascii="Arial" w:cs="Arial" w:eastAsia="Arial" w:hAnsi="Arial"/>
                <w:sz w:val="11"/>
                <w:szCs w:val="11"/>
                <w:b w:val="1"/>
                <w:bCs w:val="1"/>
                <w:color w:val="auto"/>
              </w:rPr>
              <w:t>2015</w:t>
            </w:r>
          </w:p>
        </w:tc>
      </w:tr>
      <w:tr>
        <w:trPr>
          <w:trHeight w:val="52"/>
        </w:trPr>
        <w:tc>
          <w:tcPr>
            <w:tcW w:w="85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03"/>
        </w:trPr>
        <w:tc>
          <w:tcPr>
            <w:tcW w:w="85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2"/>
        </w:trPr>
        <w:tc>
          <w:tcPr>
            <w:tcW w:w="8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5"/>
        </w:trPr>
        <w:tc>
          <w:tcPr>
            <w:tcW w:w="8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Cash and cash equivalents</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364,114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321,132</w:t>
            </w:r>
          </w:p>
        </w:tc>
      </w:tr>
      <w:tr>
        <w:trPr>
          <w:trHeight w:val="237"/>
        </w:trPr>
        <w:tc>
          <w:tcPr>
            <w:tcW w:w="8580" w:type="dxa"/>
            <w:vAlign w:val="bottom"/>
          </w:tcPr>
          <w:p>
            <w:pPr>
              <w:ind w:left="240"/>
              <w:spacing w:after="0"/>
              <w:rPr>
                <w:sz w:val="20"/>
                <w:szCs w:val="20"/>
                <w:color w:val="auto"/>
              </w:rPr>
            </w:pPr>
            <w:r>
              <w:rPr>
                <w:rFonts w:ascii="Arial" w:cs="Arial" w:eastAsia="Arial" w:hAnsi="Arial"/>
                <w:sz w:val="15"/>
                <w:szCs w:val="15"/>
                <w:color w:val="auto"/>
              </w:rPr>
              <w:t>Accounts receivable, net</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400,667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375,789</w:t>
            </w:r>
          </w:p>
        </w:tc>
      </w:tr>
      <w:tr>
        <w:trPr>
          <w:trHeight w:val="254"/>
        </w:trPr>
        <w:tc>
          <w:tcPr>
            <w:tcW w:w="8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88,600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81,167</w:t>
            </w:r>
          </w:p>
        </w:tc>
      </w:tr>
      <w:tr>
        <w:trPr>
          <w:trHeight w:val="217"/>
        </w:trPr>
        <w:tc>
          <w:tcPr>
            <w:tcW w:w="8580" w:type="dxa"/>
            <w:vAlign w:val="bottom"/>
          </w:tcPr>
          <w:p>
            <w:pPr>
              <w:ind w:left="440"/>
              <w:spacing w:after="0"/>
              <w:rPr>
                <w:sz w:val="20"/>
                <w:szCs w:val="20"/>
                <w:color w:val="auto"/>
              </w:rPr>
            </w:pPr>
            <w:r>
              <w:rPr>
                <w:rFonts w:ascii="Arial" w:cs="Arial" w:eastAsia="Arial" w:hAnsi="Arial"/>
                <w:sz w:val="15"/>
                <w:szCs w:val="15"/>
                <w:color w:val="auto"/>
              </w:rPr>
              <w:t>Total current assets</w:t>
            </w:r>
          </w:p>
        </w:tc>
        <w:tc>
          <w:tcPr>
            <w:tcW w:w="340" w:type="dxa"/>
            <w:vAlign w:val="bottom"/>
          </w:tcPr>
          <w:p>
            <w:pPr>
              <w:spacing w:after="0"/>
              <w:rPr>
                <w:sz w:val="18"/>
                <w:szCs w:val="18"/>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853,381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778,088</w:t>
            </w:r>
          </w:p>
        </w:tc>
      </w:tr>
      <w:tr>
        <w:trPr>
          <w:trHeight w:val="254"/>
        </w:trPr>
        <w:tc>
          <w:tcPr>
            <w:tcW w:w="8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753,279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627,529</w:t>
            </w:r>
          </w:p>
        </w:tc>
      </w:tr>
      <w:tr>
        <w:trPr>
          <w:trHeight w:val="237"/>
        </w:trPr>
        <w:tc>
          <w:tcPr>
            <w:tcW w:w="8580" w:type="dxa"/>
            <w:vAlign w:val="bottom"/>
          </w:tcPr>
          <w:p>
            <w:pPr>
              <w:ind w:left="20"/>
              <w:spacing w:after="0"/>
              <w:rPr>
                <w:sz w:val="20"/>
                <w:szCs w:val="20"/>
                <w:color w:val="auto"/>
              </w:rPr>
            </w:pPr>
            <w:r>
              <w:rPr>
                <w:rFonts w:ascii="Arial" w:cs="Arial" w:eastAsia="Arial" w:hAnsi="Arial"/>
                <w:sz w:val="15"/>
                <w:szCs w:val="15"/>
                <w:color w:val="auto"/>
              </w:rPr>
              <w:t>Investments in joint ventures</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25,582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24,348</w:t>
            </w:r>
          </w:p>
        </w:tc>
      </w:tr>
      <w:tr>
        <w:trPr>
          <w:trHeight w:val="254"/>
        </w:trPr>
        <w:tc>
          <w:tcPr>
            <w:tcW w:w="8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2,548,447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2,440,431</w:t>
            </w:r>
          </w:p>
        </w:tc>
      </w:tr>
      <w:tr>
        <w:trPr>
          <w:trHeight w:val="237"/>
        </w:trPr>
        <w:tc>
          <w:tcPr>
            <w:tcW w:w="8580" w:type="dxa"/>
            <w:vAlign w:val="bottom"/>
          </w:tcPr>
          <w:p>
            <w:pPr>
              <w:ind w:left="20"/>
              <w:spacing w:after="0"/>
              <w:rPr>
                <w:sz w:val="20"/>
                <w:szCs w:val="20"/>
                <w:color w:val="auto"/>
              </w:rPr>
            </w:pPr>
            <w:r>
              <w:rPr>
                <w:rFonts w:ascii="Arial" w:cs="Arial" w:eastAsia="Arial" w:hAnsi="Arial"/>
                <w:sz w:val="15"/>
                <w:szCs w:val="15"/>
                <w:color w:val="auto"/>
              </w:rPr>
              <w:t>Acquired customer relationships, net</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387,632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416,887</w:t>
            </w:r>
          </w:p>
        </w:tc>
      </w:tr>
      <w:tr>
        <w:trPr>
          <w:trHeight w:val="254"/>
        </w:trPr>
        <w:tc>
          <w:tcPr>
            <w:tcW w:w="8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intangible assets, net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387,805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419,666</w:t>
            </w:r>
          </w:p>
        </w:tc>
      </w:tr>
      <w:tr>
        <w:trPr>
          <w:trHeight w:val="237"/>
        </w:trPr>
        <w:tc>
          <w:tcPr>
            <w:tcW w:w="858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95,285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44,464</w:t>
            </w:r>
          </w:p>
        </w:tc>
      </w:tr>
      <w:tr>
        <w:trPr>
          <w:trHeight w:val="254"/>
        </w:trPr>
        <w:tc>
          <w:tcPr>
            <w:tcW w:w="8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673,159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642,214</w:t>
            </w:r>
          </w:p>
        </w:tc>
      </w:tr>
      <w:tr>
        <w:trPr>
          <w:trHeight w:val="245"/>
        </w:trPr>
        <w:tc>
          <w:tcPr>
            <w:tcW w:w="85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assets</w:t>
            </w:r>
          </w:p>
        </w:tc>
        <w:tc>
          <w:tcPr>
            <w:tcW w:w="3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5,724,570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5,393,627</w:t>
            </w:r>
          </w:p>
        </w:tc>
      </w:tr>
      <w:tr>
        <w:trPr>
          <w:trHeight w:val="230"/>
        </w:trPr>
        <w:tc>
          <w:tcPr>
            <w:tcW w:w="8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3"/>
        </w:trPr>
        <w:tc>
          <w:tcPr>
            <w:tcW w:w="8580" w:type="dxa"/>
            <w:vAlign w:val="bottom"/>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2"/>
        </w:trPr>
        <w:tc>
          <w:tcPr>
            <w:tcW w:w="8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7"/>
        </w:trPr>
        <w:tc>
          <w:tcPr>
            <w:tcW w:w="8580" w:type="dxa"/>
            <w:vAlign w:val="bottom"/>
          </w:tcPr>
          <w:p>
            <w:pPr>
              <w:ind w:left="240"/>
              <w:spacing w:after="0"/>
              <w:rPr>
                <w:sz w:val="20"/>
                <w:szCs w:val="20"/>
                <w:color w:val="auto"/>
              </w:rPr>
            </w:pPr>
            <w:r>
              <w:rPr>
                <w:rFonts w:ascii="Arial" w:cs="Arial" w:eastAsia="Arial" w:hAnsi="Arial"/>
                <w:sz w:val="15"/>
                <w:szCs w:val="15"/>
                <w:color w:val="auto"/>
              </w:rPr>
              <w:t>Accounts payable</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168,576</w:t>
            </w:r>
          </w:p>
        </w:tc>
        <w:tc>
          <w:tcPr>
            <w:tcW w:w="100" w:type="dxa"/>
            <w:vAlign w:val="bottom"/>
          </w:tcPr>
          <w:p>
            <w:pPr>
              <w:spacing w:after="0"/>
              <w:rPr>
                <w:sz w:val="20"/>
                <w:szCs w:val="20"/>
                <w:color w:val="auto"/>
              </w:rPr>
            </w:pPr>
          </w:p>
        </w:tc>
        <w:tc>
          <w:tcPr>
            <w:tcW w:w="44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138,421</w:t>
            </w:r>
          </w:p>
        </w:tc>
      </w:tr>
      <w:tr>
        <w:trPr>
          <w:trHeight w:val="254"/>
        </w:trPr>
        <w:tc>
          <w:tcPr>
            <w:tcW w:w="8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Accrued compensation and related benefits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102,037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99,382</w:t>
            </w:r>
          </w:p>
        </w:tc>
      </w:tr>
      <w:tr>
        <w:trPr>
          <w:trHeight w:val="237"/>
        </w:trPr>
        <w:tc>
          <w:tcPr>
            <w:tcW w:w="8580" w:type="dxa"/>
            <w:vAlign w:val="bottom"/>
          </w:tcPr>
          <w:p>
            <w:pPr>
              <w:ind w:left="240"/>
              <w:spacing w:after="0"/>
              <w:rPr>
                <w:sz w:val="20"/>
                <w:szCs w:val="20"/>
                <w:color w:val="auto"/>
              </w:rPr>
            </w:pPr>
            <w:r>
              <w:rPr>
                <w:rFonts w:ascii="Arial" w:cs="Arial" w:eastAsia="Arial" w:hAnsi="Arial"/>
                <w:sz w:val="15"/>
                <w:szCs w:val="15"/>
                <w:color w:val="auto"/>
              </w:rPr>
              <w:t>Accrued subscriber incentives</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216,011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185,270</w:t>
            </w:r>
          </w:p>
        </w:tc>
      </w:tr>
      <w:tr>
        <w:trPr>
          <w:trHeight w:val="254"/>
        </w:trPr>
        <w:tc>
          <w:tcPr>
            <w:tcW w:w="8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Deferred revenues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187,108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165,124</w:t>
            </w:r>
          </w:p>
        </w:tc>
      </w:tr>
      <w:tr>
        <w:trPr>
          <w:trHeight w:val="237"/>
        </w:trPr>
        <w:tc>
          <w:tcPr>
            <w:tcW w:w="8580" w:type="dxa"/>
            <w:vAlign w:val="bottom"/>
          </w:tcPr>
          <w:p>
            <w:pPr>
              <w:ind w:left="240"/>
              <w:spacing w:after="0"/>
              <w:rPr>
                <w:sz w:val="20"/>
                <w:szCs w:val="20"/>
                <w:color w:val="auto"/>
              </w:rPr>
            </w:pPr>
            <w:r>
              <w:rPr>
                <w:rFonts w:ascii="Arial" w:cs="Arial" w:eastAsia="Arial" w:hAnsi="Arial"/>
                <w:sz w:val="15"/>
                <w:szCs w:val="15"/>
                <w:color w:val="auto"/>
              </w:rPr>
              <w:t>Other accrued liabilities</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222,879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221,976</w:t>
            </w:r>
          </w:p>
        </w:tc>
      </w:tr>
      <w:tr>
        <w:trPr>
          <w:trHeight w:val="254"/>
        </w:trPr>
        <w:tc>
          <w:tcPr>
            <w:tcW w:w="8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Current portion of debt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169,246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190,315</w:t>
            </w:r>
          </w:p>
        </w:tc>
      </w:tr>
      <w:tr>
        <w:trPr>
          <w:trHeight w:val="238"/>
        </w:trPr>
        <w:tc>
          <w:tcPr>
            <w:tcW w:w="85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Tax Receivable Agreement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100,501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r>
      <w:tr>
        <w:trPr>
          <w:trHeight w:val="233"/>
        </w:trPr>
        <w:tc>
          <w:tcPr>
            <w:tcW w:w="85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current liabilities</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1,166,358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1,000,488</w:t>
            </w:r>
          </w:p>
        </w:tc>
      </w:tr>
      <w:tr>
        <w:trPr>
          <w:trHeight w:val="237"/>
        </w:trPr>
        <w:tc>
          <w:tcPr>
            <w:tcW w:w="858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88,957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83,562</w:t>
            </w:r>
          </w:p>
        </w:tc>
      </w:tr>
      <w:tr>
        <w:trPr>
          <w:trHeight w:val="254"/>
        </w:trPr>
        <w:tc>
          <w:tcPr>
            <w:tcW w:w="8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567,359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656,093</w:t>
            </w:r>
          </w:p>
        </w:tc>
      </w:tr>
      <w:tr>
        <w:trPr>
          <w:trHeight w:val="237"/>
        </w:trPr>
        <w:tc>
          <w:tcPr>
            <w:tcW w:w="858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3,276,281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3,169,344</w:t>
            </w:r>
          </w:p>
        </w:tc>
      </w:tr>
      <w:tr>
        <w:trPr>
          <w:trHeight w:val="234"/>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Commitments and contingencies (Note 15)</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03"/>
        </w:trPr>
        <w:tc>
          <w:tcPr>
            <w:tcW w:w="858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2"/>
        </w:trPr>
        <w:tc>
          <w:tcPr>
            <w:tcW w:w="8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8"/>
        </w:trPr>
        <w:tc>
          <w:tcPr>
            <w:tcW w:w="8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Common Stock: $0.01 par value; 450,000,000 authorized shares; 285,461,125 and 279,082,473 shares issued; 276,949,802</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858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and 274,955,830 shares outstanding at December 31, 2016 and 2015, respectively</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2,854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2,790</w:t>
            </w:r>
          </w:p>
        </w:tc>
      </w:tr>
      <w:tr>
        <w:trPr>
          <w:trHeight w:val="237"/>
        </w:trPr>
        <w:tc>
          <w:tcPr>
            <w:tcW w:w="8580" w:type="dxa"/>
            <w:vAlign w:val="bottom"/>
          </w:tcPr>
          <w:p>
            <w:pPr>
              <w:ind w:left="240"/>
              <w:spacing w:after="0"/>
              <w:rPr>
                <w:sz w:val="20"/>
                <w:szCs w:val="20"/>
                <w:color w:val="auto"/>
              </w:rPr>
            </w:pPr>
            <w:r>
              <w:rPr>
                <w:rFonts w:ascii="Arial" w:cs="Arial" w:eastAsia="Arial" w:hAnsi="Arial"/>
                <w:sz w:val="15"/>
                <w:szCs w:val="15"/>
                <w:color w:val="auto"/>
              </w:rPr>
              <w:t>Additional paid-in capital</w:t>
            </w:r>
          </w:p>
        </w:tc>
        <w:tc>
          <w:tcPr>
            <w:tcW w:w="34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2,105,843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2,016,325</w:t>
            </w:r>
          </w:p>
        </w:tc>
      </w:tr>
      <w:tr>
        <w:trPr>
          <w:trHeight w:val="254"/>
        </w:trPr>
        <w:tc>
          <w:tcPr>
            <w:tcW w:w="8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Treasury stock, at cost, 8,511,323 and 4,126,643 shares at December 31, 2016 and 2015 respectively</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(221,746)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(110,548)</w:t>
            </w:r>
          </w:p>
        </w:tc>
      </w:tr>
      <w:tr>
        <w:trPr>
          <w:trHeight w:val="237"/>
        </w:trPr>
        <w:tc>
          <w:tcPr>
            <w:tcW w:w="8580" w:type="dxa"/>
            <w:vAlign w:val="bottom"/>
          </w:tcPr>
          <w:p>
            <w:pPr>
              <w:ind w:left="240"/>
              <w:spacing w:after="0"/>
              <w:rPr>
                <w:sz w:val="20"/>
                <w:szCs w:val="20"/>
                <w:color w:val="auto"/>
              </w:rPr>
            </w:pPr>
            <w:r>
              <w:rPr>
                <w:rFonts w:ascii="Arial" w:cs="Arial" w:eastAsia="Arial" w:hAnsi="Arial"/>
                <w:sz w:val="15"/>
                <w:szCs w:val="15"/>
                <w:color w:val="auto"/>
              </w:rPr>
              <w:t>Retained deficit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(1,141,116)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(1,328,730)</w:t>
            </w:r>
          </w:p>
        </w:tc>
      </w:tr>
      <w:tr>
        <w:trPr>
          <w:trHeight w:val="254"/>
        </w:trPr>
        <w:tc>
          <w:tcPr>
            <w:tcW w:w="8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Accumulated other comprehensive loss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(122,799)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(97,135)</w:t>
            </w:r>
          </w:p>
        </w:tc>
      </w:tr>
      <w:tr>
        <w:trPr>
          <w:trHeight w:val="238"/>
        </w:trPr>
        <w:tc>
          <w:tcPr>
            <w:tcW w:w="85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Noncontrolling interest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2,579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1,438</w:t>
            </w:r>
          </w:p>
        </w:tc>
      </w:tr>
      <w:tr>
        <w:trPr>
          <w:trHeight w:val="225"/>
        </w:trPr>
        <w:tc>
          <w:tcPr>
            <w:tcW w:w="85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625,615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484,140</w:t>
            </w:r>
          </w:p>
        </w:tc>
      </w:tr>
      <w:tr>
        <w:trPr>
          <w:trHeight w:val="218"/>
        </w:trPr>
        <w:tc>
          <w:tcPr>
            <w:tcW w:w="8580" w:type="dxa"/>
            <w:vAlign w:val="bottom"/>
          </w:tcPr>
          <w:p>
            <w:pPr>
              <w:ind w:left="440"/>
              <w:spacing w:after="0"/>
              <w:rPr>
                <w:sz w:val="20"/>
                <w:szCs w:val="20"/>
                <w:color w:val="auto"/>
              </w:rPr>
            </w:pPr>
            <w:r>
              <w:rPr>
                <w:rFonts w:ascii="Arial" w:cs="Arial" w:eastAsia="Arial" w:hAnsi="Arial"/>
                <w:sz w:val="15"/>
                <w:szCs w:val="15"/>
                <w:color w:val="auto"/>
              </w:rPr>
              <w:t>Total liabilities and stockholders’ equity</w:t>
            </w:r>
          </w:p>
        </w:tc>
        <w:tc>
          <w:tcPr>
            <w:tcW w:w="3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5,724,570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5,393,627</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See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420"/>
          </w:cols>
          <w:pgMar w:left="240" w:top="54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5"/>
          <w:szCs w:val="15"/>
          <w:b w:val="1"/>
          <w:bCs w:val="1"/>
          <w:color w:val="auto"/>
        </w:rPr>
        <w:t>SABRE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93"/>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7"/>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87"/>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67"/>
              <w:spacing w:after="0"/>
              <w:rPr>
                <w:sz w:val="20"/>
                <w:szCs w:val="20"/>
                <w:color w:val="auto"/>
              </w:rPr>
            </w:pPr>
            <w:r>
              <w:rPr>
                <w:rFonts w:ascii="Arial" w:cs="Arial" w:eastAsia="Arial" w:hAnsi="Arial"/>
                <w:sz w:val="11"/>
                <w:szCs w:val="11"/>
                <w:b w:val="1"/>
                <w:bCs w:val="1"/>
                <w:color w:val="auto"/>
              </w:rPr>
              <w:t>2014</w:t>
            </w:r>
          </w:p>
        </w:tc>
      </w:tr>
      <w:tr>
        <w:trPr>
          <w:trHeight w:val="52"/>
        </w:trPr>
        <w:tc>
          <w:tcPr>
            <w:tcW w:w="70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5"/>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246,939</w:t>
            </w:r>
          </w:p>
        </w:tc>
        <w:tc>
          <w:tcPr>
            <w:tcW w:w="440" w:type="dxa"/>
            <w:vAlign w:val="bottom"/>
            <w:gridSpan w:val="2"/>
          </w:tcPr>
          <w:p>
            <w:pPr>
              <w:jc w:val="right"/>
              <w:ind w:right="14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548,963</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71,955</w:t>
            </w:r>
          </w:p>
        </w:tc>
      </w:tr>
      <w:tr>
        <w:trPr>
          <w:trHeight w:val="23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413,986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351,480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289,630</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Amortization of upfront incentive consideration</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55,724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43,521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45,358</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Litigation-related credits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(25,527)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(60,998)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(41,672)</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 expense</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48,524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29,971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20,094</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Allowance for doubtful accounts</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10,567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8,558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10,356</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Deferred income taxes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48,454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97,225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(3,829)</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Joint venture equity income</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(14,842)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(12,082)</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Dividends received from joint venture investments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640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28,700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2,261</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9,611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6,759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6,316</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Debt modification costs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3,290</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Gain on remeasurement of previously-held joint venture interest</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(78,082)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on extinguishment of debt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3,683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38,783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33,538</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3,556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6,023</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(income) from discontinued operations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(314,408)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38,918</w:t>
            </w:r>
          </w:p>
        </w:tc>
      </w:tr>
      <w:tr>
        <w:trPr>
          <w:trHeight w:val="203"/>
        </w:trPr>
        <w:tc>
          <w:tcPr>
            <w:tcW w:w="7080" w:type="dxa"/>
            <w:vAlign w:val="bottom"/>
          </w:tcPr>
          <w:p>
            <w:pPr>
              <w:ind w:left="24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7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and other receivables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10,662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(7,295)</w:t>
            </w:r>
          </w:p>
        </w:tc>
      </w:tr>
      <w:tr>
        <w:trPr>
          <w:trHeight w:val="237"/>
        </w:trPr>
        <w:tc>
          <w:tcPr>
            <w:tcW w:w="7080" w:type="dxa"/>
            <w:vAlign w:val="bottom"/>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(11,809)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(13,255)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6,948</w:t>
            </w:r>
          </w:p>
        </w:tc>
      </w:tr>
      <w:tr>
        <w:trPr>
          <w:trHeight w:val="254"/>
        </w:trPr>
        <w:tc>
          <w:tcPr>
            <w:tcW w:w="7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Capitalized implementation costs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(37,811)</w:t>
            </w:r>
          </w:p>
        </w:tc>
      </w:tr>
      <w:tr>
        <w:trPr>
          <w:trHeight w:val="237"/>
        </w:trPr>
        <w:tc>
          <w:tcPr>
            <w:tcW w:w="7080" w:type="dxa"/>
            <w:vAlign w:val="bottom"/>
          </w:tcPr>
          <w:p>
            <w:pPr>
              <w:ind w:left="440"/>
              <w:spacing w:after="0"/>
              <w:rPr>
                <w:sz w:val="20"/>
                <w:szCs w:val="20"/>
                <w:color w:val="auto"/>
              </w:rPr>
            </w:pPr>
            <w:r>
              <w:rPr>
                <w:rFonts w:ascii="Arial" w:cs="Arial" w:eastAsia="Arial" w:hAnsi="Arial"/>
                <w:sz w:val="15"/>
                <w:szCs w:val="15"/>
                <w:color w:val="auto"/>
              </w:rPr>
              <w:t>Upfront incentive consideration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(70,702)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(63,510)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(50,936)</w:t>
            </w:r>
          </w:p>
        </w:tc>
      </w:tr>
      <w:tr>
        <w:trPr>
          <w:trHeight w:val="254"/>
        </w:trPr>
        <w:tc>
          <w:tcPr>
            <w:tcW w:w="7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Other assets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(78,873)</w:t>
            </w:r>
          </w:p>
        </w:tc>
      </w:tr>
      <w:tr>
        <w:trPr>
          <w:trHeight w:val="237"/>
        </w:trPr>
        <w:tc>
          <w:tcPr>
            <w:tcW w:w="7080" w:type="dxa"/>
            <w:vAlign w:val="bottom"/>
          </w:tcPr>
          <w:p>
            <w:pPr>
              <w:ind w:left="440"/>
              <w:spacing w:after="0"/>
              <w:rPr>
                <w:sz w:val="20"/>
                <w:szCs w:val="20"/>
                <w:color w:val="auto"/>
              </w:rPr>
            </w:pPr>
            <w:r>
              <w:rPr>
                <w:rFonts w:ascii="Arial" w:cs="Arial" w:eastAsia="Arial" w:hAnsi="Arial"/>
                <w:sz w:val="15"/>
                <w:szCs w:val="15"/>
                <w:color w:val="auto"/>
              </w:rPr>
              <w:t>Accrued compensation and related benefits</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2,768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18,268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(5,301)</w:t>
            </w:r>
          </w:p>
        </w:tc>
      </w:tr>
      <w:tr>
        <w:trPr>
          <w:trHeight w:val="254"/>
        </w:trPr>
        <w:tc>
          <w:tcPr>
            <w:tcW w:w="7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payable and other accrued liabilities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56,787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8,721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52,128</w:t>
            </w:r>
          </w:p>
        </w:tc>
      </w:tr>
      <w:tr>
        <w:trPr>
          <w:trHeight w:val="238"/>
        </w:trPr>
        <w:tc>
          <w:tcPr>
            <w:tcW w:w="70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Deferred revenue including upfront solution fees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22,663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9,390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38,643</w:t>
            </w:r>
          </w:p>
        </w:tc>
      </w:tr>
      <w:tr>
        <w:trPr>
          <w:trHeight w:val="233"/>
        </w:trPr>
        <w:tc>
          <w:tcPr>
            <w:tcW w:w="70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Cash provided by operating activities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699,400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529,207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387,659</w:t>
            </w:r>
          </w:p>
        </w:tc>
      </w:tr>
      <w:tr>
        <w:trPr>
          <w:trHeight w:val="203"/>
        </w:trPr>
        <w:tc>
          <w:tcPr>
            <w:tcW w:w="708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Additions to property and equipment</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(327,647)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(286,697)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(227,227)</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Acquisitions, net of cash acquired</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(164,120)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(442,344)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(31,799)</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Proceeds from sale of marketable securities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45,959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r>
      <w:tr>
        <w:trPr>
          <w:trHeight w:val="238"/>
        </w:trPr>
        <w:tc>
          <w:tcPr>
            <w:tcW w:w="7080" w:type="dxa"/>
            <w:vAlign w:val="bottom"/>
          </w:tcPr>
          <w:p>
            <w:pPr>
              <w:ind w:left="240"/>
              <w:spacing w:after="0"/>
              <w:rPr>
                <w:sz w:val="20"/>
                <w:szCs w:val="20"/>
                <w:color w:val="auto"/>
              </w:rPr>
            </w:pPr>
            <w:r>
              <w:rPr>
                <w:rFonts w:ascii="Arial" w:cs="Arial" w:eastAsia="Arial" w:hAnsi="Arial"/>
                <w:sz w:val="15"/>
                <w:szCs w:val="15"/>
                <w:color w:val="auto"/>
              </w:rPr>
              <w:t>Other investing activities</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235</w:t>
            </w:r>
          </w:p>
        </w:tc>
      </w:tr>
      <w:tr>
        <w:trPr>
          <w:trHeight w:val="233"/>
        </w:trPr>
        <w:tc>
          <w:tcPr>
            <w:tcW w:w="708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5"/>
                <w:szCs w:val="15"/>
                <w:color w:val="auto"/>
              </w:rPr>
              <w:t>Cash used in investing activities</w:t>
            </w:r>
          </w:p>
        </w:tc>
        <w:tc>
          <w:tcPr>
            <w:tcW w:w="3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(445,808)</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(729,041)</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(258,791)</w:t>
            </w:r>
          </w:p>
        </w:tc>
      </w:tr>
      <w:tr>
        <w:trPr>
          <w:trHeight w:val="203"/>
        </w:trPr>
        <w:tc>
          <w:tcPr>
            <w:tcW w:w="708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Proceeds of borrowings from lenders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1,055,000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1,252,000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148,307</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Payments on borrowings from lenders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(999,868)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(960,807)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(802,664)</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Debt prepayment fees and issuance costs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(11,377)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(30,490)</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Acquisition-related contingent consideration paid</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(27,000)</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Proceeds from issuance of common stock in initial public offering, net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672,137</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Net proceeds on the settlement of equity-based awards</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27,344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47,414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13,809</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Cash dividends paid to common stockholders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(47,904)</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Repurchase of common stock</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(98,770)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(16,769)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4,577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1,860</w:t>
            </w:r>
          </w:p>
        </w:tc>
      </w:tr>
      <w:tr>
        <w:trPr>
          <w:trHeight w:val="217"/>
        </w:trPr>
        <w:tc>
          <w:tcPr>
            <w:tcW w:w="7080" w:type="dxa"/>
            <w:vAlign w:val="bottom"/>
          </w:tcPr>
          <w:p>
            <w:pPr>
              <w:ind w:left="740"/>
              <w:spacing w:after="0"/>
              <w:rPr>
                <w:sz w:val="20"/>
                <w:szCs w:val="20"/>
                <w:color w:val="auto"/>
              </w:rPr>
            </w:pPr>
            <w:r>
              <w:rPr>
                <w:rFonts w:ascii="Arial" w:cs="Arial" w:eastAsia="Arial" w:hAnsi="Arial"/>
                <w:sz w:val="15"/>
                <w:szCs w:val="15"/>
                <w:color w:val="auto"/>
              </w:rPr>
              <w:t>Cash (used in) provided by financing activities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(190,025)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93,144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(71,945)</w:t>
            </w:r>
          </w:p>
        </w:tc>
      </w:tr>
      <w:tr>
        <w:trPr>
          <w:trHeight w:val="23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Cash (used in) provided by operating activities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(19,478)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(205,988)</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Cash provided by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278,834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(1,965)</w:t>
            </w:r>
          </w:p>
        </w:tc>
      </w:tr>
      <w:tr>
        <w:trPr>
          <w:trHeight w:val="217"/>
        </w:trPr>
        <w:tc>
          <w:tcPr>
            <w:tcW w:w="7080" w:type="dxa"/>
            <w:vAlign w:val="bottom"/>
          </w:tcPr>
          <w:p>
            <w:pPr>
              <w:ind w:left="740"/>
              <w:spacing w:after="0"/>
              <w:rPr>
                <w:sz w:val="20"/>
                <w:szCs w:val="20"/>
                <w:color w:val="auto"/>
              </w:rPr>
            </w:pPr>
            <w:r>
              <w:rPr>
                <w:rFonts w:ascii="Arial" w:cs="Arial" w:eastAsia="Arial" w:hAnsi="Arial"/>
                <w:sz w:val="15"/>
                <w:szCs w:val="15"/>
                <w:color w:val="auto"/>
              </w:rPr>
              <w:t>Cash (used in) provided by discontinued operations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(19,478)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279,070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(207,953)</w:t>
            </w: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(1,527)</w:t>
            </w:r>
          </w:p>
        </w:tc>
      </w:tr>
      <w:tr>
        <w:trPr>
          <w:trHeight w:val="237"/>
        </w:trPr>
        <w:tc>
          <w:tcPr>
            <w:tcW w:w="7080" w:type="dxa"/>
            <w:vAlign w:val="bottom"/>
          </w:tcPr>
          <w:p>
            <w:pPr>
              <w:ind w:left="20"/>
              <w:spacing w:after="0"/>
              <w:rPr>
                <w:sz w:val="20"/>
                <w:szCs w:val="20"/>
                <w:color w:val="auto"/>
              </w:rPr>
            </w:pPr>
            <w:r>
              <w:rPr>
                <w:rFonts w:ascii="Arial" w:cs="Arial" w:eastAsia="Arial" w:hAnsi="Arial"/>
                <w:sz w:val="15"/>
                <w:szCs w:val="15"/>
                <w:color w:val="auto"/>
              </w:rPr>
              <w:t>Increase (decrease) in cash and cash equivalents</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42,982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165,453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(152,557)</w:t>
            </w:r>
          </w:p>
        </w:tc>
      </w:tr>
      <w:tr>
        <w:trPr>
          <w:trHeight w:val="246"/>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321,132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155,679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308,236</w:t>
            </w:r>
          </w:p>
        </w:tc>
      </w:tr>
      <w:tr>
        <w:trPr>
          <w:trHeight w:val="258"/>
        </w:trPr>
        <w:tc>
          <w:tcPr>
            <w:tcW w:w="7080" w:type="dxa"/>
            <w:vAlign w:val="bottom"/>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3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364,114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321,132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155,679</w:t>
            </w:r>
          </w:p>
        </w:tc>
      </w:tr>
      <w:tr>
        <w:trPr>
          <w:trHeight w:val="200"/>
        </w:trPr>
        <w:tc>
          <w:tcPr>
            <w:tcW w:w="7080" w:type="dxa"/>
            <w:vAlign w:val="bottom"/>
          </w:tcPr>
          <w:p>
            <w:pPr>
              <w:ind w:left="20"/>
              <w:spacing w:after="0"/>
              <w:rPr>
                <w:sz w:val="20"/>
                <w:szCs w:val="20"/>
                <w:color w:val="auto"/>
              </w:rPr>
            </w:pPr>
            <w:r>
              <w:rPr>
                <w:rFonts w:ascii="Arial" w:cs="Arial" w:eastAsia="Arial" w:hAnsi="Arial"/>
                <w:sz w:val="15"/>
                <w:szCs w:val="15"/>
                <w:color w:val="auto"/>
              </w:rPr>
              <w:t>Cash payments for income taxes</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39,032</w:t>
            </w:r>
          </w:p>
        </w:tc>
        <w:tc>
          <w:tcPr>
            <w:tcW w:w="440" w:type="dxa"/>
            <w:vAlign w:val="bottom"/>
            <w:gridSpan w:val="2"/>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27,816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47,545</w:t>
            </w:r>
          </w:p>
        </w:tc>
      </w:tr>
      <w:tr>
        <w:trPr>
          <w:trHeight w:val="237"/>
        </w:trPr>
        <w:tc>
          <w:tcPr>
            <w:tcW w:w="7080" w:type="dxa"/>
            <w:vAlign w:val="bottom"/>
          </w:tcPr>
          <w:p>
            <w:pPr>
              <w:ind w:left="20"/>
              <w:spacing w:after="0"/>
              <w:rPr>
                <w:sz w:val="20"/>
                <w:szCs w:val="20"/>
                <w:color w:val="auto"/>
              </w:rPr>
            </w:pPr>
            <w:r>
              <w:rPr>
                <w:rFonts w:ascii="Arial" w:cs="Arial" w:eastAsia="Arial" w:hAnsi="Arial"/>
                <w:sz w:val="15"/>
                <w:szCs w:val="15"/>
                <w:color w:val="auto"/>
              </w:rPr>
              <w:t>Cash payments for interest</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151,495</w:t>
            </w:r>
          </w:p>
        </w:tc>
        <w:tc>
          <w:tcPr>
            <w:tcW w:w="440" w:type="dxa"/>
            <w:vAlign w:val="bottom"/>
            <w:gridSpan w:val="2"/>
          </w:tcPr>
          <w:p>
            <w:pPr>
              <w:jc w:val="right"/>
              <w:ind w:right="14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154,307</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197,782</w:t>
            </w:r>
          </w:p>
        </w:tc>
      </w:tr>
      <w:tr>
        <w:trPr>
          <w:trHeight w:val="254"/>
        </w:trPr>
        <w:tc>
          <w:tcPr>
            <w:tcW w:w="7080" w:type="dxa"/>
            <w:vAlign w:val="bottom"/>
          </w:tcPr>
          <w:p>
            <w:pPr>
              <w:ind w:left="20"/>
              <w:spacing w:after="0"/>
              <w:rPr>
                <w:sz w:val="20"/>
                <w:szCs w:val="20"/>
                <w:color w:val="auto"/>
              </w:rPr>
            </w:pPr>
            <w:r>
              <w:rPr>
                <w:rFonts w:ascii="Arial" w:cs="Arial" w:eastAsia="Arial" w:hAnsi="Arial"/>
                <w:sz w:val="15"/>
                <w:szCs w:val="15"/>
                <w:color w:val="auto"/>
              </w:rPr>
              <w:t>Capitalized interest</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13,887</w:t>
            </w:r>
          </w:p>
        </w:tc>
        <w:tc>
          <w:tcPr>
            <w:tcW w:w="440" w:type="dxa"/>
            <w:vAlign w:val="bottom"/>
            <w:gridSpan w:val="2"/>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11,981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13,412</w:t>
            </w:r>
          </w:p>
        </w:tc>
      </w:tr>
      <w:tr>
        <w:trPr>
          <w:trHeight w:val="228"/>
        </w:trPr>
        <w:tc>
          <w:tcPr>
            <w:tcW w:w="7080" w:type="dxa"/>
            <w:vAlign w:val="bottom"/>
          </w:tcPr>
          <w:p>
            <w:pPr>
              <w:ind w:left="20"/>
              <w:spacing w:after="0"/>
              <w:rPr>
                <w:sz w:val="20"/>
                <w:szCs w:val="20"/>
                <w:color w:val="auto"/>
              </w:rPr>
            </w:pPr>
            <w:r>
              <w:rPr>
                <w:rFonts w:ascii="Arial" w:cs="Arial" w:eastAsia="Arial" w:hAnsi="Arial"/>
                <w:sz w:val="15"/>
                <w:szCs w:val="15"/>
                <w:color w:val="auto"/>
              </w:rPr>
              <w:t>Preferred shares dividend</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46"/>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11,381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See Notes to Consolidated Financial Statements.</w:t>
      </w:r>
    </w:p>
    <w:p>
      <w:pPr>
        <w:sectPr>
          <w:pgSz w:w="11900" w:h="16838" w:orient="portrait"/>
          <w:cols w:equalWidth="0" w:num="1">
            <w:col w:w="11420"/>
          </w:cols>
          <w:pgMar w:left="240" w:top="540" w:right="239" w:bottom="124"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540" w:right="239" w:bottom="124"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5"/>
          <w:szCs w:val="15"/>
          <w:b w:val="1"/>
          <w:bCs w:val="1"/>
          <w:color w:val="auto"/>
        </w:rPr>
        <w:t>SABRE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 (DEFICIT)</w:t>
      </w:r>
    </w:p>
    <w:p>
      <w:pPr>
        <w:jc w:val="center"/>
        <w:spacing w:after="0"/>
        <w:rPr>
          <w:sz w:val="20"/>
          <w:szCs w:val="20"/>
          <w:color w:val="auto"/>
        </w:rPr>
      </w:pPr>
      <w:r>
        <w:rPr>
          <w:rFonts w:ascii="Arial" w:cs="Arial" w:eastAsia="Arial" w:hAnsi="Arial"/>
          <w:sz w:val="15"/>
          <w:szCs w:val="15"/>
          <w:b w:val="1"/>
          <w:bCs w:val="1"/>
          <w:color w:val="auto"/>
        </w:rPr>
        <w:t>(In thousands, except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2640" w:type="dxa"/>
            <w:vAlign w:val="bottom"/>
          </w:tcPr>
          <w:p>
            <w:pPr>
              <w:spacing w:after="0"/>
              <w:rPr>
                <w:sz w:val="9"/>
                <w:szCs w:val="9"/>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8"/>
                <w:szCs w:val="8"/>
                <w:b w:val="1"/>
                <w:bCs w:val="1"/>
                <w:color w:val="auto"/>
                <w:w w:val="99"/>
              </w:rPr>
              <w:t>Temporary Equity</w:t>
            </w:r>
          </w:p>
        </w:tc>
        <w:tc>
          <w:tcPr>
            <w:tcW w:w="1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7"/>
          </w:tcPr>
          <w:p>
            <w:pPr>
              <w:ind w:left="40"/>
              <w:spacing w:after="0"/>
              <w:rPr>
                <w:sz w:val="20"/>
                <w:szCs w:val="20"/>
                <w:color w:val="auto"/>
              </w:rPr>
            </w:pPr>
            <w:r>
              <w:rPr>
                <w:rFonts w:ascii="Arial" w:cs="Arial" w:eastAsia="Arial" w:hAnsi="Arial"/>
                <w:sz w:val="8"/>
                <w:szCs w:val="8"/>
                <w:b w:val="1"/>
                <w:bCs w:val="1"/>
                <w:color w:val="auto"/>
              </w:rPr>
              <w:t>Stockholders’ Equity (Deficit)</w:t>
            </w: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640" w:type="dxa"/>
            <w:vAlign w:val="bottom"/>
          </w:tcPr>
          <w:p>
            <w:pPr>
              <w:spacing w:after="0"/>
              <w:rPr>
                <w:sz w:val="10"/>
                <w:szCs w:val="10"/>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8"/>
                <w:szCs w:val="8"/>
                <w:b w:val="1"/>
                <w:bCs w:val="1"/>
                <w:color w:val="auto"/>
              </w:rPr>
              <w:t>Series A Redeemable</w:t>
            </w:r>
          </w:p>
        </w:tc>
        <w:tc>
          <w:tcPr>
            <w:tcW w:w="1580" w:type="dxa"/>
            <w:vAlign w:val="bottom"/>
            <w:gridSpan w:val="5"/>
            <w:vMerge w:val="restart"/>
          </w:tcPr>
          <w:p>
            <w:pPr>
              <w:ind w:left="440"/>
              <w:spacing w:after="0"/>
              <w:rPr>
                <w:sz w:val="20"/>
                <w:szCs w:val="20"/>
                <w:color w:val="auto"/>
              </w:rPr>
            </w:pPr>
            <w:r>
              <w:rPr>
                <w:rFonts w:ascii="Arial" w:cs="Arial" w:eastAsia="Arial" w:hAnsi="Arial"/>
                <w:sz w:val="8"/>
                <w:szCs w:val="8"/>
                <w:b w:val="1"/>
                <w:bCs w:val="1"/>
                <w:color w:val="auto"/>
              </w:rPr>
              <w:t>Common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6"/>
            <w:vMerge w:val="restart"/>
          </w:tcPr>
          <w:p>
            <w:pPr>
              <w:ind w:left="420"/>
              <w:spacing w:after="0"/>
              <w:rPr>
                <w:sz w:val="20"/>
                <w:szCs w:val="20"/>
                <w:color w:val="auto"/>
              </w:rPr>
            </w:pPr>
            <w:r>
              <w:rPr>
                <w:rFonts w:ascii="Arial" w:cs="Arial" w:eastAsia="Arial" w:hAnsi="Arial"/>
                <w:sz w:val="8"/>
                <w:szCs w:val="8"/>
                <w:b w:val="1"/>
                <w:bCs w:val="1"/>
                <w:color w:val="auto"/>
              </w:rPr>
              <w:t>Treasury Stock</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center"/>
              <w:ind w:right="7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86"/>
        </w:trPr>
        <w:tc>
          <w:tcPr>
            <w:tcW w:w="2640" w:type="dxa"/>
            <w:vAlign w:val="bottom"/>
          </w:tcPr>
          <w:p>
            <w:pPr>
              <w:spacing w:after="0"/>
              <w:rPr>
                <w:sz w:val="7"/>
                <w:szCs w:val="7"/>
                <w:color w:val="auto"/>
              </w:rPr>
            </w:pPr>
          </w:p>
        </w:tc>
        <w:tc>
          <w:tcPr>
            <w:tcW w:w="1640" w:type="dxa"/>
            <w:vAlign w:val="bottom"/>
            <w:gridSpan w:val="5"/>
          </w:tcPr>
          <w:p>
            <w:pPr>
              <w:jc w:val="center"/>
              <w:ind w:right="80"/>
              <w:spacing w:after="0" w:line="86" w:lineRule="exact"/>
              <w:rPr>
                <w:sz w:val="20"/>
                <w:szCs w:val="20"/>
                <w:color w:val="auto"/>
              </w:rPr>
            </w:pPr>
            <w:r>
              <w:rPr>
                <w:rFonts w:ascii="Arial" w:cs="Arial" w:eastAsia="Arial" w:hAnsi="Arial"/>
                <w:sz w:val="8"/>
                <w:szCs w:val="8"/>
                <w:b w:val="1"/>
                <w:bCs w:val="1"/>
                <w:color w:val="auto"/>
              </w:rPr>
              <w:t>Preferred Stock</w:t>
            </w:r>
          </w:p>
        </w:tc>
        <w:tc>
          <w:tcPr>
            <w:tcW w:w="15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gridSpan w:val="6"/>
            <w:vMerge w:val="continue"/>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6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restart"/>
          </w:tcPr>
          <w:p>
            <w:pPr>
              <w:jc w:val="center"/>
              <w:ind w:right="200"/>
              <w:spacing w:after="0" w:line="86" w:lineRule="exact"/>
              <w:rPr>
                <w:sz w:val="20"/>
                <w:szCs w:val="20"/>
                <w:color w:val="auto"/>
              </w:rPr>
            </w:pPr>
            <w:r>
              <w:rPr>
                <w:rFonts w:ascii="Arial" w:cs="Arial" w:eastAsia="Arial" w:hAnsi="Arial"/>
                <w:sz w:val="8"/>
                <w:szCs w:val="8"/>
                <w:b w:val="1"/>
                <w:bCs w:val="1"/>
                <w:color w:val="auto"/>
              </w:rPr>
              <w:t>Additional</w:t>
            </w: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100"/>
              <w:spacing w:after="0" w:line="86" w:lineRule="exact"/>
              <w:rPr>
                <w:sz w:val="20"/>
                <w:szCs w:val="20"/>
                <w:color w:val="auto"/>
              </w:rPr>
            </w:pPr>
            <w:r>
              <w:rPr>
                <w:rFonts w:ascii="Arial" w:cs="Arial" w:eastAsia="Arial" w:hAnsi="Arial"/>
                <w:sz w:val="8"/>
                <w:szCs w:val="8"/>
                <w:b w:val="1"/>
                <w:bCs w:val="1"/>
                <w:color w:val="auto"/>
              </w:rPr>
              <w:t>Retained</w:t>
            </w:r>
          </w:p>
        </w:tc>
        <w:tc>
          <w:tcPr>
            <w:tcW w:w="80" w:type="dxa"/>
            <w:vAlign w:val="bottom"/>
          </w:tcPr>
          <w:p>
            <w:pPr>
              <w:spacing w:after="0"/>
              <w:rPr>
                <w:sz w:val="3"/>
                <w:szCs w:val="3"/>
                <w:color w:val="auto"/>
              </w:rPr>
            </w:pPr>
          </w:p>
        </w:tc>
        <w:tc>
          <w:tcPr>
            <w:tcW w:w="820" w:type="dxa"/>
            <w:vAlign w:val="bottom"/>
            <w:gridSpan w:val="2"/>
            <w:vMerge w:val="restart"/>
          </w:tcPr>
          <w:p>
            <w:pPr>
              <w:jc w:val="center"/>
              <w:ind w:right="200"/>
              <w:spacing w:after="0" w:line="86" w:lineRule="exact"/>
              <w:rPr>
                <w:sz w:val="20"/>
                <w:szCs w:val="20"/>
                <w:color w:val="auto"/>
              </w:rPr>
            </w:pPr>
            <w:r>
              <w:rPr>
                <w:rFonts w:ascii="Arial" w:cs="Arial" w:eastAsia="Arial" w:hAnsi="Arial"/>
                <w:sz w:val="8"/>
                <w:szCs w:val="8"/>
                <w:b w:val="1"/>
                <w:bCs w:val="1"/>
                <w:color w:val="auto"/>
              </w:rPr>
              <w:t>Other</w:t>
            </w:r>
          </w:p>
        </w:tc>
        <w:tc>
          <w:tcPr>
            <w:tcW w:w="100" w:type="dxa"/>
            <w:vAlign w:val="bottom"/>
          </w:tcPr>
          <w:p>
            <w:pPr>
              <w:spacing w:after="0"/>
              <w:rPr>
                <w:sz w:val="3"/>
                <w:szCs w:val="3"/>
                <w:color w:val="auto"/>
              </w:rPr>
            </w:pPr>
          </w:p>
        </w:tc>
        <w:tc>
          <w:tcPr>
            <w:tcW w:w="8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Noncontrolling</w:t>
            </w:r>
          </w:p>
        </w:tc>
        <w:tc>
          <w:tcPr>
            <w:tcW w:w="660" w:type="dxa"/>
            <w:vAlign w:val="bottom"/>
            <w:gridSpan w:val="2"/>
            <w:vMerge w:val="restart"/>
          </w:tcPr>
          <w:p>
            <w:pPr>
              <w:jc w:val="center"/>
              <w:spacing w:after="0" w:line="86"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
        </w:trPr>
        <w:tc>
          <w:tcPr>
            <w:tcW w:w="2640" w:type="dxa"/>
            <w:vAlign w:val="bottom"/>
          </w:tcPr>
          <w:p>
            <w:pPr>
              <w:spacing w:after="0"/>
              <w:rPr>
                <w:sz w:val="7"/>
                <w:szCs w:val="7"/>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8"/>
                <w:szCs w:val="8"/>
                <w:b w:val="1"/>
                <w:bCs w:val="1"/>
                <w:color w:val="auto"/>
              </w:rPr>
              <w:t>Shares</w:t>
            </w:r>
          </w:p>
        </w:tc>
        <w:tc>
          <w:tcPr>
            <w:tcW w:w="12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151"/>
              <w:spacing w:after="0"/>
              <w:rPr>
                <w:sz w:val="20"/>
                <w:szCs w:val="20"/>
                <w:color w:val="auto"/>
              </w:rPr>
            </w:pPr>
            <w:r>
              <w:rPr>
                <w:rFonts w:ascii="Arial" w:cs="Arial" w:eastAsia="Arial" w:hAnsi="Arial"/>
                <w:sz w:val="8"/>
                <w:szCs w:val="8"/>
                <w:b w:val="1"/>
                <w:bCs w:val="1"/>
                <w:color w:val="auto"/>
              </w:rPr>
              <w:t>Amount</w:t>
            </w:r>
          </w:p>
        </w:tc>
        <w:tc>
          <w:tcPr>
            <w:tcW w:w="120" w:type="dxa"/>
            <w:vAlign w:val="bottom"/>
            <w:vMerge w:val="restart"/>
          </w:tcPr>
          <w:p>
            <w:pPr>
              <w:spacing w:after="0"/>
              <w:rPr>
                <w:sz w:val="7"/>
                <w:szCs w:val="7"/>
                <w:color w:val="auto"/>
              </w:rPr>
            </w:pPr>
          </w:p>
        </w:tc>
        <w:tc>
          <w:tcPr>
            <w:tcW w:w="680" w:type="dxa"/>
            <w:vAlign w:val="bottom"/>
            <w:vMerge w:val="restart"/>
          </w:tcPr>
          <w:p>
            <w:pPr>
              <w:jc w:val="right"/>
              <w:ind w:right="151"/>
              <w:spacing w:after="0"/>
              <w:rPr>
                <w:sz w:val="20"/>
                <w:szCs w:val="20"/>
                <w:color w:val="auto"/>
              </w:rPr>
            </w:pPr>
            <w:r>
              <w:rPr>
                <w:rFonts w:ascii="Arial" w:cs="Arial" w:eastAsia="Arial" w:hAnsi="Arial"/>
                <w:sz w:val="8"/>
                <w:szCs w:val="8"/>
                <w:b w:val="1"/>
                <w:bCs w:val="1"/>
                <w:color w:val="auto"/>
              </w:rPr>
              <w:t>Shares</w:t>
            </w:r>
          </w:p>
        </w:tc>
        <w:tc>
          <w:tcPr>
            <w:tcW w:w="12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right"/>
              <w:ind w:right="151"/>
              <w:spacing w:after="0"/>
              <w:rPr>
                <w:sz w:val="20"/>
                <w:szCs w:val="20"/>
                <w:color w:val="auto"/>
              </w:rPr>
            </w:pPr>
            <w:r>
              <w:rPr>
                <w:rFonts w:ascii="Arial" w:cs="Arial" w:eastAsia="Arial" w:hAnsi="Arial"/>
                <w:sz w:val="8"/>
                <w:szCs w:val="8"/>
                <w:b w:val="1"/>
                <w:bCs w:val="1"/>
                <w:color w:val="auto"/>
              </w:rPr>
              <w:t>Amount</w:t>
            </w:r>
          </w:p>
        </w:tc>
        <w:tc>
          <w:tcPr>
            <w:tcW w:w="10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200"/>
              <w:spacing w:after="0" w:line="86" w:lineRule="exact"/>
              <w:rPr>
                <w:sz w:val="20"/>
                <w:szCs w:val="20"/>
                <w:color w:val="auto"/>
              </w:rPr>
            </w:pPr>
            <w:r>
              <w:rPr>
                <w:rFonts w:ascii="Arial" w:cs="Arial" w:eastAsia="Arial" w:hAnsi="Arial"/>
                <w:sz w:val="8"/>
                <w:szCs w:val="8"/>
                <w:b w:val="1"/>
                <w:bCs w:val="1"/>
                <w:color w:val="auto"/>
              </w:rPr>
              <w:t>Paid in</w:t>
            </w:r>
          </w:p>
        </w:tc>
        <w:tc>
          <w:tcPr>
            <w:tcW w:w="620" w:type="dxa"/>
            <w:vAlign w:val="bottom"/>
            <w:vMerge w:val="restart"/>
          </w:tcPr>
          <w:p>
            <w:pPr>
              <w:jc w:val="right"/>
              <w:ind w:right="91"/>
              <w:spacing w:after="0"/>
              <w:rPr>
                <w:sz w:val="20"/>
                <w:szCs w:val="20"/>
                <w:color w:val="auto"/>
              </w:rPr>
            </w:pPr>
            <w:r>
              <w:rPr>
                <w:rFonts w:ascii="Arial" w:cs="Arial" w:eastAsia="Arial" w:hAnsi="Arial"/>
                <w:sz w:val="8"/>
                <w:szCs w:val="8"/>
                <w:b w:val="1"/>
                <w:bCs w:val="1"/>
                <w:color w:val="auto"/>
              </w:rPr>
              <w:t>Shares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8"/>
                <w:szCs w:val="8"/>
                <w:b w:val="1"/>
                <w:bCs w:val="1"/>
                <w:color w:val="auto"/>
              </w:rPr>
              <w:t>Amount</w:t>
            </w:r>
          </w:p>
        </w:tc>
        <w:tc>
          <w:tcPr>
            <w:tcW w:w="120" w:type="dxa"/>
            <w:vAlign w:val="bottom"/>
            <w:vMerge w:val="restart"/>
          </w:tcPr>
          <w:p>
            <w:pPr>
              <w:spacing w:after="0"/>
              <w:rPr>
                <w:sz w:val="7"/>
                <w:szCs w:val="7"/>
                <w:color w:val="auto"/>
              </w:rPr>
            </w:pPr>
          </w:p>
        </w:tc>
        <w:tc>
          <w:tcPr>
            <w:tcW w:w="800" w:type="dxa"/>
            <w:vAlign w:val="bottom"/>
            <w:gridSpan w:val="2"/>
          </w:tcPr>
          <w:p>
            <w:pPr>
              <w:jc w:val="center"/>
              <w:ind w:right="120"/>
              <w:spacing w:after="0" w:line="86" w:lineRule="exact"/>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7"/>
                <w:szCs w:val="7"/>
                <w:color w:val="auto"/>
              </w:rPr>
            </w:pPr>
          </w:p>
        </w:tc>
        <w:tc>
          <w:tcPr>
            <w:tcW w:w="820" w:type="dxa"/>
            <w:vAlign w:val="bottom"/>
            <w:gridSpan w:val="2"/>
          </w:tcPr>
          <w:p>
            <w:pPr>
              <w:jc w:val="center"/>
              <w:ind w:right="180"/>
              <w:spacing w:after="0" w:line="86" w:lineRule="exact"/>
              <w:rPr>
                <w:sz w:val="20"/>
                <w:szCs w:val="20"/>
                <w:color w:val="auto"/>
              </w:rPr>
            </w:pPr>
            <w:r>
              <w:rPr>
                <w:rFonts w:ascii="Arial" w:cs="Arial" w:eastAsia="Arial" w:hAnsi="Arial"/>
                <w:sz w:val="8"/>
                <w:szCs w:val="8"/>
                <w:b w:val="1"/>
                <w:bCs w:val="1"/>
                <w:color w:val="auto"/>
                <w:w w:val="99"/>
              </w:rPr>
              <w:t>Comprehensive</w:t>
            </w: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center"/>
              <w:ind w:right="72"/>
              <w:spacing w:after="0" w:line="86"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14"/>
        </w:trPr>
        <w:tc>
          <w:tcPr>
            <w:tcW w:w="264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8"/>
                <w:szCs w:val="8"/>
                <w:b w:val="1"/>
                <w:bCs w:val="1"/>
                <w:color w:val="auto"/>
              </w:rPr>
              <w:t>Capital</w:t>
            </w:r>
          </w:p>
        </w:tc>
        <w:tc>
          <w:tcPr>
            <w:tcW w:w="10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(Deficit)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12"/>
              <w:spacing w:after="0"/>
              <w:rPr>
                <w:sz w:val="20"/>
                <w:szCs w:val="20"/>
                <w:color w:val="auto"/>
              </w:rPr>
            </w:pPr>
            <w:r>
              <w:rPr>
                <w:rFonts w:ascii="Arial" w:cs="Arial" w:eastAsia="Arial" w:hAnsi="Arial"/>
                <w:sz w:val="8"/>
                <w:szCs w:val="8"/>
                <w:b w:val="1"/>
                <w:bCs w:val="1"/>
                <w:color w:val="auto"/>
              </w:rPr>
              <w:t>Income (Loss)</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8"/>
                <w:szCs w:val="8"/>
                <w:b w:val="1"/>
                <w:bCs w:val="1"/>
                <w:color w:val="auto"/>
              </w:rPr>
              <w:t>Interest</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72"/>
              <w:spacing w:after="0"/>
              <w:rPr>
                <w:sz w:val="20"/>
                <w:szCs w:val="20"/>
                <w:color w:val="auto"/>
              </w:rPr>
            </w:pPr>
            <w:r>
              <w:rPr>
                <w:rFonts w:ascii="Arial" w:cs="Arial" w:eastAsia="Arial" w:hAnsi="Arial"/>
                <w:sz w:val="8"/>
                <w:szCs w:val="8"/>
                <w:b w:val="1"/>
                <w:bCs w:val="1"/>
                <w:color w:val="auto"/>
              </w:rPr>
              <w:t>(Deficit)</w:t>
            </w:r>
          </w:p>
        </w:tc>
        <w:tc>
          <w:tcPr>
            <w:tcW w:w="0" w:type="dxa"/>
            <w:vAlign w:val="bottom"/>
          </w:tcPr>
          <w:p>
            <w:pPr>
              <w:spacing w:after="0"/>
              <w:rPr>
                <w:sz w:val="1"/>
                <w:szCs w:val="1"/>
                <w:color w:val="auto"/>
              </w:rPr>
            </w:pPr>
          </w:p>
        </w:tc>
      </w:tr>
      <w:tr>
        <w:trPr>
          <w:trHeight w:val="212"/>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2013</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87,229,703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634,843</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178,633,409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1,786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880,619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 (1,785,554)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(49,895)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508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(952,536)</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69,223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color w:val="auto"/>
              </w:rPr>
              <w:t>(19,908)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2,732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52,047</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Dividends declared</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(47,904)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(47,904)</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Issuances pursuant to:</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Initial public offering, net of offering costs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45,080,000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451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671,686</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672,137</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rPr>
                <w:sz w:val="20"/>
                <w:szCs w:val="20"/>
                <w:color w:val="auto"/>
              </w:rPr>
            </w:pPr>
            <w:r>
              <w:rPr>
                <w:rFonts w:ascii="Arial" w:cs="Arial" w:eastAsia="Arial" w:hAnsi="Arial"/>
                <w:sz w:val="10"/>
                <w:szCs w:val="10"/>
                <w:color w:val="auto"/>
              </w:rPr>
              <w:t>Conversion of redeemable preferred stock to common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40" w:type="dxa"/>
            <w:vAlign w:val="bottom"/>
          </w:tcPr>
          <w:p>
            <w:pPr>
              <w:ind w:left="160"/>
              <w:spacing w:after="0"/>
              <w:rPr>
                <w:sz w:val="20"/>
                <w:szCs w:val="20"/>
                <w:color w:val="auto"/>
              </w:rPr>
            </w:pPr>
            <w:r>
              <w:rPr>
                <w:rFonts w:ascii="Arial" w:cs="Arial" w:eastAsia="Arial" w:hAnsi="Arial"/>
                <w:sz w:val="10"/>
                <w:szCs w:val="10"/>
                <w:color w:val="auto"/>
              </w:rPr>
              <w:t>stock</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(87,229,703)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31"/>
              <w:spacing w:after="0"/>
              <w:rPr>
                <w:sz w:val="20"/>
                <w:szCs w:val="20"/>
                <w:color w:val="auto"/>
              </w:rPr>
            </w:pPr>
            <w:r>
              <w:rPr>
                <w:rFonts w:ascii="Arial" w:cs="Arial" w:eastAsia="Arial" w:hAnsi="Arial"/>
                <w:sz w:val="10"/>
                <w:szCs w:val="10"/>
                <w:color w:val="auto"/>
              </w:rPr>
              <w:t>(646,224)</w:t>
            </w:r>
          </w:p>
        </w:tc>
        <w:tc>
          <w:tcPr>
            <w:tcW w:w="12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40,343,529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403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72"/>
              <w:spacing w:after="0"/>
              <w:rPr>
                <w:sz w:val="20"/>
                <w:szCs w:val="20"/>
                <w:color w:val="auto"/>
              </w:rPr>
            </w:pPr>
            <w:r>
              <w:rPr>
                <w:rFonts w:ascii="Arial" w:cs="Arial" w:eastAsia="Arial" w:hAnsi="Arial"/>
                <w:sz w:val="10"/>
                <w:szCs w:val="10"/>
                <w:color w:val="auto"/>
              </w:rPr>
              <w:t>645,821</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646,224</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Settlement of stock-based awards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4,180,609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19,584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437,386</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(5,297)</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14,329</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Accrued preferred shares dividend</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11,381</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(11,381)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(11,381)</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29,217</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29,217</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Initial recognition of tax receivable agreement liability</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0"/>
                <w:szCs w:val="10"/>
                <w:color w:val="auto"/>
              </w:rPr>
              <w:t>(321,377)</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(321,377)</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Tax effect of initial public offering related costs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6,246</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6,246</w:t>
            </w:r>
          </w:p>
        </w:tc>
        <w:tc>
          <w:tcPr>
            <w:tcW w:w="0" w:type="dxa"/>
            <w:vAlign w:val="bottom"/>
          </w:tcPr>
          <w:p>
            <w:pPr>
              <w:spacing w:after="0"/>
              <w:rPr>
                <w:sz w:val="1"/>
                <w:szCs w:val="1"/>
                <w:color w:val="auto"/>
              </w:rPr>
            </w:pPr>
          </w:p>
        </w:tc>
      </w:tr>
      <w:tr>
        <w:trPr>
          <w:trHeight w:val="132"/>
        </w:trPr>
        <w:tc>
          <w:tcPr>
            <w:tcW w:w="2640" w:type="dxa"/>
            <w:vAlign w:val="bottom"/>
          </w:tcPr>
          <w:p>
            <w:pPr>
              <w:ind w:left="160"/>
              <w:spacing w:after="0"/>
              <w:rPr>
                <w:sz w:val="20"/>
                <w:szCs w:val="20"/>
                <w:color w:val="auto"/>
              </w:rPr>
            </w:pPr>
            <w:r>
              <w:rPr>
                <w:rFonts w:ascii="Arial" w:cs="Arial" w:eastAsia="Arial" w:hAnsi="Arial"/>
                <w:sz w:val="10"/>
                <w:szCs w:val="10"/>
                <w:color w:val="auto"/>
              </w:rPr>
              <w:t>Dividends paid to non-controlling interest on subsidiary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40" w:type="dxa"/>
            <w:vAlign w:val="bottom"/>
          </w:tcPr>
          <w:p>
            <w:pPr>
              <w:ind w:left="20"/>
              <w:spacing w:after="0"/>
              <w:rPr>
                <w:sz w:val="20"/>
                <w:szCs w:val="20"/>
                <w:color w:val="auto"/>
              </w:rPr>
            </w:pPr>
            <w:r>
              <w:rPr>
                <w:rFonts w:ascii="Arial" w:cs="Arial" w:eastAsia="Arial" w:hAnsi="Arial"/>
                <w:sz w:val="10"/>
                <w:szCs w:val="10"/>
                <w:color w:val="auto"/>
              </w:rPr>
              <w:t>common stock</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(2,844)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(2,844)</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color w:val="auto"/>
              </w:rPr>
              <w:t>Acquisition of minority interest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225</w:t>
            </w:r>
          </w:p>
        </w:tc>
        <w:tc>
          <w:tcPr>
            <w:tcW w:w="0" w:type="dxa"/>
            <w:vAlign w:val="bottom"/>
          </w:tcPr>
          <w:p>
            <w:pPr>
              <w:spacing w:after="0"/>
              <w:rPr>
                <w:sz w:val="1"/>
                <w:szCs w:val="1"/>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2014</w:t>
            </w:r>
          </w:p>
        </w:tc>
        <w:tc>
          <w:tcPr>
            <w:tcW w:w="7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268,237,547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2,682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98"/>
              </w:rPr>
              <w:t>1,931,796</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437,386</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(5,297)</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rPr>
              <w:t>(1,775,616)</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(69,803)</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621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rPr>
              <w:t>84,383</w:t>
            </w:r>
          </w:p>
        </w:tc>
        <w:tc>
          <w:tcPr>
            <w:tcW w:w="0" w:type="dxa"/>
            <w:vAlign w:val="bottom"/>
          </w:tcPr>
          <w:p>
            <w:pPr>
              <w:spacing w:after="0"/>
              <w:rPr>
                <w:sz w:val="1"/>
                <w:szCs w:val="1"/>
                <w:color w:val="auto"/>
              </w:rPr>
            </w:pPr>
          </w:p>
        </w:tc>
      </w:tr>
      <w:tr>
        <w:trPr>
          <w:trHeight w:val="21"/>
        </w:trPr>
        <w:tc>
          <w:tcPr>
            <w:tcW w:w="2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Comprehensive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545,482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(27,332)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3,481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521,631</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Dividends declared</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(98,596)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(98,596)</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Repurchase of common stock</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3,400,000</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(98,770)</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(98,770)</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Settlement of stock-based awards</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10,844,926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108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0"/>
                <w:szCs w:val="10"/>
                <w:color w:val="auto"/>
              </w:rPr>
              <w:t>54,425</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289,257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(6,481)</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48,052</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Tax benefits from stock-based awards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0"/>
                <w:szCs w:val="10"/>
                <w:color w:val="auto"/>
              </w:rPr>
              <w:t>30,104</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30,104</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6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Dividends paid to non-controlling interest on subsidiary</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rPr>
              <w:t>(2,664)</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(2,664)</w:t>
            </w:r>
          </w:p>
        </w:tc>
        <w:tc>
          <w:tcPr>
            <w:tcW w:w="0" w:type="dxa"/>
            <w:vAlign w:val="bottom"/>
          </w:tcPr>
          <w:p>
            <w:pPr>
              <w:spacing w:after="0"/>
              <w:rPr>
                <w:sz w:val="1"/>
                <w:szCs w:val="1"/>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2015</w:t>
            </w:r>
          </w:p>
        </w:tc>
        <w:tc>
          <w:tcPr>
            <w:tcW w:w="7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7"/>
                <w:szCs w:val="17"/>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279,082,473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2,790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98"/>
              </w:rPr>
              <w:t>2,016,325</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4,126,643</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98"/>
              </w:rPr>
              <w:t>(110,548)</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rPr>
              <w:t>(1,328,730)</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(97,135)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1,438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rPr>
              <w:t>484,140</w:t>
            </w:r>
          </w:p>
        </w:tc>
        <w:tc>
          <w:tcPr>
            <w:tcW w:w="0" w:type="dxa"/>
            <w:vAlign w:val="bottom"/>
          </w:tcPr>
          <w:p>
            <w:pPr>
              <w:spacing w:after="0"/>
              <w:rPr>
                <w:sz w:val="1"/>
                <w:szCs w:val="1"/>
                <w:color w:val="auto"/>
              </w:rPr>
            </w:pPr>
          </w:p>
        </w:tc>
      </w:tr>
      <w:tr>
        <w:trPr>
          <w:trHeight w:val="21"/>
        </w:trPr>
        <w:tc>
          <w:tcPr>
            <w:tcW w:w="2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Comprehensive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242,562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(25,664)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4,377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221,275</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Dividends declared</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(144,307)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(144,307)</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Repurchase of common stock</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3,980,672</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98"/>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(100,000)</w:t>
            </w:r>
          </w:p>
        </w:tc>
        <w:tc>
          <w:tcPr>
            <w:tcW w:w="0" w:type="dxa"/>
            <w:vAlign w:val="bottom"/>
          </w:tcPr>
          <w:p>
            <w:pPr>
              <w:spacing w:after="0"/>
              <w:rPr>
                <w:sz w:val="1"/>
                <w:szCs w:val="1"/>
                <w:color w:val="auto"/>
              </w:rPr>
            </w:pPr>
          </w:p>
        </w:tc>
      </w:tr>
      <w:tr>
        <w:trPr>
          <w:trHeight w:val="224"/>
        </w:trPr>
        <w:tc>
          <w:tcPr>
            <w:tcW w:w="2640" w:type="dxa"/>
            <w:vAlign w:val="bottom"/>
          </w:tcPr>
          <w:p>
            <w:pPr>
              <w:ind w:left="20"/>
              <w:spacing w:after="0"/>
              <w:rPr>
                <w:sz w:val="20"/>
                <w:szCs w:val="20"/>
                <w:color w:val="auto"/>
              </w:rPr>
            </w:pPr>
            <w:r>
              <w:rPr>
                <w:rFonts w:ascii="Arial" w:cs="Arial" w:eastAsia="Arial" w:hAnsi="Arial"/>
                <w:sz w:val="10"/>
                <w:szCs w:val="10"/>
                <w:color w:val="auto"/>
              </w:rPr>
              <w:t>Settlement of stock-based awards</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51"/>
              <w:spacing w:after="0"/>
              <w:rPr>
                <w:sz w:val="20"/>
                <w:szCs w:val="20"/>
                <w:color w:val="auto"/>
              </w:rPr>
            </w:pPr>
            <w:r>
              <w:rPr>
                <w:rFonts w:ascii="Arial" w:cs="Arial" w:eastAsia="Arial" w:hAnsi="Arial"/>
                <w:sz w:val="10"/>
                <w:szCs w:val="10"/>
                <w:color w:val="auto"/>
              </w:rPr>
              <w:t>6,378,652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71"/>
              <w:spacing w:after="0"/>
              <w:rPr>
                <w:sz w:val="20"/>
                <w:szCs w:val="20"/>
                <w:color w:val="auto"/>
              </w:rPr>
            </w:pPr>
            <w:r>
              <w:rPr>
                <w:rFonts w:ascii="Arial" w:cs="Arial" w:eastAsia="Arial" w:hAnsi="Arial"/>
                <w:sz w:val="10"/>
                <w:szCs w:val="10"/>
                <w:color w:val="auto"/>
              </w:rPr>
              <w:t>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0"/>
                <w:szCs w:val="10"/>
                <w:color w:val="auto"/>
              </w:rPr>
              <w:t>38,602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404,008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(11,198)</w:t>
            </w: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27,468</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48,524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48,524</w:t>
            </w:r>
          </w:p>
        </w:tc>
        <w:tc>
          <w:tcPr>
            <w:tcW w:w="0" w:type="dxa"/>
            <w:vAlign w:val="bottom"/>
          </w:tcPr>
          <w:p>
            <w:pPr>
              <w:spacing w:after="0"/>
              <w:rPr>
                <w:sz w:val="1"/>
                <w:szCs w:val="1"/>
                <w:color w:val="auto"/>
              </w:rPr>
            </w:pPr>
          </w:p>
        </w:tc>
      </w:tr>
      <w:tr>
        <w:trPr>
          <w:trHeight w:val="132"/>
        </w:trPr>
        <w:tc>
          <w:tcPr>
            <w:tcW w:w="2640" w:type="dxa"/>
            <w:vAlign w:val="bottom"/>
          </w:tcPr>
          <w:p>
            <w:pPr>
              <w:ind w:left="20"/>
              <w:spacing w:after="0"/>
              <w:rPr>
                <w:sz w:val="20"/>
                <w:szCs w:val="20"/>
                <w:color w:val="auto"/>
              </w:rPr>
            </w:pPr>
            <w:r>
              <w:rPr>
                <w:rFonts w:ascii="Arial" w:cs="Arial" w:eastAsia="Arial" w:hAnsi="Arial"/>
                <w:sz w:val="10"/>
                <w:szCs w:val="10"/>
                <w:color w:val="auto"/>
              </w:rPr>
              <w:t>Dividends paid to non-controlling interest on subsidiary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40" w:type="dxa"/>
            <w:vAlign w:val="bottom"/>
          </w:tcPr>
          <w:p>
            <w:pPr>
              <w:ind w:left="20"/>
              <w:spacing w:after="0"/>
              <w:rPr>
                <w:sz w:val="20"/>
                <w:szCs w:val="20"/>
                <w:color w:val="auto"/>
              </w:rPr>
            </w:pPr>
            <w:r>
              <w:rPr>
                <w:rFonts w:ascii="Arial" w:cs="Arial" w:eastAsia="Arial" w:hAnsi="Arial"/>
                <w:sz w:val="10"/>
                <w:szCs w:val="10"/>
                <w:color w:val="auto"/>
              </w:rPr>
              <w:t>common stock</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tcPr>
          <w:p>
            <w:pPr>
              <w:jc w:val="right"/>
              <w:ind w:right="31"/>
              <w:spacing w:after="0"/>
              <w:rPr>
                <w:sz w:val="20"/>
                <w:szCs w:val="20"/>
                <w:color w:val="auto"/>
              </w:rPr>
            </w:pPr>
            <w:r>
              <w:rPr>
                <w:rFonts w:ascii="Arial" w:cs="Arial" w:eastAsia="Arial" w:hAnsi="Arial"/>
                <w:sz w:val="10"/>
                <w:szCs w:val="10"/>
                <w:color w:val="auto"/>
              </w:rPr>
              <w:t>(3,236)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(3,236)</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Adoption of New Accounting Standard</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89,359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91,751</w:t>
            </w: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2016</w:t>
            </w:r>
          </w:p>
        </w:tc>
        <w:tc>
          <w:tcPr>
            <w:tcW w:w="7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285,461,125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2,854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98"/>
              </w:rPr>
              <w:t>2,105,843</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8,511,323</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98"/>
              </w:rPr>
              <w:t>(221,746)</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 (1,141,116)</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(122,799)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2,579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625,615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420"/>
          </w:cols>
          <w:pgMar w:left="240" w:top="540" w:right="239" w:bottom="1440" w:gutter="0" w:footer="0" w:header="0"/>
        </w:sectPr>
      </w:pPr>
    </w:p>
    <w:bookmarkStart w:id="67" w:name="page68"/>
    <w:bookmarkEnd w:id="67"/>
    <w:p>
      <w:pPr>
        <w:jc w:val="center"/>
        <w:ind w:right="-1"/>
        <w:spacing w:after="0"/>
        <w:rPr>
          <w:sz w:val="20"/>
          <w:szCs w:val="20"/>
          <w:color w:val="auto"/>
        </w:rPr>
      </w:pPr>
      <w:r>
        <w:rPr>
          <w:rFonts w:ascii="Arial" w:cs="Arial" w:eastAsia="Arial" w:hAnsi="Arial"/>
          <w:sz w:val="15"/>
          <w:szCs w:val="15"/>
          <w:b w:val="1"/>
          <w:bCs w:val="1"/>
          <w:color w:val="auto"/>
        </w:rPr>
        <w:t>SABRE CORPORATION</w:t>
      </w:r>
    </w:p>
    <w:p>
      <w:pPr>
        <w:spacing w:after="0" w:line="17"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76" w:lineRule="exact"/>
        <w:rPr>
          <w:sz w:val="20"/>
          <w:szCs w:val="20"/>
          <w:color w:val="auto"/>
        </w:rPr>
      </w:pPr>
    </w:p>
    <w:p>
      <w:pPr>
        <w:ind w:left="462" w:right="7160" w:hanging="462"/>
        <w:spacing w:after="0" w:line="388" w:lineRule="auto"/>
        <w:tabs>
          <w:tab w:leader="none" w:pos="172"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Business and Significant Accounting Policies </w:t>
      </w:r>
      <w:r>
        <w:rPr>
          <w:rFonts w:ascii="Arial" w:cs="Arial" w:eastAsia="Arial" w:hAnsi="Arial"/>
          <w:sz w:val="15"/>
          <w:szCs w:val="15"/>
          <w:b w:val="1"/>
          <w:bCs w:val="1"/>
          <w:i w:val="1"/>
          <w:iCs w:val="1"/>
          <w:color w:val="auto"/>
        </w:rPr>
        <w:t>Description of Business</w:t>
      </w:r>
    </w:p>
    <w:p>
      <w:pPr>
        <w:jc w:val="both"/>
        <w:ind w:left="2" w:firstLine="454"/>
        <w:spacing w:after="0" w:line="241" w:lineRule="auto"/>
        <w:rPr>
          <w:sz w:val="20"/>
          <w:szCs w:val="20"/>
          <w:color w:val="auto"/>
        </w:rPr>
      </w:pPr>
      <w:r>
        <w:rPr>
          <w:rFonts w:ascii="Arial" w:cs="Arial" w:eastAsia="Arial" w:hAnsi="Arial"/>
          <w:sz w:val="15"/>
          <w:szCs w:val="15"/>
          <w:color w:val="auto"/>
        </w:rPr>
        <w:t>Sabre Corporation is a Delaware corporation formed in December 2006. On March 30, 2007, Sabre Corporation acquired Sabre Holdings Corporation (“Sabre Holdings”). Sabre Holdings is the sole subsidiary of Sabre Corporation. Sabre GLBL Inc. (“Sabre GLBL”) is the principal operating subsidiary and sole direct subsidiary of Sabre Holdings. Sabre GLBL or its direct or indirect subsidiaries conduct all of our businesses. In these consolidated financial statements, references to “Sabre,” the “Company,” “we,” “our,” “ours,” and “us” refer to Sabre Corporation and its consolidated subsidiaries unless otherwise stated or the context otherwise requires.</w:t>
      </w:r>
    </w:p>
    <w:p>
      <w:pPr>
        <w:spacing w:after="0" w:line="190" w:lineRule="exact"/>
        <w:rPr>
          <w:sz w:val="20"/>
          <w:szCs w:val="20"/>
          <w:color w:val="auto"/>
        </w:rPr>
      </w:pPr>
    </w:p>
    <w:p>
      <w:pPr>
        <w:jc w:val="both"/>
        <w:ind w:left="2" w:firstLine="454"/>
        <w:spacing w:after="0" w:line="242" w:lineRule="auto"/>
        <w:rPr>
          <w:sz w:val="20"/>
          <w:szCs w:val="20"/>
          <w:color w:val="auto"/>
        </w:rPr>
      </w:pPr>
      <w:r>
        <w:rPr>
          <w:rFonts w:ascii="Arial" w:cs="Arial" w:eastAsia="Arial" w:hAnsi="Arial"/>
          <w:sz w:val="15"/>
          <w:szCs w:val="15"/>
          <w:color w:val="auto"/>
        </w:rPr>
        <w:t>We are a leading technology solutions provider to the global travel and tourism industry. We operate through two business segments: (i) Travel Network, our global travel marketplace for travel suppliers and travel buyers, and (ii) Airline and Hospitality Solutions, an extensive suite of travel industry leading software solutions primarily for airlines and hoteliers.</w:t>
      </w:r>
    </w:p>
    <w:p>
      <w:pPr>
        <w:spacing w:after="0" w:line="270" w:lineRule="exact"/>
        <w:rPr>
          <w:sz w:val="20"/>
          <w:szCs w:val="20"/>
          <w:color w:val="auto"/>
        </w:rPr>
      </w:pPr>
    </w:p>
    <w:p>
      <w:pPr>
        <w:ind w:left="462"/>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15" w:lineRule="exact"/>
        <w:rPr>
          <w:sz w:val="20"/>
          <w:szCs w:val="20"/>
          <w:color w:val="auto"/>
        </w:rPr>
      </w:pPr>
    </w:p>
    <w:p>
      <w:pPr>
        <w:jc w:val="both"/>
        <w:ind w:left="2" w:firstLine="454"/>
        <w:spacing w:after="0"/>
        <w:rPr>
          <w:sz w:val="20"/>
          <w:szCs w:val="20"/>
          <w:color w:val="auto"/>
        </w:rPr>
      </w:pPr>
      <w:r>
        <w:rPr>
          <w:rFonts w:ascii="Arial" w:cs="Arial" w:eastAsia="Arial" w:hAnsi="Arial"/>
          <w:sz w:val="15"/>
          <w:szCs w:val="15"/>
          <w:color w:val="auto"/>
        </w:rPr>
        <w:t>The consolidated financial statements have been prepared in accordance with accounting principles generally accepted in the United States (“GAAP”). We consolidate all majority owned subsidiaries and companies over which we exercise control through majority voting rights. No entities are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 share amounts, are stated in thousands of U.S. dollars unless otherwise indicated. All amounts in the notes reference results from continuing operations unless otherwise indicated.</w:t>
      </w:r>
    </w:p>
    <w:p>
      <w:pPr>
        <w:spacing w:after="0" w:line="192" w:lineRule="exact"/>
        <w:rPr>
          <w:sz w:val="20"/>
          <w:szCs w:val="20"/>
          <w:color w:val="auto"/>
        </w:rPr>
      </w:pPr>
    </w:p>
    <w:p>
      <w:pPr>
        <w:jc w:val="both"/>
        <w:ind w:left="2" w:firstLine="454"/>
        <w:spacing w:after="0"/>
        <w:rPr>
          <w:sz w:val="20"/>
          <w:szCs w:val="20"/>
          <w:color w:val="auto"/>
        </w:rPr>
      </w:pPr>
      <w:r>
        <w:rPr>
          <w:rFonts w:ascii="Arial" w:cs="Arial" w:eastAsia="Arial" w:hAnsi="Arial"/>
          <w:sz w:val="15"/>
          <w:szCs w:val="15"/>
          <w:color w:val="auto"/>
        </w:rPr>
        <w:t>The preparation of these annual financial statements in conformity with GAAP requires that certain amounts be recorded based on estimates and assumptions made by management. Actual results could differ from these estimates and assumptions. Our accounting policies, which include significant estimates and assumptions, include, among other things, estimation of the collectability of accounts receivable, amounts for future cancellations of bookings processed through the Sabre GDS, revenue recognition for software arrangements,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estimation of loss contingencies, and evaluation of uncertainties surrounding the calculation of our tax assets and liabilities.</w:t>
      </w:r>
    </w:p>
    <w:p>
      <w:pPr>
        <w:spacing w:after="0" w:line="272" w:lineRule="exact"/>
        <w:rPr>
          <w:sz w:val="20"/>
          <w:szCs w:val="20"/>
          <w:color w:val="auto"/>
        </w:rPr>
      </w:pPr>
    </w:p>
    <w:p>
      <w:pPr>
        <w:ind w:left="462"/>
        <w:spacing w:after="0"/>
        <w:rPr>
          <w:sz w:val="20"/>
          <w:szCs w:val="20"/>
          <w:color w:val="auto"/>
        </w:rPr>
      </w:pPr>
      <w:r>
        <w:rPr>
          <w:rFonts w:ascii="Arial" w:cs="Arial" w:eastAsia="Arial" w:hAnsi="Arial"/>
          <w:sz w:val="15"/>
          <w:szCs w:val="15"/>
          <w:b w:val="1"/>
          <w:bCs w:val="1"/>
          <w:i w:val="1"/>
          <w:iCs w:val="1"/>
          <w:color w:val="auto"/>
        </w:rPr>
        <w:t>Adoption of New Accounting Standard</w:t>
      </w:r>
    </w:p>
    <w:p>
      <w:pPr>
        <w:spacing w:after="0" w:line="115" w:lineRule="exact"/>
        <w:rPr>
          <w:sz w:val="20"/>
          <w:szCs w:val="20"/>
          <w:color w:val="auto"/>
        </w:rPr>
      </w:pPr>
    </w:p>
    <w:p>
      <w:pPr>
        <w:jc w:val="both"/>
        <w:ind w:left="2" w:firstLine="454"/>
        <w:spacing w:after="0"/>
        <w:rPr>
          <w:sz w:val="20"/>
          <w:szCs w:val="20"/>
          <w:color w:val="auto"/>
        </w:rPr>
      </w:pPr>
      <w:r>
        <w:rPr>
          <w:rFonts w:ascii="Arial" w:cs="Arial" w:eastAsia="Arial" w:hAnsi="Arial"/>
          <w:sz w:val="15"/>
          <w:szCs w:val="15"/>
          <w:color w:val="auto"/>
        </w:rPr>
        <w:t>In the first quarter of 2016, we adopted Accounting Standards Update ("ASU") 2016-09, Improvements to Employee Share-Based Payment Accounting. This guidance was issued by the Financial Accounting Standards Board ("FASB") under their initiative to reduce complexity in financial reporting. The amendments of the updated standard include, among other things, the requirement to recognize excess tax benefits (or deficiencies) through earnings, the election of a policy to either estimate forfeitures when determining periodic expense or recognize actual forfeitures when they occur, and an increase in the allowable income tax withholding from the minimum to the maximum statutory rate.</w:t>
      </w:r>
    </w:p>
    <w:p>
      <w:pPr>
        <w:spacing w:after="0" w:line="94" w:lineRule="exact"/>
        <w:rPr>
          <w:sz w:val="20"/>
          <w:szCs w:val="20"/>
          <w:color w:val="auto"/>
        </w:rPr>
      </w:pPr>
    </w:p>
    <w:p>
      <w:pPr>
        <w:jc w:val="both"/>
        <w:ind w:left="2" w:firstLine="454"/>
        <w:spacing w:after="0"/>
        <w:rPr>
          <w:sz w:val="20"/>
          <w:szCs w:val="20"/>
          <w:color w:val="auto"/>
        </w:rPr>
      </w:pPr>
      <w:r>
        <w:rPr>
          <w:rFonts w:ascii="Arial" w:cs="Arial" w:eastAsia="Arial" w:hAnsi="Arial"/>
          <w:sz w:val="15"/>
          <w:szCs w:val="15"/>
          <w:color w:val="auto"/>
        </w:rPr>
        <w:t>In recent years, we have realized significant excess tax benefits associated with settled equity-based awards that have not been recognized due to certain accounting policy elections we made under the previous accounting standard, combined with the significant amount of our net operating loss carryforwards. As a result of the adoption of ASU 2016-09, we recorded a cumulative effect adjustment as of January 1, 2016 to increase retained earnings by $92 million with a corresponding increase to deferred tax assets in order to recognize excess tax benefits that can be used to reduce income taxes payable in the future. Effective January 1, 2016, excess tax benefits or deficiencies are recognized in our results of operations and are included in cash flows from operating activities in our statement of cash flows. In accordance with the updated standard, we elected to recognize actual forfeitures of equity-based awards as they occur. As we previously estimated forfeitures to determine stock-based compensation expense, this change resulted in a cumulative effect adjustment as of January 1, 2016 to reduce retained earnings by $2 million, net of tax.</w:t>
      </w:r>
    </w:p>
    <w:p>
      <w:pPr>
        <w:spacing w:after="0" w:line="93" w:lineRule="exact"/>
        <w:rPr>
          <w:sz w:val="20"/>
          <w:szCs w:val="20"/>
          <w:color w:val="auto"/>
        </w:rPr>
      </w:pPr>
    </w:p>
    <w:p>
      <w:pPr>
        <w:jc w:val="both"/>
        <w:ind w:left="2" w:firstLine="454"/>
        <w:spacing w:after="0" w:line="245" w:lineRule="auto"/>
        <w:rPr>
          <w:sz w:val="20"/>
          <w:szCs w:val="20"/>
          <w:color w:val="auto"/>
        </w:rPr>
      </w:pPr>
      <w:r>
        <w:rPr>
          <w:rFonts w:ascii="Arial" w:cs="Arial" w:eastAsia="Arial" w:hAnsi="Arial"/>
          <w:sz w:val="15"/>
          <w:szCs w:val="15"/>
          <w:color w:val="auto"/>
        </w:rPr>
        <w:t>For the year ended December 31, 2016, we recognized $35 million in excess tax benefits associated with employee equity-based awards, as a result of the adoption of this standard. There were no other material impacts to our consolidated financial statements as a result of adopting this updated standard.</w:t>
      </w:r>
    </w:p>
    <w:p>
      <w:pPr>
        <w:spacing w:after="0" w:line="268" w:lineRule="exact"/>
        <w:rPr>
          <w:sz w:val="20"/>
          <w:szCs w:val="20"/>
          <w:color w:val="auto"/>
        </w:rPr>
      </w:pPr>
    </w:p>
    <w:p>
      <w:pPr>
        <w:ind w:left="462"/>
        <w:spacing w:after="0"/>
        <w:rPr>
          <w:sz w:val="20"/>
          <w:szCs w:val="20"/>
          <w:color w:val="auto"/>
        </w:rPr>
      </w:pPr>
      <w:r>
        <w:rPr>
          <w:rFonts w:ascii="Arial" w:cs="Arial" w:eastAsia="Arial" w:hAnsi="Arial"/>
          <w:sz w:val="15"/>
          <w:szCs w:val="15"/>
          <w:b w:val="1"/>
          <w:bCs w:val="1"/>
          <w:i w:val="1"/>
          <w:iCs w:val="1"/>
          <w:color w:val="auto"/>
        </w:rPr>
        <w:t>Reclassifications</w:t>
      </w:r>
    </w:p>
    <w:p>
      <w:pPr>
        <w:spacing w:after="0" w:line="115" w:lineRule="exact"/>
        <w:rPr>
          <w:sz w:val="20"/>
          <w:szCs w:val="20"/>
          <w:color w:val="auto"/>
        </w:rPr>
      </w:pPr>
    </w:p>
    <w:p>
      <w:pPr>
        <w:jc w:val="both"/>
        <w:ind w:left="2" w:firstLine="454"/>
        <w:spacing w:after="0" w:line="242" w:lineRule="auto"/>
        <w:rPr>
          <w:sz w:val="20"/>
          <w:szCs w:val="20"/>
          <w:color w:val="auto"/>
        </w:rPr>
      </w:pPr>
      <w:r>
        <w:rPr>
          <w:rFonts w:ascii="Arial" w:cs="Arial" w:eastAsia="Arial" w:hAnsi="Arial"/>
          <w:sz w:val="15"/>
          <w:szCs w:val="15"/>
          <w:color w:val="auto"/>
        </w:rPr>
        <w:t>We reclassified all of our $30 million litigation settlement liability as of December 31, 2015 to other accrued liabilities in our consolidated balance sheet to conform to our current period presentation. As of December 31, 2016, our remaining liability associated with this litigation settlement is included in other accrued liabilities and totaled $5 million.</w:t>
      </w:r>
    </w:p>
    <w:p>
      <w:pPr>
        <w:spacing w:after="0" w:line="214"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22"/>
          </w:cols>
          <w:pgMar w:left="238" w:top="540"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employ a number of revenue models across our businesses, depending on the dynamics of the industry segment and the technology on which the revenue is based. Some revenue models are used in multiple businesses. Travel Network primarily employs the transaction revenue model. Airline and Hospitality Solutions primarily employs the SaaS and hosted and professional service fees revenue models, as well as the software licensing fee model to a lesser extent. Contracts with the same customer which are entered into at or around the same period are analyzed for revenue recognition purposes on a combined basis across our businesses which can impact our revenue recognized.</w:t>
      </w:r>
    </w:p>
    <w:p>
      <w:pPr>
        <w:spacing w:after="0" w:line="19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We report revenue net of any revenue based taxes assessed by governmental authorities that are imposed on and concurrent with specific revenue producing transactions.</w:t>
      </w:r>
    </w:p>
    <w:p>
      <w:pPr>
        <w:spacing w:after="0" w:line="172"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i w:val="1"/>
          <w:iCs w:val="1"/>
          <w:color w:val="auto"/>
        </w:rPr>
        <w:t>Transaction Revenue Model</w:t>
      </w:r>
      <w:r>
        <w:rPr>
          <w:rFonts w:ascii="Arial" w:cs="Arial" w:eastAsia="Arial" w:hAnsi="Arial"/>
          <w:sz w:val="15"/>
          <w:szCs w:val="15"/>
          <w:color w:val="auto"/>
        </w:rPr>
        <w:t>—This model accounts for substantially all of Travel Network’s revenues. We define a direct billable booking as any booking that generates a</w:t>
      </w:r>
      <w:r>
        <w:rPr>
          <w:rFonts w:ascii="Arial" w:cs="Arial" w:eastAsia="Arial" w:hAnsi="Arial"/>
          <w:sz w:val="15"/>
          <w:szCs w:val="15"/>
          <w:i w:val="1"/>
          <w:iCs w:val="1"/>
          <w:color w:val="auto"/>
        </w:rPr>
        <w:t xml:space="preserve"> </w:t>
      </w:r>
      <w:r>
        <w:rPr>
          <w:rFonts w:ascii="Arial" w:cs="Arial" w:eastAsia="Arial" w:hAnsi="Arial"/>
          <w:sz w:val="15"/>
          <w:szCs w:val="15"/>
          <w:color w:val="auto"/>
        </w:rPr>
        <w:t>fee directly to Travel Network. Transaction fees include, but are not limited to, transaction fees paid by travel suppliers for selling their inventory through the Sabre global distribution system (“GDS”) and transaction fees paid by travel agency subscribers related to their use of the Sabre GDS. Pursuant to this model, a transaction occurs when a travel agency or corporate travel department books, or reserves, a travel supplier’s product on the Sabre GDS. We receive revenue from a travel supplier, travel agency, or corporate travel department depending upon the commercial arrangement represented in each of their contracts. Transaction revenue for airline travel reservations is recognized at the time of the booking of the reservation, net of estimated future cancellations. Our transaction fee cancellation reserve, calculated based on our historical experience, was $14 million and $13 million at December 31, 2016 and 2015, respectively. Transaction revenue for car rental, hotel bookings and other travel providers is recognized at the time the reservation is used by the customer. We evaluate whether it is appropriate to record the gross amount of our revenues and related costs by considering a number of factors, including, among other things, whether we are the primary obligor under the arrangement, change the product or perform part of the service and have latitude in establishing prices.</w:t>
      </w:r>
    </w:p>
    <w:p>
      <w:pPr>
        <w:spacing w:after="0" w:line="174"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i w:val="1"/>
          <w:iCs w:val="1"/>
          <w:color w:val="auto"/>
        </w:rPr>
        <w:t>Software-as-a-Service and Hosted Revenue Model</w:t>
      </w:r>
      <w:r>
        <w:rPr>
          <w:rFonts w:ascii="Arial" w:cs="Arial" w:eastAsia="Arial" w:hAnsi="Arial"/>
          <w:sz w:val="15"/>
          <w:szCs w:val="15"/>
          <w:color w:val="auto"/>
        </w:rPr>
        <w:t>—SaaS and hosted is the primary revenue model employed by Airline and Hospitality Solutions. In this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model, we host software solutions on secure platforms, or deploy it through our SaaS solutions, we maintain the software and manage the related infrastructure. Our customers, which include airlines, airports and hotel companies, pay us an upfront solutions fee and a recurring usage-based fee for the use of the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Contracts with the same customer which are entered into at or around the same period are analyzed for revenue recognition purposes on a combined basis. Revenue from upfront solution fees is generally recognized over the term of the agreement beginning when the solution is implemented. The amount of periodic usage fees is typically based on a metric relevant to the software’s purpose. We recognize revenue from recurring usage based fees in the period earned, which typically fluctuates based on a real time metric, such as the actual number of passengers boarded or the actual number of hotel bookings made in a given month and may differ from contractual minimums, if applicable.</w:t>
      </w:r>
    </w:p>
    <w:p>
      <w:pPr>
        <w:spacing w:after="0" w:line="176" w:lineRule="exact"/>
        <w:rPr>
          <w:sz w:val="20"/>
          <w:szCs w:val="20"/>
          <w:color w:val="auto"/>
        </w:rPr>
      </w:pPr>
    </w:p>
    <w:p>
      <w:pPr>
        <w:jc w:val="both"/>
        <w:ind w:firstLine="454"/>
        <w:spacing w:after="0" w:line="244" w:lineRule="auto"/>
        <w:rPr>
          <w:sz w:val="20"/>
          <w:szCs w:val="20"/>
          <w:color w:val="auto"/>
        </w:rPr>
      </w:pPr>
      <w:r>
        <w:rPr>
          <w:rFonts w:ascii="Arial" w:cs="Arial" w:eastAsia="Arial" w:hAnsi="Arial"/>
          <w:sz w:val="15"/>
          <w:szCs w:val="15"/>
          <w:i w:val="1"/>
          <w:iCs w:val="1"/>
          <w:color w:val="auto"/>
        </w:rPr>
        <w:t>Professional Service Fees Revenue Model</w:t>
      </w:r>
      <w:r>
        <w:rPr>
          <w:rFonts w:ascii="Arial" w:cs="Arial" w:eastAsia="Arial" w:hAnsi="Arial"/>
          <w:sz w:val="15"/>
          <w:szCs w:val="15"/>
          <w:color w:val="auto"/>
        </w:rPr>
        <w:t>—Our SaaS and hosted offerings can be sold as part of multiple element agreements for which we also provide professional</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Our professional services are primarily focused on helping customers achieve better utilization of and return on their software investment. Often we provide these services during the implementation phase of our SaaS solutions. In such cases, we account for professional service revenue separately from upfront solution fees and recurring usage-based fees, with value assigned to each element based on its relative selling price to the total selling price. We perform a market analysis on a periodic basis to determine the range of selling prices for each product and service. Estimated selling prices are set for each product and service delivered to customers. The revenue for professional services is generally recognized over the period the services are performed, once any acceptance criteria is met.</w:t>
      </w:r>
    </w:p>
    <w:p>
      <w:pPr>
        <w:spacing w:after="0" w:line="174" w:lineRule="exact"/>
        <w:rPr>
          <w:sz w:val="20"/>
          <w:szCs w:val="20"/>
          <w:color w:val="auto"/>
        </w:rPr>
      </w:pPr>
    </w:p>
    <w:p>
      <w:pPr>
        <w:jc w:val="both"/>
        <w:ind w:firstLine="454"/>
        <w:spacing w:after="0" w:line="243" w:lineRule="auto"/>
        <w:rPr>
          <w:sz w:val="20"/>
          <w:szCs w:val="20"/>
          <w:color w:val="auto"/>
        </w:rPr>
      </w:pPr>
      <w:r>
        <w:rPr>
          <w:rFonts w:ascii="Arial" w:cs="Arial" w:eastAsia="Arial" w:hAnsi="Arial"/>
          <w:sz w:val="15"/>
          <w:szCs w:val="15"/>
          <w:i w:val="1"/>
          <w:iCs w:val="1"/>
          <w:color w:val="auto"/>
        </w:rPr>
        <w:t>Software Licensing Fee Revenue Model</w:t>
      </w:r>
      <w:r>
        <w:rPr>
          <w:rFonts w:ascii="Arial" w:cs="Arial" w:eastAsia="Arial" w:hAnsi="Arial"/>
          <w:sz w:val="15"/>
          <w:szCs w:val="15"/>
          <w:color w:val="auto"/>
        </w:rPr>
        <w:t>—The software licensing fee revenue model is utilized by Airline and Hospitality Solutions. Under this model, we generate</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 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 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Incentive Consideration</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Certain service contracts with significant travel agency customers contain booking productivity clauses and other provisions that allow travel agency customers to receive cash payments or other consideration. We establish liabilities for these commitments and recognize the related expense as these travel agencies earn incentive consideration based on the applicable contractual terms.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20"/>
          </w:cols>
          <w:pgMar w:left="240" w:top="835" w:right="239" w:bottom="1440" w:gutter="0" w:footer="0" w:header="0"/>
        </w:sectPr>
      </w:pPr>
    </w:p>
    <w:bookmarkStart w:id="69" w:name="page70"/>
    <w:bookmarkEnd w:id="69"/>
    <w:p>
      <w:pPr>
        <w:jc w:val="both"/>
        <w:spacing w:after="0"/>
        <w:rPr>
          <w:sz w:val="20"/>
          <w:szCs w:val="20"/>
          <w:color w:val="auto"/>
        </w:rPr>
      </w:pPr>
      <w:r>
        <w:rPr>
          <w:rFonts w:ascii="Arial" w:cs="Arial" w:eastAsia="Arial" w:hAnsi="Arial"/>
          <w:sz w:val="15"/>
          <w:szCs w:val="15"/>
          <w:color w:val="auto"/>
        </w:rPr>
        <w:t>Periodically, we make cash payments to these travel agencies at inception or modification of a service contract which are capitalized and amortized to cost of revenue over the expected life of the service contract, which is generally three to five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 and the amounts paid to travel agencies represent fair value for the services provided.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Advertising Costs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The majority of our historical advertising expense related to our discontinued Travelocity segment. Advertising costs are expensed as incurred. We did not have any advertising costs incurred by our discontinued Travelocity segment in 2016 and these costs totaled $10 million and $141 million for the years ended, December 31, 2015 and 2014, respectively, which are included in net (loss) income from discontinued operations. Advertising costs incurred by our continuing operations totaled $24 million, $19 million and $17 million for the years ended December 31, 2016, 2015 and 2014, respectively.</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Cash and Cash Equivalents and Restricted Cash</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classify all highly liquid instruments, including money market funds and money market securities with original maturities of three months or less, as cash equivalents.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Allowance for Doubtful Accounts and Concentration of Credit Risk</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evaluate the collectability of our accounts receivable based on a combination of factors. In circumstances where we are aware of a specific customer’s inability to meet its financial obligations to us, such as bankruptcy filings or failure to pay amounts due to us or others, we record a specific reserve for bad debts against amounts due to reduce the recorded receivable to the amount we reasonably believe will be collected. For all other customers, we record reserves for bad debts based on historical experience and the length of time the receivables are past due. We maintained an allowance for doubtful accounts of approximately $37 million and $32 million at December 31, 2016 and 2015, respectively.</w:t>
      </w:r>
    </w:p>
    <w:p>
      <w:pPr>
        <w:spacing w:after="0" w:line="192"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Effective January 1, 2014, we have recorded specific reserves against all accounts receivable outstanding due to us from all airlines in Venezuela and are deferring the recognition of any future revenues until cash is collected. Accounts receivable outstanding from customers in Venezuela totaled $19 million and $14 million as of December 31, 2016 and 2015, which will be recognized as revenue when cash is received.</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Our customers are primarily located in the United States, Canada, Europe, Latin America and Asia, and are concentrated in the travel industry. We generate a significant portion of our revenues and corresponding accounts receivable from services provided to the commercial air travel industry. As of December 31, 2016 and 2015, approximately $274 million, or 74%, and $252 million, or 72%, respectively, of our trade accounts receivable were attributable to these customers, in each case excluding balances associated with our discontinued Travelocity segment. Our other accounts receivable are generally due from other participants in the travel and transportation industry. Substantially all of our accounts receivable represents trade balances. We generally do not require security or collateral from our customers as a condition of sale.</w:t>
      </w:r>
    </w:p>
    <w:p>
      <w:pPr>
        <w:spacing w:after="0" w:line="192"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regularly monitor the financial condition of the air transportation industry. We believe the credit risk related to the air carriers’ difficulties is significantly mitigated by the fact that we collect a significant portion of the receivables from these carriers through the Airline Clearing House (“ACH”) and other similar clearing houses. As of December 31, 2016, approximately 69% of our air customers make payments through the ACH which accounts for approximately 95% of our air revenue. For these carriers, we believe the use of ACH mitigates our credit risk with respect to airline bankruptcies. For those carriers from which we do not collect payments through the ACH or other similar clearing houses, our credit risk is higher. We monitor these carriers and account for the related credit risk through our normal reserve policies.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Derivative Financial Instruments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recognize all derivatives on the consolidated balance sheets at fair value. If the derivative is designated as a hedge, depending on the nature of the hedge, changes in the fair value of derivatives are offset against the change in fair value of the hedged item through earnings (a “fair value hedge”) or recognized in other comprehensive income until the hedged item is recognized in earnings (a “cash flow hedge”). The ineffective portion of the change in fair value of a derivative designated as a hedge is immediately recognized in earnings.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420"/>
          </w:cols>
          <w:pgMar w:left="240" w:top="656"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Property and equipment are stated at cost less accumulated depreciation and amortization, which is calculated on the straight-line basis. Our depreciation and amortization policies are as follows:</w:t>
      </w:r>
    </w:p>
    <w:p>
      <w:pPr>
        <w:spacing w:after="0" w:line="210" w:lineRule="exact"/>
        <w:rPr>
          <w:sz w:val="20"/>
          <w:szCs w:val="20"/>
          <w:color w:val="auto"/>
        </w:rPr>
      </w:pPr>
    </w:p>
    <w:tbl>
      <w:tblPr>
        <w:tblLayout w:type="fixed"/>
        <w:tblInd w:w="900" w:type="dxa"/>
        <w:tblCellMar>
          <w:top w:w="0" w:type="dxa"/>
          <w:left w:w="0" w:type="dxa"/>
          <w:bottom w:w="0" w:type="dxa"/>
          <w:right w:w="0" w:type="dxa"/>
        </w:tblCellMar>
      </w:tblPr>
      <w:tr>
        <w:trPr>
          <w:trHeight w:val="221"/>
        </w:trPr>
        <w:tc>
          <w:tcPr>
            <w:tcW w:w="4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Buildings</w:t>
            </w:r>
          </w:p>
        </w:tc>
        <w:tc>
          <w:tcPr>
            <w:tcW w:w="5280" w:type="dxa"/>
            <w:vAlign w:val="bottom"/>
            <w:shd w:val="clear" w:color="auto" w:fill="CCEEFF"/>
          </w:tcPr>
          <w:p>
            <w:pPr>
              <w:jc w:val="center"/>
              <w:ind w:left="226"/>
              <w:spacing w:after="0"/>
              <w:rPr>
                <w:sz w:val="20"/>
                <w:szCs w:val="20"/>
                <w:color w:val="auto"/>
              </w:rPr>
            </w:pPr>
            <w:r>
              <w:rPr>
                <w:rFonts w:ascii="Arial" w:cs="Arial" w:eastAsia="Arial" w:hAnsi="Arial"/>
                <w:sz w:val="15"/>
                <w:szCs w:val="15"/>
                <w:color w:val="auto"/>
                <w:w w:val="97"/>
              </w:rPr>
              <w:t>Lesser of lease term or 35 years</w:t>
            </w:r>
          </w:p>
        </w:tc>
      </w:tr>
      <w:tr>
        <w:trPr>
          <w:trHeight w:val="212"/>
        </w:trPr>
        <w:tc>
          <w:tcPr>
            <w:tcW w:w="4340" w:type="dxa"/>
            <w:vAlign w:val="bottom"/>
          </w:tcPr>
          <w:p>
            <w:pPr>
              <w:ind w:left="40"/>
              <w:spacing w:after="0"/>
              <w:rPr>
                <w:sz w:val="20"/>
                <w:szCs w:val="20"/>
                <w:color w:val="auto"/>
              </w:rPr>
            </w:pPr>
            <w:r>
              <w:rPr>
                <w:rFonts w:ascii="Arial" w:cs="Arial" w:eastAsia="Arial" w:hAnsi="Arial"/>
                <w:sz w:val="15"/>
                <w:szCs w:val="15"/>
                <w:color w:val="auto"/>
              </w:rPr>
              <w:t>Leasehold improvements</w:t>
            </w:r>
          </w:p>
        </w:tc>
        <w:tc>
          <w:tcPr>
            <w:tcW w:w="5280" w:type="dxa"/>
            <w:vAlign w:val="bottom"/>
          </w:tcPr>
          <w:p>
            <w:pPr>
              <w:jc w:val="center"/>
              <w:ind w:left="226"/>
              <w:spacing w:after="0"/>
              <w:rPr>
                <w:sz w:val="20"/>
                <w:szCs w:val="20"/>
                <w:color w:val="auto"/>
              </w:rPr>
            </w:pPr>
            <w:r>
              <w:rPr>
                <w:rFonts w:ascii="Arial" w:cs="Arial" w:eastAsia="Arial" w:hAnsi="Arial"/>
                <w:sz w:val="15"/>
                <w:szCs w:val="15"/>
                <w:color w:val="auto"/>
                <w:w w:val="98"/>
              </w:rPr>
              <w:t>Lesser of lease term or useful life</w:t>
            </w:r>
          </w:p>
        </w:tc>
      </w:tr>
      <w:tr>
        <w:trPr>
          <w:trHeight w:val="229"/>
        </w:trPr>
        <w:tc>
          <w:tcPr>
            <w:tcW w:w="4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Furniture and fixtures</w:t>
            </w:r>
          </w:p>
        </w:tc>
        <w:tc>
          <w:tcPr>
            <w:tcW w:w="5280" w:type="dxa"/>
            <w:vAlign w:val="bottom"/>
            <w:shd w:val="clear" w:color="auto" w:fill="CCEEFF"/>
          </w:tcPr>
          <w:p>
            <w:pPr>
              <w:jc w:val="center"/>
              <w:ind w:left="226"/>
              <w:spacing w:after="0"/>
              <w:rPr>
                <w:sz w:val="20"/>
                <w:szCs w:val="20"/>
                <w:color w:val="auto"/>
              </w:rPr>
            </w:pPr>
            <w:r>
              <w:rPr>
                <w:rFonts w:ascii="Arial" w:cs="Arial" w:eastAsia="Arial" w:hAnsi="Arial"/>
                <w:sz w:val="15"/>
                <w:szCs w:val="15"/>
                <w:color w:val="auto"/>
                <w:w w:val="99"/>
              </w:rPr>
              <w:t>5 to 15 years</w:t>
            </w:r>
          </w:p>
        </w:tc>
      </w:tr>
      <w:tr>
        <w:trPr>
          <w:trHeight w:val="212"/>
        </w:trPr>
        <w:tc>
          <w:tcPr>
            <w:tcW w:w="4340" w:type="dxa"/>
            <w:vAlign w:val="bottom"/>
          </w:tcPr>
          <w:p>
            <w:pPr>
              <w:ind w:left="40"/>
              <w:spacing w:after="0"/>
              <w:rPr>
                <w:sz w:val="20"/>
                <w:szCs w:val="20"/>
                <w:color w:val="auto"/>
              </w:rPr>
            </w:pPr>
            <w:r>
              <w:rPr>
                <w:rFonts w:ascii="Arial" w:cs="Arial" w:eastAsia="Arial" w:hAnsi="Arial"/>
                <w:sz w:val="15"/>
                <w:szCs w:val="15"/>
                <w:color w:val="auto"/>
              </w:rPr>
              <w:t>Equipment, general office and computer</w:t>
            </w:r>
          </w:p>
        </w:tc>
        <w:tc>
          <w:tcPr>
            <w:tcW w:w="5280" w:type="dxa"/>
            <w:vAlign w:val="bottom"/>
          </w:tcPr>
          <w:p>
            <w:pPr>
              <w:jc w:val="center"/>
              <w:ind w:left="226"/>
              <w:spacing w:after="0"/>
              <w:rPr>
                <w:sz w:val="20"/>
                <w:szCs w:val="20"/>
                <w:color w:val="auto"/>
              </w:rPr>
            </w:pPr>
            <w:r>
              <w:rPr>
                <w:rFonts w:ascii="Arial" w:cs="Arial" w:eastAsia="Arial" w:hAnsi="Arial"/>
                <w:sz w:val="15"/>
                <w:szCs w:val="15"/>
                <w:color w:val="auto"/>
                <w:w w:val="99"/>
              </w:rPr>
              <w:t>3 to 5 years</w:t>
            </w:r>
          </w:p>
        </w:tc>
      </w:tr>
      <w:tr>
        <w:trPr>
          <w:trHeight w:val="229"/>
        </w:trPr>
        <w:tc>
          <w:tcPr>
            <w:tcW w:w="4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Software developed for internal use</w:t>
            </w:r>
          </w:p>
        </w:tc>
        <w:tc>
          <w:tcPr>
            <w:tcW w:w="5280" w:type="dxa"/>
            <w:vAlign w:val="bottom"/>
            <w:shd w:val="clear" w:color="auto" w:fill="CCEEFF"/>
          </w:tcPr>
          <w:p>
            <w:pPr>
              <w:jc w:val="center"/>
              <w:ind w:left="226"/>
              <w:spacing w:after="0"/>
              <w:rPr>
                <w:sz w:val="20"/>
                <w:szCs w:val="20"/>
                <w:color w:val="auto"/>
              </w:rPr>
            </w:pPr>
            <w:r>
              <w:rPr>
                <w:rFonts w:ascii="Arial" w:cs="Arial" w:eastAsia="Arial" w:hAnsi="Arial"/>
                <w:sz w:val="15"/>
                <w:szCs w:val="15"/>
                <w:color w:val="auto"/>
                <w:w w:val="99"/>
              </w:rPr>
              <w:t>3 to 5 years</w:t>
            </w:r>
          </w:p>
        </w:tc>
      </w:tr>
    </w:tbl>
    <w:p>
      <w:pPr>
        <w:spacing w:after="0" w:line="198"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We capitalize certain costs related to our infrastructure, software applications and reservation systems under authoritative guidance on software developed for internal use. Capitalizable costs consist of (a) certain external direct costs of materials and services incurred in developing or obtaining internal use computer software and (b) payroll and payroll related costs for employees who are directly associated with and who devote time to our GDS and web-related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 use software are also expensed as incurred. See Note 5, Balance Sheet Components, for amounts capitalized as property and equipment in our consolidated balance sheets. Depreciation and amortization of property and equipment totaled $226 million, $214 million and $157 million for the years ended December 31, 2016, 2015 and 2014, respectively. Amortization of software developed for internal use, included in depreciation and amortization, totaled $176 million, $170 million and $122 million for the years ended December 31, 2016, 2015 and 2014, respectively.</w:t>
      </w:r>
    </w:p>
    <w:p>
      <w:pPr>
        <w:spacing w:after="0" w:line="196"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Property and equipment are evaluated for impairment whenever events or changes in circumstances indicate that the carrying amount of the assets used in combination to generate cash flows largely independent of other assets may not be recoverable. We did not record any property and equipment impairment charges for the years ended December 31, 2016, 2015 and 2014.</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1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Business combinations are accounted for under the acquisition method of accounting. Under this method, the assets acquired and liabilities assumed are recognized at their respective fair values as of the date of acquisition. The excess, if any, of the acquisition price over the fair values of the assets acquired and liabilities assumed is recorded as goodwill. For significant acquisitions, we utilize third-party appraisal firms to assist us in determining the fair values for certain assets acquired and liabilities assumed. The measurement of these fair values requires us to make significant estimates and assumptions which are inherently uncertain.</w:t>
      </w:r>
    </w:p>
    <w:p>
      <w:pPr>
        <w:spacing w:after="0" w:line="190"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Adjustments to the fair values of assets acquired and liabilities assumed are made until we obtain all relevant information regarding the facts and circumstances that existed as of the acquisition date (the “measurement period”), not to exceed one year from the date of the acquisition. In the third quarter of 2015, we adopted ASU 2015-16, Simplifying the Accounting for Measurement-Period Adjustments, which requires us to recognize measurement-period adjustments in the period in which we determine the amounts, including the effect on earnings of any amounts we would have recorded in previous periods if the accounting had been completed at the acquisition date.</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Goodwill is the excess of the purchase price over the fair value of identifiable tangible and intangible assets acquired in business combinations. Goodwill is not amortized but are reviewed for impairment on an annual basis or more frequently if events and circumstances indicate the carrying amount may not be recoverable. Definite-lived intangible assets are amortized on a straight-line basis and assigned useful economic lives of two to thirty years, depending on classification. The useful economic lives are evaluated on an annual basis.</w:t>
      </w:r>
    </w:p>
    <w:p>
      <w:pPr>
        <w:spacing w:after="0" w:line="190"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We perform our annual assessment of possible impairment of goodwill as of October 1 of each year. We begin with the qualitative assessment of whether it is more likely than not that a reporting unit’s fair value is less than its carrying value before applying the two 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We have three reporting units associated with our continuing operations: Travel Network, Airline Solutions and Hospitality Solutions. Based on our qualitative assessment, we did not record any goodwill impairment charges for the years ended December 31, 2016 and 2015. See Note 4, Goodwill and Intangible Assets, for additional information.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420"/>
          </w:cols>
          <w:pgMar w:left="240" w:top="835" w:right="239" w:bottom="1440" w:gutter="0" w:footer="0" w:header="0"/>
        </w:sectPr>
      </w:pPr>
    </w:p>
    <w:bookmarkStart w:id="71" w:name="page72"/>
    <w:bookmarkEnd w:id="71"/>
    <w:p>
      <w:pPr>
        <w:jc w:val="both"/>
        <w:ind w:firstLine="454"/>
        <w:spacing w:after="0"/>
        <w:rPr>
          <w:sz w:val="20"/>
          <w:szCs w:val="20"/>
          <w:color w:val="auto"/>
        </w:rPr>
      </w:pPr>
      <w:r>
        <w:rPr>
          <w:rFonts w:ascii="Arial" w:cs="Arial" w:eastAsia="Arial" w:hAnsi="Arial"/>
          <w:sz w:val="15"/>
          <w:szCs w:val="15"/>
          <w:color w:val="auto"/>
        </w:rPr>
        <w:t>Definite-lived intangible assets are evaluated for impairment whenever events or changes in circumstances indicate that the carrying amount of definite 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the intangible assets are measured at fair value and an impairment charge is recorded based on the excess of the carrying value of the assets to its fair value. We did not record material intangible asset impairment charges for the years ended December 31, 2016, 2015 and 2014. See Note 4, Goodwill and Intangible Assets, for additional information.</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Equity Method Investments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utilize the equity method to account for our interests in joint ventures and investments in stock of other companies that we do not control but over which we exert significant influence. We periodically evaluate equity and debt investments in entities accounted for under the equity method for impairment by reviewing updated financial information provided by the investee, including valuation information from new financing transactions by the investee and information relating to competitors of investees when available. On July 1, 2015, we completed the acquisition of the remaining 65% interest in Abacus International Pte Ltd, now named Sabre Asia Pacific Pte Ltd (“SAPPL”), a former joint venture, which we previously accounted for under the equity method. In addition to the acquisition in SAPPL, we also own voting interests in various national marketing companies ranging from 20% to 49% , a voting interest of 40% in ESS Elektroniczne Systemy Spzedazy Sp. zo.o, and a voting interest of 20% in Sabre Bulgaria AD and Asiana Sabre, Inc. The carrying value of these investments in joint venture amounts to $22 million as of December 31, 2016.</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Capitalized Implementation Costs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incur upfront costs to implement new customer contracts under our SaaS revenue model. We capitalize these costs, including (a) certain external direct costs of materials and services incurred to implement a customer contract and (b) payroll and payroll related costs for employees who are directly associated with and devote time to implementation activities. Capitalized implementation costs are amortized on a straight-line basis over the related contract term, ranging from three to ten years, as they are recoverable through deferred or future revenues associated with the relevant contract. These assets are reviewed for recoverability on a periodic basis or when an event occurs that could impact the recoverability of the assets, such as a significant contract modification or early renewal of contract terms. Recoverability is measured based on the future estimated revenue and direct costs of the contract compared to the capitalized implementation costs. Amortization of capitalized implementation costs, included in depreciation and amortization, totaled $37 million, $31 million and $36 million for the years ended December 31, 2016, 2015 and 2014, respectively.</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Deferred Customer Advances and Discounts</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Deferred advances to customers and customer discounts are amortized in future periods as the related revenue is earned. The assets are reviewed for recoverability based on future contracted revenues and estimated direct costs of the contract. Contracts are priced to generate total revenues over the life of the contract that exceed any discounts or advances provided and any upfront costs incurred to implement the customer contract.</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Income Taxes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Deferred income tax assets and liabilities are determined based on differences between financial reporting and income tax basis of assets and liabilities and are measured using the tax rates and laws in effect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our ability to carry back operating losses to prior periods,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192"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recognize liabilities when we believe that an uncertain tax position may not be fully sustained upon examination by the tax authorities. Liabilities are recognized for uncertain tax positions that do not pass a two-step approach for recognition and measurement. First, we evaluate the tax position for recognition by determining if based solely on its technical merits, it is more likely than not to be sustained upon examination. Secondly, for positions that pass the first step, we measure the tax benefit as the largest amount which is more than 50% likely of being realized upon ultimate settlement. We recognize penalties and interest accrued related to income taxes as a component of the provision for income taxes.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420"/>
          </w:cols>
          <w:pgMar w:left="240" w:top="754" w:right="239" w:bottom="1440" w:gutter="0" w:footer="0" w:header="0"/>
        </w:sectPr>
      </w:pPr>
    </w:p>
    <w:bookmarkStart w:id="72" w:name="page73"/>
    <w:bookmarkEnd w:id="72"/>
    <w:p>
      <w:pPr>
        <w:ind w:left="460"/>
        <w:spacing w:after="0"/>
        <w:rPr>
          <w:sz w:val="20"/>
          <w:szCs w:val="20"/>
          <w:color w:val="auto"/>
        </w:rPr>
      </w:pPr>
      <w:r>
        <w:rPr>
          <w:rFonts w:ascii="Arial" w:cs="Arial" w:eastAsia="Arial" w:hAnsi="Arial"/>
          <w:sz w:val="15"/>
          <w:szCs w:val="15"/>
          <w:b w:val="1"/>
          <w:bCs w:val="1"/>
          <w:i w:val="1"/>
          <w:iCs w:val="1"/>
          <w:color w:val="auto"/>
        </w:rPr>
        <w:t>Pension and Other Postretirement Benefits</w:t>
      </w:r>
    </w:p>
    <w:p>
      <w:pPr>
        <w:spacing w:after="0" w:line="115"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We recognize the funded status of our defined benefit pension plans and other postretirement benefit plans in our consolidated balance sheets. The funded status is the difference between the fair value of plan assets and the benefit obligation as of the balance sheet date. The fair value of plan assets represents the cumulative contributions made to fund the pension and other postretirement benefit plans which are invested primarily in domestic and foreign equities and fixed income securities. The benefit obligation of our pension and other postretirement benefit plans are actuarially determined using certain assumptions approved by us. The benefit obligation is adjusted annually in the fourth quarter to reflect actuarial changes and may also be adjusted upon the adoption of plan amendments. These adjustments are initially recorded in accumulated other comprehensive income (loss) and are subsequently amortized over the life expectancy of the plan participants as a component of net periodic benefit costs.</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We account for our stock awards and options by recognizing compensation expense, measured at the grant date based on the fair value of the award, on a straight-line basis over the award vesting period, giving consideration as to whether the amount of compensation cost recognized at any date is equal to the portion of grant date value that is vested at that date. With the adoption of ASU 2016-09, we recognize equity-based compensation expense net of any actual forfeitures.</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measure the grant date fair value of stock option awards as calculated by the Black-Scholes option-pricing model which requires certain subjective assumptions, including the expected term of the option, the expected volatility of our common stock, risk-free interest rates and expected dividend yield. The expected term is estimated by using the “simplified method” which is based on the midpoint between the vesting date and the expiration of the contractual term. We utilized the simplified method due to the lack of sufficient historical experience under our current grant terms. The expected volatility is based on both the historical volatility of our stock price as well as implied volatilities from exchange traded options on our stock. The expected risk-free interest rates are based on the yields of U.S. Treasury securities with maturities appropriate for the expected term of the stock options. The expected dividend yield was based on the calculated yield on our common stock at the time of grant assuming annual dividends totaling $0.52 per share for awards granted in 2016.</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Foreign Currency</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remeasure foreign currency transactions into the relevant functional currency and record the foreign currency transaction gains or losses as a component of other, net in our consolidated statements of operations. We translate the financial statements of our non-U.S. dollar functional currency foreign subsidiaries into U.S. dollars in consolidation and record the translation gains or losses as a component of other comprehensive income (loss). Translation gains or losses of foreign subsidiaries related to divested businesses are reclassified into earnings as a component of other, net in our consolidated statements of operations once the liquidation of the respective foreign subsidiaries is substantially complete. The majority of our foreign subsidiaries related to divested businesses are classified as discontinued operations in our consolidated statements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420"/>
          </w:cols>
          <w:pgMar w:left="240" w:top="835" w:right="239" w:bottom="1440" w:gutter="0" w:footer="0" w:header="0"/>
        </w:sectPr>
      </w:pPr>
    </w:p>
    <w:bookmarkStart w:id="73" w:name="page74"/>
    <w:bookmarkEnd w:id="73"/>
    <w:p>
      <w:pPr>
        <w:ind w:left="440"/>
        <w:spacing w:after="0"/>
        <w:rPr>
          <w:sz w:val="20"/>
          <w:szCs w:val="20"/>
          <w:color w:val="auto"/>
        </w:rPr>
      </w:pPr>
      <w:r>
        <w:rPr>
          <w:rFonts w:ascii="Arial" w:cs="Arial" w:eastAsia="Arial" w:hAnsi="Arial"/>
          <w:sz w:val="15"/>
          <w:szCs w:val="15"/>
          <w:b w:val="1"/>
          <w:bCs w:val="1"/>
          <w:color w:val="auto"/>
        </w:rPr>
        <w:t>Recent Accounting Pronouncements</w:t>
      </w:r>
    </w:p>
    <w:p>
      <w:pPr>
        <w:spacing w:after="0" w:line="115"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In August 2016, the FASB issued an updated guidance on how companies present and classify certain cash receipts and cash payments in the statement of cash flows. The updated guidance is effective for fiscal years beginning after December 15, 2017, and interim periods within those fiscal years for public business entities. Early adoption is permitted in any interim or annual period provided that the entire ASU is adopted. We early adopted this standard effective fourth quarter of 2016, which did not have a material impact on our consolidated financial statements.</w:t>
      </w:r>
    </w:p>
    <w:p>
      <w:pPr>
        <w:spacing w:after="0" w:line="190"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In March 2016, the FASB issued an updated guidance to simplify accounting for share–based payments. The amendments of the updated standard include, among other things, the requirement to recognize excess tax benefits (or deficiencies) through earnings, the election of a policy to either estimate forfeitures when determining periodic expense or recognize actual forfeitures when they occur, and an increase in the allowable income tax withholding from the minimum to the maximum statutory rate. The updated guidance is effective for fiscal years beginning after December 15, 2016, and interim periods within those years for public business entities. Early adoption is permitted in any interim or annual period provided that the entire ASU is adopted. We early adopted this updated guidance in the first quarter of 2016. See Note 1, Summary of Business and Significant Accounting Policies, to our consolidated financial statements.</w:t>
      </w:r>
    </w:p>
    <w:p>
      <w:pPr>
        <w:spacing w:after="0" w:line="192"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In February 2016, the FASB issued an updated guidance requiring organizations that lease assets—referred to as "lessees"—to recognize on the balance sheet the assets and liabilities for the rights and obligations created by those leases,when the lease has a term of more than 12 months. The updated standard is effective for public companies for fiscal years, and interim periods within those fiscal years, beginning after December 15, 2018. We are currently evaluating the impact of this standard on our consolidated financial statements.</w:t>
      </w:r>
    </w:p>
    <w:p>
      <w:pPr>
        <w:spacing w:after="0" w:line="19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January 2016, the FASB issued an updated guidance on accounting for equity investments, financial liabilities under the fair value option, and the presentation and disclosure for financial instruments. Under this updated standard, entities must measure equity investments at fair value and recognize changes in fair value in net income. For equity investments without readily determinable fair values, entities have the option to either measure these investments at fair value or at cost adjust for changes in observable prices less impairment. The updated guidance does not apply to equity method investments or investments in consolidated subsidiaries. This new standard is effective for public companies for annual periods, including interim periods, beginning after December 15, 2017. We do not expect that the adoption of this updated standard will have a material impact to our consolidated financial statements</w:t>
      </w:r>
    </w:p>
    <w:p>
      <w:pPr>
        <w:spacing w:after="0" w:line="192"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In April 2015, the FASB issued new guidance on a customer's accounting for fees paid in a cloud computing arrangement. Prior to this standard, there was no specific guidance under GAAP on accounting for these fees from the customer's perspective. Under the new standard, customers will apply the same criteria as vendors to determine whether a cloud computing agreement contains a software license or is solely a service contract. This new standard is effective for public companies for annual periods, including interim periods, beginning after December 15, 2015. We adopted this standard prospectively in the first quarter of 2016, which did not have a material impact on our consolidated financial statements.</w:t>
      </w:r>
    </w:p>
    <w:p>
      <w:pPr>
        <w:spacing w:after="0" w:line="192"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In August 2014, the FASB issued new guidance which requires management to assess a company's ability to continue as a going concern within one year from the financial statement issuance date and to provide related footnote disclosures in certain circumstances. The assessment is required to be performed for each reporting period including interim periods. The new standard applies to all companies and is effective for the annual period ending after December 15, 2016, and all annual and interim periods thereafter. We adopted this standard in the fourth quarter of 2016, and its adoption did not have an impact on our consolidated financial statements.</w:t>
      </w:r>
    </w:p>
    <w:p>
      <w:pPr>
        <w:spacing w:after="0" w:line="190"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In June 2014, the FASB issued final guidance that a performance target in a share-based payment that affects vesting and that could be achieved after the requisite service period should be accounted for as a performance condition. The guidance was issued to resolve diversity in practice. The standard is effective for annual and interim reporting periods beginning after December 15, 2015. We adopted this standard in the first quarter of 2016, and its adoption did not have a material impact on our consolidated financial statements.</w:t>
      </w:r>
    </w:p>
    <w:p>
      <w:pPr>
        <w:spacing w:after="0" w:line="190" w:lineRule="exact"/>
        <w:rPr>
          <w:sz w:val="20"/>
          <w:szCs w:val="20"/>
          <w:color w:val="auto"/>
        </w:rPr>
      </w:pPr>
    </w:p>
    <w:p>
      <w:pPr>
        <w:jc w:val="both"/>
        <w:ind w:right="20" w:firstLine="441"/>
        <w:spacing w:after="0" w:line="239" w:lineRule="auto"/>
        <w:rPr>
          <w:sz w:val="20"/>
          <w:szCs w:val="20"/>
          <w:color w:val="auto"/>
        </w:rPr>
      </w:pPr>
      <w:r>
        <w:rPr>
          <w:rFonts w:ascii="Arial" w:cs="Arial" w:eastAsia="Arial" w:hAnsi="Arial"/>
          <w:sz w:val="15"/>
          <w:szCs w:val="15"/>
          <w:color w:val="auto"/>
        </w:rPr>
        <w:t>In May 2014, the FASB issued a comprehensive update to revenue recognition guidance that will replace current standards. Under the updated standard, revenue is recognized when a company transfers promised goods or services to customers in an amount that reflects the consideration that is expected to be received for those goods and services. The updated standard also requires additional disclosures on the nature, timing, and uncertainty of revenue and related cash flows. On July 9, 2015, the FASB approved to defer the effective date of the new standard which is now effective for annual and interim reporting periods beginning after December 15, 2017. Based on our initial assessment, we expect to adopt this new standard using the modified retrospective transition method that will result in a cumulative adjustment as of the date of the adoption. Upon initial evaluation, we believe the allocation of contract revenues between various products and solutions, and the timing of when those revenues are recognized will be impacted primarily due to accounting for variable consideration within the standard. Additionally, the requirement to defer incremental costs to obtain a contract, and recognize them over the contract period or expected customer life will result in the recognition of a deferred charge on our balance sheet and will impact our Airline Solutions and Hospitality Solutions business. We are continuing to evaluate all of the provisions of each of these standards, and their impacts to our current accounting policies, processes, controls and systems.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440"/>
          </w:cols>
          <w:pgMar w:left="240" w:top="835" w:right="21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color w:val="auto"/>
        </w:rPr>
        <w:t>2. Acquisitions</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Airpas Aviation</w:t>
      </w:r>
    </w:p>
    <w:p>
      <w:pPr>
        <w:spacing w:after="0" w:line="115"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April 2016, we completed the acquisition of Airpas Aviation, a software provider and consultancy company which offers route profitability and cost management software solutions. We acquired all of the outstanding stock and ownership interest of Airpas Aviation for net cash consideration of $9 million. Assets acquired and liabilities assumed were recorded at their estimated fair values as of the acquisition date. The preliminary allocation of purchase price includes $10 million of assets acquired, primarily consisting of $4 million of goodwill, not deductible for tax purposes, and $5 million of intangible assets. The intangible assets consist of $4 million of acquired customer relationships with a useful life of 10 years and $1 million of purchased technology with a useful life of 5 years. The preliminary purchase price allocation is subject to change, which is expected to be finalized in the first quarter of 2017. Airpas Aviation has been integrated and is managed as part of our Airline and Hospitality Solutions segment. The acquisition of Airpas Aviation did not have a material impact to our consolidated financial statements, and therefore pro forma information is not presented.</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Trust Group</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January 2016, we completed the acquisition of the Trust Group, a central reservations, revenue management and hotel</w:t>
      </w:r>
    </w:p>
    <w:p>
      <w:pPr>
        <w:jc w:val="both"/>
        <w:spacing w:after="0" w:line="242" w:lineRule="auto"/>
        <w:rPr>
          <w:sz w:val="20"/>
          <w:szCs w:val="20"/>
          <w:color w:val="auto"/>
        </w:rPr>
      </w:pPr>
      <w:r>
        <w:rPr>
          <w:rFonts w:ascii="Arial" w:cs="Arial" w:eastAsia="Arial" w:hAnsi="Arial"/>
          <w:sz w:val="15"/>
          <w:szCs w:val="15"/>
          <w:color w:val="auto"/>
        </w:rPr>
        <w:t>marketing provider, expanding our presence in Europe, the Middle East, and Africa ("EMEA") and Asia Pacific ("APAC"). The net cash consideration for the Trust Group was $156 million. The acquisition was funded using proceeds from our 5.25% senior secured notes due in 2023 and cash on hand. The Trust Group has been integrated and is managed as part of our Airline and Hospitality Solutions segment.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Preliminary Purchase Price Allocation</w:t>
      </w:r>
    </w:p>
    <w:p>
      <w:pPr>
        <w:spacing w:after="0" w:line="113"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5"/>
          <w:szCs w:val="15"/>
          <w:color w:val="auto"/>
        </w:rPr>
        <w:t>The preliminary purchase price allocation is subject to change for deferred income taxes, which is expected to be finalized in the first quarter of 2017. A summary of the acquisition price and fair values of assets acquired and liabilities assumed as of the date of acquisition is as follows (in thousands):</w:t>
      </w:r>
    </w:p>
    <w:p>
      <w:pPr>
        <w:spacing w:after="0" w:line="210"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4,209</w:t>
            </w: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color w:val="auto"/>
              </w:rPr>
              <w:t>Accounts receivable</w:t>
            </w:r>
          </w:p>
        </w:tc>
        <w:tc>
          <w:tcPr>
            <w:tcW w:w="62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10,564</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793</w:t>
            </w: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color w:val="auto"/>
              </w:rPr>
              <w:t>Goodwill</w:t>
            </w:r>
          </w:p>
        </w:tc>
        <w:tc>
          <w:tcPr>
            <w:tcW w:w="62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102,333</w:t>
            </w:r>
          </w:p>
        </w:tc>
      </w:tr>
      <w:tr>
        <w:trPr>
          <w:trHeight w:val="254"/>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12"/>
        </w:trPr>
        <w:tc>
          <w:tcPr>
            <w:tcW w:w="8700" w:type="dxa"/>
            <w:vAlign w:val="bottom"/>
          </w:tcPr>
          <w:p>
            <w:pPr>
              <w:ind w:left="140"/>
              <w:spacing w:after="0"/>
              <w:rPr>
                <w:sz w:val="20"/>
                <w:szCs w:val="20"/>
                <w:color w:val="auto"/>
              </w:rPr>
            </w:pPr>
            <w:r>
              <w:rPr>
                <w:rFonts w:ascii="Arial" w:cs="Arial" w:eastAsia="Arial" w:hAnsi="Arial"/>
                <w:sz w:val="15"/>
                <w:szCs w:val="15"/>
                <w:color w:val="auto"/>
              </w:rPr>
              <w:t>Customer relationships</w:t>
            </w:r>
          </w:p>
        </w:tc>
        <w:tc>
          <w:tcPr>
            <w:tcW w:w="62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52,292</w:t>
            </w: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Purchased technology</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23,362</w:t>
            </w:r>
          </w:p>
        </w:tc>
      </w:tr>
      <w:tr>
        <w:trPr>
          <w:trHeight w:val="212"/>
        </w:trPr>
        <w:tc>
          <w:tcPr>
            <w:tcW w:w="8700" w:type="dxa"/>
            <w:vAlign w:val="bottom"/>
          </w:tcPr>
          <w:p>
            <w:pPr>
              <w:ind w:left="140"/>
              <w:spacing w:after="0"/>
              <w:rPr>
                <w:sz w:val="20"/>
                <w:szCs w:val="20"/>
                <w:color w:val="auto"/>
              </w:rPr>
            </w:pPr>
            <w:r>
              <w:rPr>
                <w:rFonts w:ascii="Arial" w:cs="Arial" w:eastAsia="Arial" w:hAnsi="Arial"/>
                <w:sz w:val="15"/>
                <w:szCs w:val="15"/>
                <w:color w:val="auto"/>
              </w:rPr>
              <w:t>Trademarks and brand names</w:t>
            </w:r>
          </w:p>
        </w:tc>
        <w:tc>
          <w:tcPr>
            <w:tcW w:w="620" w:type="dxa"/>
            <w:vAlign w:val="bottom"/>
          </w:tcPr>
          <w:p>
            <w:pPr>
              <w:spacing w:after="0"/>
              <w:rPr>
                <w:sz w:val="18"/>
                <w:szCs w:val="18"/>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2,183</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1,556</w:t>
            </w: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6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(11,152)</w:t>
            </w: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(25,766)</w:t>
            </w:r>
          </w:p>
        </w:tc>
      </w:tr>
      <w:tr>
        <w:trPr>
          <w:trHeight w:val="218"/>
        </w:trPr>
        <w:tc>
          <w:tcPr>
            <w:tcW w:w="8700" w:type="dxa"/>
            <w:vAlign w:val="bottom"/>
          </w:tcPr>
          <w:p>
            <w:pPr>
              <w:ind w:left="140"/>
              <w:spacing w:after="0"/>
              <w:rPr>
                <w:sz w:val="20"/>
                <w:szCs w:val="20"/>
                <w:color w:val="auto"/>
              </w:rPr>
            </w:pPr>
            <w:r>
              <w:rPr>
                <w:rFonts w:ascii="Arial" w:cs="Arial" w:eastAsia="Arial" w:hAnsi="Arial"/>
                <w:sz w:val="15"/>
                <w:szCs w:val="15"/>
                <w:color w:val="auto"/>
              </w:rPr>
              <w:t>Total acquisition price</w:t>
            </w:r>
          </w:p>
        </w:tc>
        <w:tc>
          <w:tcPr>
            <w:tcW w:w="6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160,374</w:t>
            </w:r>
          </w:p>
        </w:tc>
      </w:tr>
      <w:tr>
        <w:trPr>
          <w:trHeight w:val="20"/>
        </w:trPr>
        <w:tc>
          <w:tcPr>
            <w:tcW w:w="8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The goodwill recognized reflects expected synergies from combined operations and also the acquired assembled workforce of the Trust Group in EMEA and APAC. The goodwill recognized is assigned to our Airline and Hospitality Solutions segment and is not deductible for tax purposes. The weighted-average useful lives of the intangible assets acquired are 13 years for customer relationships, 2 years for purchased technology and 2 years for trademarks and brand names.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acquisition of the Trust Group did not have a material impact to our consolidated financial statements, and therefore pro forma information is not presented.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Abacus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On July 1, 2015, we completed the acquisition of the remaining 65% interest in Abacus International Pte Ltd, a Singapore-based business-to-business travel e-commerce provider that serves the Asia-Pacific region, which is now named Sabre Asia Pacific Pte Ltd ("SAPPL"). Prior to the acquisition, SAPPL was 65% owned by a consortium of 11 airlines and the remaining 35% was owned by us. Separately, SAPPL has signed new long-term agreements with the consortium of 11 airlines to continue to utilize the GDS. In the third and fourth quarters of 2015, SAPPL completed the acquisition of the remaining interest in three national marketing companies, Abacus Distribution Systems (Hong Kong), Abacus Travel Systems (Singapore) and Abacus Distribution Systems Sdn Bhd (Malaysia) (the “NMCs” and, together with SAPPL, “Abacus”). SAPPL previously owned noncontrolling interests in the NMCs. The net cash consideration for Abacus was $443 million. The acquisition was funded with a combination of cash on hand and a $70 million draw on the Prior Revolver, which has since been repaid.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420"/>
          </w:cols>
          <w:pgMar w:left="240" w:top="835" w:right="239" w:bottom="1440" w:gutter="0" w:footer="0" w:header="0"/>
        </w:sectPr>
      </w:pPr>
    </w:p>
    <w:bookmarkStart w:id="75" w:name="page76"/>
    <w:bookmarkEnd w:id="75"/>
    <w:p>
      <w:pPr>
        <w:ind w:left="440"/>
        <w:spacing w:after="0"/>
        <w:rPr>
          <w:sz w:val="20"/>
          <w:szCs w:val="20"/>
          <w:color w:val="auto"/>
        </w:rPr>
      </w:pPr>
      <w:r>
        <w:rPr>
          <w:rFonts w:ascii="Arial" w:cs="Arial" w:eastAsia="Arial" w:hAnsi="Arial"/>
          <w:sz w:val="15"/>
          <w:szCs w:val="15"/>
          <w:i w:val="1"/>
          <w:iCs w:val="1"/>
          <w:color w:val="auto"/>
        </w:rPr>
        <w:t>Purchase Price Allocation</w:t>
      </w:r>
    </w:p>
    <w:p>
      <w:pPr>
        <w:spacing w:after="0" w:line="113" w:lineRule="exact"/>
        <w:rPr>
          <w:sz w:val="20"/>
          <w:szCs w:val="20"/>
          <w:color w:val="auto"/>
        </w:rPr>
      </w:pPr>
    </w:p>
    <w:p>
      <w:pPr>
        <w:ind w:firstLine="454"/>
        <w:spacing w:after="0" w:line="245" w:lineRule="auto"/>
        <w:rPr>
          <w:sz w:val="20"/>
          <w:szCs w:val="20"/>
          <w:color w:val="auto"/>
        </w:rPr>
      </w:pPr>
      <w:r>
        <w:rPr>
          <w:rFonts w:ascii="Arial" w:cs="Arial" w:eastAsia="Arial" w:hAnsi="Arial"/>
          <w:sz w:val="15"/>
          <w:szCs w:val="15"/>
          <w:color w:val="auto"/>
        </w:rPr>
        <w:t>A summary of the acquisition price and estimated fair values of assets acquired and liabilities assumed as of the date of acquisition is as follows (in thousands), which includes estimates for contingent liabilities of $25 million related to tax uncertainties:</w:t>
      </w:r>
    </w:p>
    <w:p>
      <w:pPr>
        <w:spacing w:after="0" w:line="210"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58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65,641</w:t>
            </w:r>
          </w:p>
        </w:tc>
        <w:tc>
          <w:tcPr>
            <w:tcW w:w="0" w:type="dxa"/>
            <w:vAlign w:val="bottom"/>
          </w:tcPr>
          <w:p>
            <w:pPr>
              <w:spacing w:after="0"/>
              <w:rPr>
                <w:sz w:val="1"/>
                <w:szCs w:val="1"/>
                <w:color w:val="auto"/>
              </w:rPr>
            </w:pP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color w:val="auto"/>
              </w:rPr>
              <w:t>Accounts receivable, net</w:t>
            </w:r>
          </w:p>
        </w:tc>
        <w:tc>
          <w:tcPr>
            <w:tcW w:w="580" w:type="dxa"/>
            <w:vAlign w:val="bottom"/>
          </w:tcPr>
          <w:p>
            <w:pPr>
              <w:spacing w:after="0"/>
              <w:rPr>
                <w:sz w:val="18"/>
                <w:szCs w:val="18"/>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49,099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12,522</w:t>
            </w:r>
          </w:p>
        </w:tc>
        <w:tc>
          <w:tcPr>
            <w:tcW w:w="0" w:type="dxa"/>
            <w:vAlign w:val="bottom"/>
          </w:tcPr>
          <w:p>
            <w:pPr>
              <w:spacing w:after="0"/>
              <w:rPr>
                <w:sz w:val="1"/>
                <w:szCs w:val="1"/>
                <w:color w:val="auto"/>
              </w:rPr>
            </w:pPr>
          </w:p>
        </w:tc>
      </w:tr>
      <w:tr>
        <w:trPr>
          <w:trHeight w:val="237"/>
        </w:trPr>
        <w:tc>
          <w:tcPr>
            <w:tcW w:w="8700" w:type="dxa"/>
            <w:vAlign w:val="bottom"/>
          </w:tcPr>
          <w:p>
            <w:pPr>
              <w:ind w:left="20"/>
              <w:spacing w:after="0"/>
              <w:rPr>
                <w:sz w:val="20"/>
                <w:szCs w:val="20"/>
                <w:color w:val="auto"/>
              </w:rPr>
            </w:pPr>
            <w:r>
              <w:rPr>
                <w:rFonts w:ascii="Arial" w:cs="Arial" w:eastAsia="Arial" w:hAnsi="Arial"/>
                <w:sz w:val="15"/>
                <w:szCs w:val="15"/>
                <w:color w:val="auto"/>
              </w:rPr>
              <w:t>Intangible assets:</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Customer relationships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319,000</w:t>
            </w:r>
          </w:p>
        </w:tc>
        <w:tc>
          <w:tcPr>
            <w:tcW w:w="0" w:type="dxa"/>
            <w:vAlign w:val="bottom"/>
          </w:tcPr>
          <w:p>
            <w:pPr>
              <w:spacing w:after="0"/>
              <w:rPr>
                <w:sz w:val="1"/>
                <w:szCs w:val="1"/>
                <w:color w:val="auto"/>
              </w:rPr>
            </w:pPr>
          </w:p>
        </w:tc>
      </w:tr>
      <w:tr>
        <w:trPr>
          <w:trHeight w:val="221"/>
        </w:trPr>
        <w:tc>
          <w:tcPr>
            <w:tcW w:w="8700" w:type="dxa"/>
            <w:vAlign w:val="bottom"/>
          </w:tcPr>
          <w:p>
            <w:pPr>
              <w:ind w:left="180"/>
              <w:spacing w:after="0"/>
              <w:rPr>
                <w:sz w:val="20"/>
                <w:szCs w:val="20"/>
                <w:color w:val="auto"/>
              </w:rPr>
            </w:pPr>
            <w:r>
              <w:rPr>
                <w:rFonts w:ascii="Arial" w:cs="Arial" w:eastAsia="Arial" w:hAnsi="Arial"/>
                <w:sz w:val="15"/>
                <w:szCs w:val="15"/>
                <w:color w:val="auto"/>
              </w:rPr>
              <w:t>Reacquired rights</w:t>
            </w:r>
            <w:r>
              <w:rPr>
                <w:rFonts w:ascii="Arial" w:cs="Arial" w:eastAsia="Arial" w:hAnsi="Arial"/>
                <w:sz w:val="19"/>
                <w:szCs w:val="19"/>
                <w:color w:val="auto"/>
                <w:vertAlign w:val="superscript"/>
              </w:rPr>
              <w:t>(1)</w:t>
            </w:r>
          </w:p>
        </w:tc>
        <w:tc>
          <w:tcPr>
            <w:tcW w:w="58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113,500</w:t>
            </w:r>
          </w:p>
        </w:tc>
        <w:tc>
          <w:tcPr>
            <w:tcW w:w="0" w:type="dxa"/>
            <w:vAlign w:val="bottom"/>
          </w:tcPr>
          <w:p>
            <w:pPr>
              <w:spacing w:after="0"/>
              <w:rPr>
                <w:sz w:val="1"/>
                <w:szCs w:val="1"/>
                <w:color w:val="auto"/>
              </w:rPr>
            </w:pPr>
          </w:p>
        </w:tc>
      </w:tr>
      <w:tr>
        <w:trPr>
          <w:trHeight w:val="221"/>
        </w:trPr>
        <w:tc>
          <w:tcPr>
            <w:tcW w:w="8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Purchased technology</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14,000</w:t>
            </w:r>
          </w:p>
        </w:tc>
        <w:tc>
          <w:tcPr>
            <w:tcW w:w="0" w:type="dxa"/>
            <w:vAlign w:val="bottom"/>
          </w:tcPr>
          <w:p>
            <w:pPr>
              <w:spacing w:after="0"/>
              <w:rPr>
                <w:sz w:val="1"/>
                <w:szCs w:val="1"/>
                <w:color w:val="auto"/>
              </w:rPr>
            </w:pPr>
          </w:p>
        </w:tc>
      </w:tr>
      <w:tr>
        <w:trPr>
          <w:trHeight w:val="212"/>
        </w:trPr>
        <w:tc>
          <w:tcPr>
            <w:tcW w:w="8700" w:type="dxa"/>
            <w:vAlign w:val="bottom"/>
          </w:tcPr>
          <w:p>
            <w:pPr>
              <w:ind w:left="180"/>
              <w:spacing w:after="0"/>
              <w:rPr>
                <w:sz w:val="20"/>
                <w:szCs w:val="20"/>
                <w:color w:val="auto"/>
              </w:rPr>
            </w:pPr>
            <w:r>
              <w:rPr>
                <w:rFonts w:ascii="Arial" w:cs="Arial" w:eastAsia="Arial" w:hAnsi="Arial"/>
                <w:sz w:val="15"/>
                <w:szCs w:val="15"/>
                <w:color w:val="auto"/>
              </w:rPr>
              <w:t>Supplier agreements</w:t>
            </w:r>
          </w:p>
        </w:tc>
        <w:tc>
          <w:tcPr>
            <w:tcW w:w="580" w:type="dxa"/>
            <w:vAlign w:val="bottom"/>
          </w:tcPr>
          <w:p>
            <w:pPr>
              <w:spacing w:after="0"/>
              <w:rPr>
                <w:sz w:val="18"/>
                <w:szCs w:val="18"/>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13,000</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Trademarks and brand names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580" w:type="dxa"/>
            <w:vAlign w:val="bottom"/>
          </w:tcPr>
          <w:p>
            <w:pPr>
              <w:spacing w:after="0"/>
              <w:rPr>
                <w:sz w:val="18"/>
                <w:szCs w:val="18"/>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6,402</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66,423</w:t>
            </w:r>
          </w:p>
        </w:tc>
        <w:tc>
          <w:tcPr>
            <w:tcW w:w="0" w:type="dxa"/>
            <w:vAlign w:val="bottom"/>
          </w:tcPr>
          <w:p>
            <w:pPr>
              <w:spacing w:after="0"/>
              <w:rPr>
                <w:sz w:val="1"/>
                <w:szCs w:val="1"/>
                <w:color w:val="auto"/>
              </w:rPr>
            </w:pP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(123,307)</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(44,245)</w:t>
            </w:r>
          </w:p>
        </w:tc>
        <w:tc>
          <w:tcPr>
            <w:tcW w:w="0" w:type="dxa"/>
            <w:vAlign w:val="bottom"/>
          </w:tcPr>
          <w:p>
            <w:pPr>
              <w:spacing w:after="0"/>
              <w:rPr>
                <w:sz w:val="1"/>
                <w:szCs w:val="1"/>
                <w:color w:val="auto"/>
              </w:rPr>
            </w:pPr>
          </w:p>
        </w:tc>
      </w:tr>
      <w:tr>
        <w:trPr>
          <w:trHeight w:val="212"/>
        </w:trPr>
        <w:tc>
          <w:tcPr>
            <w:tcW w:w="8700" w:type="dxa"/>
            <w:vAlign w:val="bottom"/>
          </w:tcPr>
          <w:p>
            <w:pPr>
              <w:ind w:left="20"/>
              <w:spacing w:after="0"/>
              <w:rPr>
                <w:sz w:val="20"/>
                <w:szCs w:val="20"/>
                <w:color w:val="auto"/>
              </w:rPr>
            </w:pPr>
            <w:r>
              <w:rPr>
                <w:rFonts w:ascii="Arial" w:cs="Arial" w:eastAsia="Arial" w:hAnsi="Arial"/>
                <w:sz w:val="15"/>
                <w:szCs w:val="15"/>
                <w:color w:val="auto"/>
              </w:rPr>
              <w:t>Noncurrent deferred income taxes</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(78,054)</w:t>
            </w:r>
          </w:p>
        </w:tc>
        <w:tc>
          <w:tcPr>
            <w:tcW w:w="0" w:type="dxa"/>
            <w:vAlign w:val="bottom"/>
          </w:tcPr>
          <w:p>
            <w:pPr>
              <w:spacing w:after="0"/>
              <w:rPr>
                <w:sz w:val="1"/>
                <w:szCs w:val="1"/>
                <w:color w:val="auto"/>
              </w:rPr>
            </w:pPr>
          </w:p>
        </w:tc>
      </w:tr>
      <w:tr>
        <w:trPr>
          <w:trHeight w:val="222"/>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292,267</w:t>
            </w:r>
          </w:p>
        </w:tc>
        <w:tc>
          <w:tcPr>
            <w:tcW w:w="0" w:type="dxa"/>
            <w:vAlign w:val="bottom"/>
          </w:tcPr>
          <w:p>
            <w:pPr>
              <w:spacing w:after="0"/>
              <w:rPr>
                <w:sz w:val="1"/>
                <w:szCs w:val="1"/>
                <w:color w:val="auto"/>
              </w:rPr>
            </w:pPr>
          </w:p>
        </w:tc>
      </w:tr>
      <w:tr>
        <w:trPr>
          <w:trHeight w:val="224"/>
        </w:trPr>
        <w:tc>
          <w:tcPr>
            <w:tcW w:w="8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710,248</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Sabre Corporation's previously held equity investment in SAPPL</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Fair value of SAPPL's previously held equity investment in national marketing companies</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(1,880)</w:t>
            </w:r>
          </w:p>
        </w:tc>
        <w:tc>
          <w:tcPr>
            <w:tcW w:w="0" w:type="dxa"/>
            <w:vAlign w:val="bottom"/>
          </w:tcPr>
          <w:p>
            <w:pPr>
              <w:spacing w:after="0"/>
              <w:rPr>
                <w:sz w:val="1"/>
                <w:szCs w:val="1"/>
                <w:color w:val="auto"/>
              </w:rPr>
            </w:pPr>
          </w:p>
        </w:tc>
      </w:tr>
      <w:tr>
        <w:trPr>
          <w:trHeight w:val="218"/>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acquisition price</w:t>
            </w:r>
          </w:p>
        </w:tc>
        <w:tc>
          <w:tcPr>
            <w:tcW w:w="58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508,368</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60"/>
              <w:spacing w:after="0"/>
              <w:rPr>
                <w:sz w:val="20"/>
                <w:szCs w:val="20"/>
                <w:color w:val="auto"/>
              </w:rPr>
            </w:pPr>
            <w:r>
              <w:rPr>
                <w:rFonts w:ascii="Arial" w:cs="Arial" w:eastAsia="Arial" w:hAnsi="Arial"/>
                <w:sz w:val="15"/>
                <w:szCs w:val="15"/>
                <w:b w:val="1"/>
                <w:bCs w:val="1"/>
                <w:i w:val="1"/>
                <w:iCs w:val="1"/>
                <w:color w:val="auto"/>
              </w:rPr>
              <w:t>______________________</w:t>
            </w: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7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80" w:hanging="146"/>
        <w:spacing w:after="0" w:line="208" w:lineRule="auto"/>
        <w:tabs>
          <w:tab w:leader="none" w:pos="903" w:val="left"/>
        </w:tabs>
        <w:numPr>
          <w:ilvl w:val="0"/>
          <w:numId w:val="31"/>
        </w:numPr>
        <w:rPr>
          <w:rFonts w:ascii="Arial" w:cs="Arial" w:eastAsia="Arial" w:hAnsi="Arial"/>
          <w:sz w:val="20"/>
          <w:szCs w:val="20"/>
          <w:color w:val="auto"/>
          <w:vertAlign w:val="superscript"/>
        </w:rPr>
      </w:pPr>
      <w:r>
        <w:rPr>
          <w:rFonts w:ascii="Arial" w:cs="Arial" w:eastAsia="Arial" w:hAnsi="Arial"/>
          <w:sz w:val="15"/>
          <w:szCs w:val="15"/>
          <w:color w:val="auto"/>
        </w:rPr>
        <w:t>In connection with the acquisition of Abacus, we reacquired certain contractual rights that provided Abacus the exclusive right, within the Asia-Pacific region, to operate and profit from the Sabre GDS.</w:t>
      </w:r>
    </w:p>
    <w:p>
      <w:pPr>
        <w:spacing w:after="0" w:line="166"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4"/>
          <w:szCs w:val="14"/>
          <w:color w:val="auto"/>
        </w:rPr>
        <w:t>In connection with our acquisition of Abacus, we recognized a gain of $78 million for the year ended December 31, 2015, as a result of the remeasurement of our previously-held 35% equity interest in Abacus to its fair value as of the acquisition date. The fair value of the previously-held equity interest of $202 million in Abacus was estimated by applying a market approach and an income approach. The fair value measurement of the previously-held equity interest is based on significant inputs not observable in the market, and therefore represents Level 3 measurements (see Note 9, Fair Value, for a description of the fair value hierarchy). The fair value estimate for the previously-held equity interest is based on (i) a discount rate commensurate with the risks and inherent uncertainty in the business, (ii) an assumed long-term sustainable growth rate based on our most recent views of the long-term outlook, and (iii) assumed financial multiples of reporting entities deemed to be similar to Abacus. In addition, we recognized a gain of $12 million for year the ended December 31, 2015, associated with the settlement of a pre-existing agreement between us and SAPPL related to data processing services. The $78 million remeasurement gain and the $12 million settlement gain are reflected in other, net in our consolidated statements of operations.</w:t>
      </w:r>
    </w:p>
    <w:p>
      <w:pPr>
        <w:spacing w:after="0" w:line="156"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goodwill recognized reflects expected synergies from combined operations and also the acquired assembled workforce of Abacus. The goodwill recognized is assigned to our Travel Network business and is not deductible for tax purposes. The useful lives of the intangible assets acquired are 20 years for customer relationships, 7 years for reacquired rights, 3 years for purchased technology, 7 years for supplier agreements and 2 years for trademarks and brand names.</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Abacus has been substantially integrated and is managed as part of our Travel Network segment. As part of the integration strategy for Abacus, management evaluated actions to optimize the investment’s potential, including the implementation of a restructuring plan to align the acquired business with Travel Network. This plan includes the elimination of redundant positions, centralization of key operations and termination of particular product offerings. Our restructuring accrual associated with this plan was $2 million and $7 million as of December 31, 2016 and December 31, 2015, respectively. We made payments of $1 million per year in 2016 and 2015 and adjusted the balance by $4 million in 2016 as a result of the reevaluation of our plan derived from a shift in the timing and strategy of originally contemplated actions. The plan is expected to be substantially complete by the first quarter of 2017, and we currently do not expect to incur significant additional charges in connection with the plan.</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Unaudited Pro Forma Financial Information</w:t>
      </w:r>
    </w:p>
    <w:p>
      <w:pPr>
        <w:spacing w:after="0" w:line="113"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The following unaudited pro forma results of operations information give effect to the acquisitions of Abacus as if it occurred on January 1, 2014. The unaudited pro forma results of operations information include adjustments to: (i) eliminate historical revenue and cost of revenue between us, SAPPL and the NMCs; (ii) remove historical amortization recognized by SAPPL associated with its upfront incentive consideration and software developed for internal use, which are replaced by acquired intangible assets; and (iii) add amortization expense associated with acquired intangible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420"/>
          </w:cols>
          <w:pgMar w:left="240" w:top="837"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5"/>
          <w:szCs w:val="15"/>
          <w:color w:val="auto"/>
        </w:rPr>
        <w:t>The following unaudited pro forma results of operations information is presented in thousands:</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auto"/>
              </w:rPr>
              <w:t>Year Ended December 31,</w:t>
            </w:r>
          </w:p>
        </w:tc>
        <w:tc>
          <w:tcPr>
            <w:tcW w:w="1260" w:type="dxa"/>
            <w:vAlign w:val="bottom"/>
            <w:tcBorders>
              <w:bottom w:val="single" w:sz="8" w:color="auto"/>
            </w:tcBorders>
          </w:tcPr>
          <w:p>
            <w:pPr>
              <w:spacing w:after="0"/>
              <w:rPr>
                <w:sz w:val="13"/>
                <w:szCs w:val="13"/>
                <w:color w:val="auto"/>
              </w:rPr>
            </w:pPr>
          </w:p>
        </w:tc>
      </w:tr>
      <w:tr>
        <w:trPr>
          <w:trHeight w:val="225"/>
        </w:trPr>
        <w:tc>
          <w:tcPr>
            <w:tcW w:w="5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2015</w:t>
            </w: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30"/>
              <w:spacing w:after="0"/>
              <w:rPr>
                <w:sz w:val="20"/>
                <w:szCs w:val="20"/>
                <w:color w:val="auto"/>
              </w:rPr>
            </w:pPr>
            <w:r>
              <w:rPr>
                <w:rFonts w:ascii="Arial" w:cs="Arial" w:eastAsia="Arial" w:hAnsi="Arial"/>
                <w:sz w:val="11"/>
                <w:szCs w:val="11"/>
                <w:b w:val="1"/>
                <w:bCs w:val="1"/>
                <w:color w:val="auto"/>
              </w:rPr>
              <w:t>2014</w:t>
            </w:r>
          </w:p>
        </w:tc>
      </w:tr>
      <w:tr>
        <w:trPr>
          <w:trHeight w:val="221"/>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240" w:type="dxa"/>
            <w:vAlign w:val="bottom"/>
            <w:shd w:val="clear" w:color="auto" w:fill="CCEEFF"/>
          </w:tcPr>
          <w:p>
            <w:pPr>
              <w:jc w:val="right"/>
              <w:ind w:right="1075"/>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3,109,310</w:t>
            </w:r>
          </w:p>
        </w:tc>
        <w:tc>
          <w:tcPr>
            <w:tcW w:w="84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2,905,944</w:t>
            </w:r>
          </w:p>
        </w:tc>
      </w:tr>
      <w:tr>
        <w:trPr>
          <w:trHeight w:val="212"/>
        </w:trPr>
        <w:tc>
          <w:tcPr>
            <w:tcW w:w="520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165,006</w:t>
            </w:r>
          </w:p>
        </w:tc>
        <w:tc>
          <w:tcPr>
            <w:tcW w:w="8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5"/>
                <w:szCs w:val="15"/>
                <w:color w:val="auto"/>
              </w:rPr>
              <w:t>122,561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common stockholders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475,933</w:t>
            </w:r>
          </w:p>
        </w:tc>
        <w:tc>
          <w:tcPr>
            <w:tcW w:w="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69,524</w:t>
            </w:r>
          </w:p>
        </w:tc>
      </w:tr>
    </w:tbl>
    <w:p>
      <w:pPr>
        <w:spacing w:after="0" w:line="198" w:lineRule="exact"/>
        <w:rPr>
          <w:sz w:val="20"/>
          <w:szCs w:val="20"/>
          <w:color w:val="auto"/>
        </w:rPr>
      </w:pPr>
    </w:p>
    <w:p>
      <w:pPr>
        <w:jc w:val="both"/>
        <w:ind w:right="20" w:firstLine="454"/>
        <w:spacing w:after="0" w:line="242" w:lineRule="auto"/>
        <w:rPr>
          <w:sz w:val="20"/>
          <w:szCs w:val="20"/>
          <w:color w:val="auto"/>
        </w:rPr>
      </w:pPr>
      <w:r>
        <w:rPr>
          <w:rFonts w:ascii="Arial" w:cs="Arial" w:eastAsia="Arial" w:hAnsi="Arial"/>
          <w:sz w:val="15"/>
          <w:szCs w:val="15"/>
          <w:color w:val="auto"/>
        </w:rPr>
        <w:t>The unaudited pro forma financial information is for informational purposes only and is not necessarily indicative of what our financial performance would have been had the acquisition been completed on the date assumed nor is such unaudited pro forma combined financial information necessarily indicative of the results to be expected in any future period.</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Genares</w:t>
      </w:r>
    </w:p>
    <w:p>
      <w:pPr>
        <w:spacing w:after="0" w:line="115"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In September 2014, we acquired certain assets and liabilities of Genares, a CRS provider, revenue management and marketing solutions to more than 2,300 independent and chain hotel properties worldwide. Under the transaction, we acquired the net assets of Genares for cash consideration of $32 million. The operating results of Genares have been included in our consolidated statement of operations and results of operations of our Airline and Hospitality Solutions segment from the date of the acquisition. Assets acquired and liabilities assumed were recorded at their estimated fair values using management’s best estimates, based in part on an independent valuation of the net assets acquired. The allocation of the purchase price includes $16 million of goodwill, which is deductible for tax purposes, $16 million of other intangible assets and $1 million of other net assets acquired. The other intangible assets consist primarily of $13 million of acquired customer relationships with a useful life of ten years and $2 million of non-compete agreements with a useful life of five years.</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PRISM</w:t>
      </w:r>
    </w:p>
    <w:p>
      <w:pPr>
        <w:spacing w:after="0" w:line="115"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In August 2012, we acquired all of the outstanding stock and ownership interests of PRISM Group Inc. and PRISM Technologies LLC (collectively “PRISM”), a leading provider of end to end airline contract business intelligence and decision support software. The acquisition added to our portfolio of products within Airline and Hospitality Solutions, allows for new relationships with airlines and added to our existing business intelligence capabilities. The purchase price was $116 million, of which $66 million was paid in August 2012 and $50 million, on a discounted basis, was contingent consideration paid in two annual installments. The first $27 million installment was paid in August 2013 and represented a holdback payment primarily for indemnification purposes. The second $27 million installment was paid in August 2014 and represented contingent consideration based on performance measures which were met. In addition, we paid a total of $6 million of contingent compensation to key employees in two installments of $3 million each in August of 2013 and 2014. The contingent compensation was not considered part of the purchase price consideration.</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Discontinued Operations</w:t>
      </w:r>
    </w:p>
    <w:p>
      <w:pPr>
        <w:spacing w:after="0" w:line="115" w:lineRule="exact"/>
        <w:rPr>
          <w:sz w:val="20"/>
          <w:szCs w:val="20"/>
          <w:color w:val="auto"/>
        </w:rPr>
      </w:pPr>
    </w:p>
    <w:p>
      <w:pPr>
        <w:jc w:val="both"/>
        <w:ind w:right="20" w:firstLine="454"/>
        <w:spacing w:after="0" w:line="242" w:lineRule="auto"/>
        <w:rPr>
          <w:sz w:val="20"/>
          <w:szCs w:val="20"/>
          <w:color w:val="auto"/>
        </w:rPr>
      </w:pPr>
      <w:r>
        <w:rPr>
          <w:rFonts w:ascii="Arial" w:cs="Arial" w:eastAsia="Arial" w:hAnsi="Arial"/>
          <w:sz w:val="15"/>
          <w:szCs w:val="15"/>
          <w:color w:val="auto"/>
        </w:rPr>
        <w:t>In the first quarter of 2015, we completed the divestiture of our Travelocity business through the sale of Travelocity.com and lastminute.com. Our Travelocity segment has no remaining operations subsequent to these dispositions. The financial results of our Travelocity business are included in net income from discontinued operations in our consolidated statements of operations for all periods presented.</w:t>
      </w:r>
    </w:p>
    <w:p>
      <w:pPr>
        <w:spacing w:after="0" w:line="174" w:lineRule="exact"/>
        <w:rPr>
          <w:sz w:val="20"/>
          <w:szCs w:val="20"/>
          <w:color w:val="auto"/>
        </w:rPr>
      </w:pPr>
    </w:p>
    <w:p>
      <w:pPr>
        <w:jc w:val="both"/>
        <w:ind w:firstLine="454"/>
        <w:spacing w:after="0" w:line="246" w:lineRule="auto"/>
        <w:rPr>
          <w:sz w:val="20"/>
          <w:szCs w:val="20"/>
          <w:color w:val="auto"/>
        </w:rPr>
      </w:pPr>
      <w:r>
        <w:rPr>
          <w:rFonts w:ascii="Arial" w:cs="Arial" w:eastAsia="Arial" w:hAnsi="Arial"/>
          <w:sz w:val="15"/>
          <w:szCs w:val="15"/>
          <w:i w:val="1"/>
          <w:iCs w:val="1"/>
          <w:color w:val="auto"/>
        </w:rPr>
        <w:t>Travelocity.com</w:t>
      </w:r>
      <w:r>
        <w:rPr>
          <w:rFonts w:ascii="Arial" w:cs="Arial" w:eastAsia="Arial" w:hAnsi="Arial"/>
          <w:sz w:val="15"/>
          <w:szCs w:val="15"/>
          <w:color w:val="auto"/>
        </w:rPr>
        <w:t>—On January 23, 2015, we sold Travelocity.com to Expedia Inc. ("Expedia"), pursuant to the terms of an Asset Purchase Agreement (the “Travelocity</w:t>
      </w:r>
      <w:r>
        <w:rPr>
          <w:rFonts w:ascii="Arial" w:cs="Arial" w:eastAsia="Arial" w:hAnsi="Arial"/>
          <w:sz w:val="15"/>
          <w:szCs w:val="15"/>
          <w:i w:val="1"/>
          <w:iCs w:val="1"/>
          <w:color w:val="auto"/>
        </w:rPr>
        <w:t xml:space="preserve"> </w:t>
      </w:r>
      <w:r>
        <w:rPr>
          <w:rFonts w:ascii="Arial" w:cs="Arial" w:eastAsia="Arial" w:hAnsi="Arial"/>
          <w:sz w:val="15"/>
          <w:szCs w:val="15"/>
          <w:color w:val="auto"/>
        </w:rPr>
        <w:t>Purchase Agreement”), dated January 23, 2015, by and among Sabre GLBL and Travelocity.com LP, and Expedia. The signing and closing of the Travelocity Purchase Agreement occurred contemporaneously. Expedia purchased Travelocity.com pursuant to the Travelocity Purchase Agreement for cash consideration of $280 million. The net assets of Travelocity.com disposed of primarily included a trade name with a carrying value of $55 million. We recognized a gain on sale of $143 million, net of tax, in the first quarter of 2015.</w:t>
      </w:r>
    </w:p>
    <w:p>
      <w:pPr>
        <w:spacing w:after="0" w:line="171" w:lineRule="exact"/>
        <w:rPr>
          <w:sz w:val="20"/>
          <w:szCs w:val="20"/>
          <w:color w:val="auto"/>
        </w:rPr>
      </w:pPr>
    </w:p>
    <w:p>
      <w:pPr>
        <w:jc w:val="both"/>
        <w:ind w:right="20" w:firstLine="454"/>
        <w:spacing w:after="0" w:line="246" w:lineRule="auto"/>
        <w:rPr>
          <w:sz w:val="20"/>
          <w:szCs w:val="20"/>
          <w:color w:val="auto"/>
        </w:rPr>
      </w:pPr>
      <w:r>
        <w:rPr>
          <w:rFonts w:ascii="Arial" w:cs="Arial" w:eastAsia="Arial" w:hAnsi="Arial"/>
          <w:sz w:val="15"/>
          <w:szCs w:val="15"/>
          <w:i w:val="1"/>
          <w:iCs w:val="1"/>
          <w:color w:val="auto"/>
        </w:rPr>
        <w:t>lastminute.com—</w:t>
      </w:r>
      <w:r>
        <w:rPr>
          <w:rFonts w:ascii="Arial" w:cs="Arial" w:eastAsia="Arial" w:hAnsi="Arial"/>
          <w:sz w:val="15"/>
          <w:szCs w:val="15"/>
          <w:color w:val="auto"/>
        </w:rPr>
        <w:t>On March 1, 2015, we sold lastminute.com to Bravofly Rumbo Group. The transaction was completed through the transfer of net liabilities as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date of sale consisting primarily of a working capital deficit of $70 million, partially offset by assets sold including intangible assets of $27 million. We did not receive any cash proceeds or any other significant consideration in the transaction other than payments for specific services to be provided to the acquirer under a transition services agreement which concluded on March 31, 2016. Additionally, at the time of sale, the acquirer entered into a long-term agreement with us to continue to utilize our GDS for bookings, which generates incentive consideration paid by us to the acquirer. We recognized a gain on sale of $24 million, net of tax, in the first quarter of 2015.</w:t>
      </w:r>
    </w:p>
    <w:p>
      <w:pPr>
        <w:spacing w:after="0" w:line="171" w:lineRule="exact"/>
        <w:rPr>
          <w:sz w:val="20"/>
          <w:szCs w:val="20"/>
          <w:color w:val="auto"/>
        </w:rPr>
      </w:pPr>
    </w:p>
    <w:p>
      <w:pPr>
        <w:jc w:val="both"/>
        <w:ind w:right="20" w:firstLine="454"/>
        <w:spacing w:after="0" w:line="248" w:lineRule="auto"/>
        <w:rPr>
          <w:sz w:val="20"/>
          <w:szCs w:val="20"/>
          <w:color w:val="auto"/>
        </w:rPr>
      </w:pPr>
      <w:r>
        <w:rPr>
          <w:rFonts w:ascii="Arial" w:cs="Arial" w:eastAsia="Arial" w:hAnsi="Arial"/>
          <w:sz w:val="15"/>
          <w:szCs w:val="15"/>
          <w:i w:val="1"/>
          <w:iCs w:val="1"/>
          <w:color w:val="auto"/>
        </w:rPr>
        <w:t>Travel Partner Network—</w:t>
      </w:r>
      <w:r>
        <w:rPr>
          <w:rFonts w:ascii="Arial" w:cs="Arial" w:eastAsia="Arial" w:hAnsi="Arial"/>
          <w:sz w:val="15"/>
          <w:szCs w:val="15"/>
          <w:color w:val="auto"/>
        </w:rPr>
        <w:t>In February 2014, we completed a sale of assets associated with Travelocity Partner Network (“TPN”), a business-to-business private white</w:t>
      </w:r>
      <w:r>
        <w:rPr>
          <w:rFonts w:ascii="Arial" w:cs="Arial" w:eastAsia="Arial" w:hAnsi="Arial"/>
          <w:sz w:val="15"/>
          <w:szCs w:val="15"/>
          <w:i w:val="1"/>
          <w:iCs w:val="1"/>
          <w:color w:val="auto"/>
        </w:rPr>
        <w:t xml:space="preserve"> </w:t>
      </w:r>
      <w:r>
        <w:rPr>
          <w:rFonts w:ascii="Arial" w:cs="Arial" w:eastAsia="Arial" w:hAnsi="Arial"/>
          <w:sz w:val="15"/>
          <w:szCs w:val="15"/>
          <w:color w:val="auto"/>
        </w:rPr>
        <w:t>label website offering, for $10 million in proceeds. Pursuant to the sale agreement, we were to receive two annual earn-out payments, totaling up to $10 million, if the purchaser exceeded certain revenue thresholds during the calendar years ending December 31, 2014 and 2015, which were not met. In connection with the sale, Travelocity entered into a Transition Services Agreement (“TSA”) with the acquirer to provide services to maintain the websites and certain technical</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440"/>
          </w:cols>
          <w:pgMar w:left="240" w:top="656" w:right="219" w:bottom="1440" w:gutter="0" w:footer="0" w:header="0"/>
        </w:sectPr>
      </w:pPr>
    </w:p>
    <w:bookmarkStart w:id="77" w:name="page78"/>
    <w:bookmarkEnd w:id="77"/>
    <w:p>
      <w:pPr>
        <w:jc w:val="both"/>
        <w:spacing w:after="0" w:line="241" w:lineRule="auto"/>
        <w:rPr>
          <w:sz w:val="20"/>
          <w:szCs w:val="20"/>
          <w:color w:val="auto"/>
        </w:rPr>
      </w:pPr>
      <w:r>
        <w:rPr>
          <w:rFonts w:ascii="Arial" w:cs="Arial" w:eastAsia="Arial" w:hAnsi="Arial"/>
          <w:sz w:val="15"/>
          <w:szCs w:val="15"/>
          <w:color w:val="auto"/>
        </w:rPr>
        <w:t>and administrative functions for the acquirer until a complete transition occurs or the TSA terminates. Consideration received under both agreements has been allocated to the disposition and the services provided under the TSA; therefore, a significant portion of the upfront proceeds were deferred, based on fair value of the TSA services, and recognized as an offset to operating expense within discontinued operations as the services were provided through August 2015. We recognized a $3 million loss on disposition for the year ended December 31, 2014 in our results of discontinued operations.</w:t>
      </w:r>
    </w:p>
    <w:p>
      <w:pPr>
        <w:spacing w:after="0" w:line="174" w:lineRule="exact"/>
        <w:rPr>
          <w:sz w:val="20"/>
          <w:szCs w:val="20"/>
          <w:color w:val="auto"/>
        </w:rPr>
      </w:pPr>
    </w:p>
    <w:p>
      <w:pPr>
        <w:jc w:val="both"/>
        <w:ind w:firstLine="454"/>
        <w:spacing w:after="0" w:line="243" w:lineRule="auto"/>
        <w:rPr>
          <w:sz w:val="20"/>
          <w:szCs w:val="20"/>
          <w:color w:val="auto"/>
        </w:rPr>
      </w:pPr>
      <w:r>
        <w:rPr>
          <w:rFonts w:ascii="Arial" w:cs="Arial" w:eastAsia="Arial" w:hAnsi="Arial"/>
          <w:sz w:val="15"/>
          <w:szCs w:val="15"/>
          <w:i w:val="1"/>
          <w:iCs w:val="1"/>
          <w:color w:val="auto"/>
        </w:rPr>
        <w:t>Holiday Autos</w:t>
      </w:r>
      <w:r>
        <w:rPr>
          <w:rFonts w:ascii="Arial" w:cs="Arial" w:eastAsia="Arial" w:hAnsi="Arial"/>
          <w:sz w:val="15"/>
          <w:szCs w:val="15"/>
          <w:color w:val="auto"/>
        </w:rPr>
        <w:t>—On June 25, 2013, we sold certain assets of our Holiday Autos operations to a third party and, in November 2013, completed the closing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remainder of the Holiday Autos operations such that it represented a discontinued operation. Holiday Autos was a leisure car hire broker that offered pre-paid, low-cost car rentals in various markets, largely in Europe. In the second quarter of 2013, we recognized an $11 million loss, net of tax, on the sale of Holiday Autos. The loss includes the write-off of $39 million of goodwill and intangible assets attributed to Holiday Autos, with the goodwill portion determined based on Holiday Autos’ relative fair value to the Travelocity Europe reporting unit. The sale provided for us to receive two earn-out payments measured during the 12 month periods ending September 30, 2014 and 2015, totaling up to $12 million, based upon the purchaser exceeding certain booking thresholds as defined in the sale agreement. At the time of sale, we recognized a total of $6 million relative to these earn-out provisions. We received the first earn-out payment of $6 million in the fourth quarter of 2014. The second earn-out payment of $6 million was received in first quarter of 2016 and is included in Other, Net in results from operations.</w:t>
      </w:r>
    </w:p>
    <w:p>
      <w:pPr>
        <w:sectPr>
          <w:pgSz w:w="11900" w:h="16838" w:orient="portrait"/>
          <w:cols w:equalWidth="0" w:num="1">
            <w:col w:w="11420"/>
          </w:cols>
          <w:pgMar w:left="240" w:top="754" w:right="239" w:bottom="1440" w:gutter="0" w:footer="0" w:header="0"/>
        </w:sectPr>
      </w:pPr>
    </w:p>
    <w:p>
      <w:pPr>
        <w:spacing w:after="0" w:line="26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Financial Information of Discontinued Operations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results of our discontinued operations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449580</wp:posOffset>
            </wp:positionV>
            <wp:extent cx="7259320" cy="155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Revenue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Selling, general and administrative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Operating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income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0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7571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7170" cy="76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1"/>
                <w:szCs w:val="11"/>
                <w:b w:val="1"/>
                <w:bCs w:val="1"/>
                <w:color w:val="auto"/>
              </w:rPr>
              <w:t>2014</w:t>
            </w:r>
          </w:p>
        </w:tc>
      </w:tr>
      <w:tr>
        <w:trPr>
          <w:trHeight w:val="216"/>
        </w:trPr>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24,815</w:t>
            </w:r>
          </w:p>
        </w:tc>
        <w:tc>
          <w:tcPr>
            <w:tcW w:w="100" w:type="dxa"/>
            <w:vAlign w:val="bottom"/>
          </w:tcPr>
          <w:p>
            <w:pPr>
              <w:spacing w:after="0"/>
              <w:rPr>
                <w:sz w:val="18"/>
                <w:szCs w:val="18"/>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328,835</w:t>
            </w:r>
          </w:p>
        </w:tc>
      </w:tr>
      <w:tr>
        <w:trPr>
          <w:trHeight w:val="245"/>
        </w:trPr>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21,520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113,092</w:t>
            </w:r>
          </w:p>
        </w:tc>
      </w:tr>
      <w:tr>
        <w:trPr>
          <w:trHeight w:val="245"/>
        </w:trPr>
        <w:tc>
          <w:tcPr>
            <w:tcW w:w="340" w:type="dxa"/>
            <w:vAlign w:val="bottom"/>
          </w:tcPr>
          <w:p>
            <w:pPr>
              <w:spacing w:after="0"/>
              <w:rPr>
                <w:sz w:val="21"/>
                <w:szCs w:val="21"/>
                <w:color w:val="auto"/>
              </w:rPr>
            </w:pPr>
          </w:p>
        </w:tc>
        <w:tc>
          <w:tcPr>
            <w:tcW w:w="1060" w:type="dxa"/>
            <w:vAlign w:val="bottom"/>
          </w:tcPr>
          <w:p>
            <w:pPr>
              <w:jc w:val="right"/>
              <w:ind w:right="49"/>
              <w:spacing w:after="0"/>
              <w:rPr>
                <w:sz w:val="20"/>
                <w:szCs w:val="20"/>
                <w:color w:val="auto"/>
              </w:rPr>
            </w:pPr>
            <w:r>
              <w:rPr>
                <w:rFonts w:ascii="Arial" w:cs="Arial" w:eastAsia="Arial" w:hAnsi="Arial"/>
                <w:sz w:val="15"/>
                <w:szCs w:val="15"/>
                <w:color w:val="auto"/>
              </w:rPr>
              <w:t>11,619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273,195</w:t>
            </w:r>
          </w:p>
        </w:tc>
      </w:tr>
      <w:tr>
        <w:trPr>
          <w:trHeight w:val="255"/>
        </w:trPr>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1,785</w:t>
            </w:r>
          </w:p>
        </w:tc>
      </w:tr>
      <w:tr>
        <w:trPr>
          <w:trHeight w:val="216"/>
        </w:trPr>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(11,619)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rPr>
              <w:t>26,372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(59,237)</w:t>
            </w:r>
          </w:p>
        </w:tc>
      </w:tr>
    </w:tbl>
    <w:p>
      <w:pPr>
        <w:spacing w:after="0" w:line="263" w:lineRule="exact"/>
        <w:rPr>
          <w:sz w:val="20"/>
          <w:szCs w:val="20"/>
          <w:color w:val="auto"/>
        </w:rPr>
      </w:pPr>
    </w:p>
    <w:p>
      <w:pPr>
        <w:sectPr>
          <w:pgSz w:w="11900" w:h="16838" w:orient="portrait"/>
          <w:cols w:equalWidth="0" w:num="2">
            <w:col w:w="6360" w:space="720"/>
            <w:col w:w="4340"/>
          </w:cols>
          <w:pgMar w:left="240" w:top="754" w:right="2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Gain (loss) on sale of businesses</w:t>
            </w:r>
            <w:r>
              <w:rPr>
                <w:rFonts w:ascii="Arial" w:cs="Arial" w:eastAsia="Arial" w:hAnsi="Arial"/>
                <w:sz w:val="19"/>
                <w:szCs w:val="19"/>
                <w:color w:val="auto"/>
                <w:vertAlign w:val="superscript"/>
              </w:rPr>
              <w:t>(1)</w:t>
            </w: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305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294,276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 net</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4,640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(10,545)</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other income (expense), net</w:t>
            </w: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(720)</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298,916</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(10,545)</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5"/>
                <w:szCs w:val="15"/>
                <w:color w:val="auto"/>
              </w:rPr>
              <w:t>Income (loss) from discontinuing operations before income taxes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(12,339)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325,288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(69,782)</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r>
              <w:rPr>
                <w:rFonts w:ascii="Arial" w:cs="Arial" w:eastAsia="Arial" w:hAnsi="Arial"/>
                <w:sz w:val="19"/>
                <w:szCs w:val="19"/>
                <w:color w:val="auto"/>
                <w:vertAlign w:val="superscript"/>
              </w:rPr>
              <w:t>(2)</w:t>
            </w: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(17,888)</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10,880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(30,864)</w:t>
            </w:r>
          </w:p>
        </w:tc>
        <w:tc>
          <w:tcPr>
            <w:tcW w:w="0" w:type="dxa"/>
            <w:vAlign w:val="bottom"/>
          </w:tcPr>
          <w:p>
            <w:pPr>
              <w:spacing w:after="0"/>
              <w:rPr>
                <w:sz w:val="1"/>
                <w:szCs w:val="1"/>
                <w:color w:val="auto"/>
              </w:rPr>
            </w:pPr>
          </w:p>
        </w:tc>
      </w:tr>
      <w:tr>
        <w:trPr>
          <w:trHeight w:val="205"/>
        </w:trPr>
        <w:tc>
          <w:tcPr>
            <w:tcW w:w="7080" w:type="dxa"/>
            <w:vAlign w:val="bottom"/>
          </w:tcPr>
          <w:p>
            <w:pPr>
              <w:ind w:left="20"/>
              <w:spacing w:after="0"/>
              <w:rPr>
                <w:sz w:val="20"/>
                <w:szCs w:val="20"/>
                <w:color w:val="auto"/>
              </w:rPr>
            </w:pPr>
            <w:r>
              <w:rPr>
                <w:rFonts w:ascii="Arial" w:cs="Arial" w:eastAsia="Arial" w:hAnsi="Arial"/>
                <w:sz w:val="15"/>
                <w:szCs w:val="15"/>
                <w:color w:val="auto"/>
              </w:rPr>
              <w:t>Net income (loss) from discontinued operations</w:t>
            </w:r>
          </w:p>
        </w:tc>
        <w:tc>
          <w:tcPr>
            <w:tcW w:w="4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5,549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314,408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(38,918)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80"/>
              <w:spacing w:after="0"/>
              <w:rPr>
                <w:sz w:val="20"/>
                <w:szCs w:val="20"/>
                <w:color w:val="auto"/>
              </w:rPr>
            </w:pPr>
            <w:r>
              <w:rPr>
                <w:rFonts w:ascii="Arial" w:cs="Arial" w:eastAsia="Arial" w:hAnsi="Arial"/>
                <w:sz w:val="15"/>
                <w:szCs w:val="15"/>
                <w:color w:val="auto"/>
              </w:rPr>
              <w:t>______________________________________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60" w:hanging="288"/>
        <w:spacing w:after="0" w:line="249" w:lineRule="auto"/>
        <w:tabs>
          <w:tab w:leader="none" w:pos="360" w:val="left"/>
        </w:tabs>
        <w:numPr>
          <w:ilvl w:val="0"/>
          <w:numId w:val="32"/>
        </w:numPr>
        <w:rPr>
          <w:rFonts w:ascii="Arial" w:cs="Arial" w:eastAsia="Arial" w:hAnsi="Arial"/>
          <w:sz w:val="15"/>
          <w:szCs w:val="15"/>
          <w:color w:val="auto"/>
        </w:rPr>
      </w:pPr>
      <w:r>
        <w:rPr>
          <w:rFonts w:ascii="Arial" w:cs="Arial" w:eastAsia="Arial" w:hAnsi="Arial"/>
          <w:sz w:val="13"/>
          <w:szCs w:val="13"/>
          <w:color w:val="auto"/>
        </w:rPr>
        <w:t>The year ended December 31, 2015 includes $31 million of reclassified cumulative translation gains associated with our lastminute.com subsidiaries. See “Divestiture of lastminute.com— Cumulative Translation Adjustments” for additional information.</w:t>
      </w:r>
    </w:p>
    <w:p>
      <w:pPr>
        <w:spacing w:after="0" w:line="46" w:lineRule="exact"/>
        <w:rPr>
          <w:rFonts w:ascii="Arial" w:cs="Arial" w:eastAsia="Arial" w:hAnsi="Arial"/>
          <w:sz w:val="15"/>
          <w:szCs w:val="15"/>
          <w:color w:val="auto"/>
        </w:rPr>
      </w:pPr>
    </w:p>
    <w:p>
      <w:pPr>
        <w:ind w:left="360" w:hanging="288"/>
        <w:spacing w:after="0" w:line="247" w:lineRule="auto"/>
        <w:tabs>
          <w:tab w:leader="none" w:pos="3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year ended December 31, 2016 includes a $17 million tax benefit associated with the resolution of uncertain tax positions. The year ended December 31, 2015 includes a U.S. tax benefit of $93 million; see “Divestiture of lastminute.com—U.S. Tax Benefit” for additional information.</w:t>
      </w:r>
    </w:p>
    <w:p>
      <w:pPr>
        <w:spacing w:after="0" w:line="180"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5"/>
          <w:szCs w:val="15"/>
          <w:color w:val="auto"/>
        </w:rPr>
        <w:t>For the year ended December 31, 2015, selling, general and administrative includes a gain of $40 million as a result of the favorable final ruling from the Supreme Court of Hawaii and receipt of a cash refund related to our litigation of hotel occupancy taxes. See Note 15, Commitments and Contingencies, for additional information.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Divestiture of lastminute.com</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Cumulative Translation Adjustments</w:t>
      </w:r>
    </w:p>
    <w:p>
      <w:pPr>
        <w:spacing w:after="0" w:line="113"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Cumulative translation adjustment (“CTA”) gains or losses of foreign subsidiaries related to divested businesses are reclassified into earnings once the liquidation of the respective foreign subsidiaries is substantially complete. During the year ended December 31, 2015, we substantially completed the liquidation of our lastminute.com subsidiaries and, therefore, reclassified $19 million, net of tax, of CTA gains from accumulated comprehensive income (loss) to our results of discontinued operations.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U.S. Tax Benefit</w:t>
      </w:r>
    </w:p>
    <w:p>
      <w:pPr>
        <w:spacing w:after="0" w:line="113"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5"/>
          <w:szCs w:val="15"/>
          <w:color w:val="auto"/>
        </w:rPr>
        <w:t>We wrote off the remaining U.S. tax basis in goodwill and intangible assets during the fourth quarter of 2015, the period in which we completed the wind down of lastminute.com activities. As a result, we recognized a U.S. tax benefit of $93 million in our results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420"/>
          </w:cols>
          <w:pgMar w:left="240" w:top="754"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5"/>
          <w:szCs w:val="15"/>
          <w:b w:val="1"/>
          <w:bCs w:val="1"/>
          <w:color w:val="auto"/>
        </w:rPr>
        <w:t>4. Goodwill and Intangible Assets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Changes in the carrying amount of goodwill during the years ended December 31, 2016 and 2015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Airline and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rPr>
              <w:t>Hospitality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9"/>
        </w:trPr>
        <w:tc>
          <w:tcPr>
            <w:tcW w:w="33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1"/>
                <w:szCs w:val="11"/>
                <w:b w:val="1"/>
                <w:bCs w:val="1"/>
                <w:color w:val="auto"/>
              </w:rPr>
              <w:t>Travel Network</w:t>
            </w:r>
          </w:p>
        </w:tc>
        <w:tc>
          <w:tcPr>
            <w:tcW w:w="12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Solutions</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Goodwill</w:t>
            </w: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December 31, 2014</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1,812,500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340,999</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2,153,499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160"/>
              <w:spacing w:after="0"/>
              <w:rPr>
                <w:sz w:val="20"/>
                <w:szCs w:val="20"/>
                <w:color w:val="auto"/>
              </w:rPr>
            </w:pPr>
            <w:r>
              <w:rPr>
                <w:rFonts w:ascii="Arial" w:cs="Arial" w:eastAsia="Arial" w:hAnsi="Arial"/>
                <w:sz w:val="15"/>
                <w:szCs w:val="15"/>
                <w:color w:val="auto"/>
              </w:rPr>
              <w:t>Acquired</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49"/>
              <w:spacing w:after="0"/>
              <w:rPr>
                <w:sz w:val="20"/>
                <w:szCs w:val="20"/>
                <w:color w:val="auto"/>
              </w:rPr>
            </w:pPr>
            <w:r>
              <w:rPr>
                <w:rFonts w:ascii="Arial" w:cs="Arial" w:eastAsia="Arial" w:hAnsi="Arial"/>
                <w:sz w:val="15"/>
                <w:szCs w:val="15"/>
                <w:color w:val="auto"/>
              </w:rPr>
              <w:t>287,349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287,349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Adjustments</w:t>
            </w:r>
            <w:r>
              <w:rPr>
                <w:rFonts w:ascii="Arial" w:cs="Arial" w:eastAsia="Arial" w:hAnsi="Arial"/>
                <w:sz w:val="19"/>
                <w:szCs w:val="19"/>
                <w:color w:val="auto"/>
                <w:vertAlign w:val="superscript"/>
              </w:rPr>
              <w:t>(1)</w:t>
            </w: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00" w:type="dxa"/>
            <w:vAlign w:val="bottom"/>
          </w:tcPr>
          <w:p>
            <w:pPr>
              <w:ind w:left="20"/>
              <w:spacing w:after="0"/>
              <w:rPr>
                <w:sz w:val="20"/>
                <w:szCs w:val="20"/>
                <w:color w:val="auto"/>
              </w:rPr>
            </w:pPr>
            <w:r>
              <w:rPr>
                <w:rFonts w:ascii="Arial" w:cs="Arial" w:eastAsia="Arial" w:hAnsi="Arial"/>
                <w:sz w:val="15"/>
                <w:szCs w:val="15"/>
                <w:color w:val="auto"/>
              </w:rPr>
              <w:t>Balance as of December 31, 2015</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9"/>
              <w:spacing w:after="0"/>
              <w:rPr>
                <w:sz w:val="20"/>
                <w:szCs w:val="20"/>
                <w:color w:val="auto"/>
              </w:rPr>
            </w:pPr>
            <w:r>
              <w:rPr>
                <w:rFonts w:ascii="Arial" w:cs="Arial" w:eastAsia="Arial" w:hAnsi="Arial"/>
                <w:sz w:val="15"/>
                <w:szCs w:val="15"/>
                <w:color w:val="auto"/>
              </w:rPr>
              <w:t>2,099,580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340,851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2,440,431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Acquired</w:t>
            </w: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4,894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105,990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110,884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30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Adjustments</w:t>
            </w:r>
            <w:r>
              <w:rPr>
                <w:rFonts w:ascii="Arial" w:cs="Arial" w:eastAsia="Arial" w:hAnsi="Arial"/>
                <w:sz w:val="19"/>
                <w:szCs w:val="19"/>
                <w:color w:val="auto"/>
                <w:vertAlign w:val="superscript"/>
              </w:rPr>
              <w:t>(1)</w:t>
            </w:r>
          </w:p>
        </w:tc>
        <w:tc>
          <w:tcPr>
            <w:tcW w:w="4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68</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(2,936)</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(2,868)</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December 31, 2016</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2,104,542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443,905</w:t>
            </w: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2,548,447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________________________</w:t>
            </w:r>
          </w:p>
        </w:tc>
        <w:tc>
          <w:tcPr>
            <w:tcW w:w="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3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20" w:type="dxa"/>
            <w:vAlign w:val="bottom"/>
            <w:gridSpan w:val="2"/>
          </w:tcPr>
          <w:p>
            <w:pPr>
              <w:spacing w:after="0"/>
              <w:rPr>
                <w:sz w:val="20"/>
                <w:szCs w:val="20"/>
                <w:color w:val="auto"/>
              </w:rPr>
            </w:pPr>
            <w:r>
              <w:rPr>
                <w:rFonts w:ascii="Arial" w:cs="Arial" w:eastAsia="Arial" w:hAnsi="Arial"/>
                <w:sz w:val="15"/>
                <w:szCs w:val="15"/>
                <w:color w:val="auto"/>
                <w:w w:val="98"/>
              </w:rPr>
              <w:t>(1)  Includes net foreign currency effects during the year.</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8"/>
        </w:trPr>
        <w:tc>
          <w:tcPr>
            <w:tcW w:w="7220" w:type="dxa"/>
            <w:vAlign w:val="bottom"/>
            <w:gridSpan w:val="9"/>
          </w:tcPr>
          <w:p>
            <w:pPr>
              <w:ind w:left="460"/>
              <w:spacing w:after="0"/>
              <w:rPr>
                <w:sz w:val="20"/>
                <w:szCs w:val="20"/>
                <w:color w:val="auto"/>
              </w:rPr>
            </w:pPr>
            <w:r>
              <w:rPr>
                <w:rFonts w:ascii="Arial" w:cs="Arial" w:eastAsia="Arial" w:hAnsi="Arial"/>
                <w:sz w:val="15"/>
                <w:szCs w:val="15"/>
                <w:color w:val="auto"/>
              </w:rPr>
              <w:t>The following table presents our intangible assets as of December 31, 2016 and 2015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December 31, 2015</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rPr>
              <w:t>Gross</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71"/>
              <w:spacing w:after="0"/>
              <w:rPr>
                <w:sz w:val="20"/>
                <w:szCs w:val="20"/>
                <w:color w:val="auto"/>
              </w:rPr>
            </w:pPr>
            <w:r>
              <w:rPr>
                <w:rFonts w:ascii="Arial" w:cs="Arial" w:eastAsia="Arial" w:hAnsi="Arial"/>
                <w:sz w:val="11"/>
                <w:szCs w:val="11"/>
                <w:b w:val="1"/>
                <w:bCs w:val="1"/>
                <w:color w:val="auto"/>
              </w:rPr>
              <w:t>Net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23"/>
        </w:trPr>
        <w:tc>
          <w:tcPr>
            <w:tcW w:w="3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2"/>
          </w:tcPr>
          <w:p>
            <w:pPr>
              <w:jc w:val="center"/>
              <w:ind w:right="520"/>
              <w:spacing w:after="0" w:line="123" w:lineRule="exact"/>
              <w:rPr>
                <w:sz w:val="20"/>
                <w:szCs w:val="20"/>
                <w:color w:val="auto"/>
              </w:rPr>
            </w:pPr>
            <w:r>
              <w:rPr>
                <w:rFonts w:ascii="Arial" w:cs="Arial" w:eastAsia="Arial" w:hAnsi="Arial"/>
                <w:sz w:val="11"/>
                <w:szCs w:val="11"/>
                <w:b w:val="1"/>
                <w:bCs w:val="1"/>
                <w:color w:val="auto"/>
              </w:rPr>
              <w:t>Carrying</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rPr>
              <w:t>Accumulated</w:t>
            </w:r>
          </w:p>
        </w:tc>
        <w:tc>
          <w:tcPr>
            <w:tcW w:w="240" w:type="dxa"/>
            <w:vAlign w:val="bottom"/>
          </w:tcPr>
          <w:p>
            <w:pPr>
              <w:spacing w:after="0"/>
              <w:rPr>
                <w:sz w:val="10"/>
                <w:szCs w:val="10"/>
                <w:color w:val="auto"/>
              </w:rPr>
            </w:pPr>
          </w:p>
        </w:tc>
        <w:tc>
          <w:tcPr>
            <w:tcW w:w="880" w:type="dxa"/>
            <w:vAlign w:val="bottom"/>
          </w:tcPr>
          <w:p>
            <w:pPr>
              <w:jc w:val="center"/>
              <w:ind w:right="71"/>
              <w:spacing w:after="0" w:line="123" w:lineRule="exact"/>
              <w:rPr>
                <w:sz w:val="20"/>
                <w:szCs w:val="20"/>
                <w:color w:val="auto"/>
              </w:rPr>
            </w:pPr>
            <w:r>
              <w:rPr>
                <w:rFonts w:ascii="Arial" w:cs="Arial" w:eastAsia="Arial" w:hAnsi="Arial"/>
                <w:sz w:val="11"/>
                <w:szCs w:val="11"/>
                <w:b w:val="1"/>
                <w:bCs w:val="1"/>
                <w:color w:val="auto"/>
              </w:rPr>
              <w:t>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3"/>
          </w:tcPr>
          <w:p>
            <w:pPr>
              <w:jc w:val="center"/>
              <w:ind w:right="280"/>
              <w:spacing w:after="0" w:line="123" w:lineRule="exact"/>
              <w:rPr>
                <w:sz w:val="20"/>
                <w:szCs w:val="20"/>
                <w:color w:val="auto"/>
              </w:rPr>
            </w:pPr>
            <w:r>
              <w:rPr>
                <w:rFonts w:ascii="Arial" w:cs="Arial" w:eastAsia="Arial" w:hAnsi="Arial"/>
                <w:sz w:val="11"/>
                <w:szCs w:val="11"/>
                <w:b w:val="1"/>
                <w:bCs w:val="1"/>
                <w:color w:val="auto"/>
              </w:rPr>
              <w:t>Carrying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40"/>
              <w:spacing w:after="0" w:line="123" w:lineRule="exact"/>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320"/>
              <w:spacing w:after="0" w:line="123" w:lineRule="exact"/>
              <w:rPr>
                <w:sz w:val="20"/>
                <w:szCs w:val="20"/>
                <w:color w:val="auto"/>
              </w:rPr>
            </w:pPr>
            <w:r>
              <w:rPr>
                <w:rFonts w:ascii="Arial" w:cs="Arial" w:eastAsia="Arial" w:hAnsi="Arial"/>
                <w:sz w:val="11"/>
                <w:szCs w:val="11"/>
                <w:b w:val="1"/>
                <w:bCs w:val="1"/>
                <w:color w:val="auto"/>
              </w:rPr>
              <w:t>Carrying</w:t>
            </w:r>
          </w:p>
        </w:tc>
        <w:tc>
          <w:tcPr>
            <w:tcW w:w="0" w:type="dxa"/>
            <w:vAlign w:val="bottom"/>
          </w:tcPr>
          <w:p>
            <w:pPr>
              <w:spacing w:after="0"/>
              <w:rPr>
                <w:sz w:val="1"/>
                <w:szCs w:val="1"/>
                <w:color w:val="auto"/>
              </w:rPr>
            </w:pPr>
          </w:p>
        </w:tc>
      </w:tr>
      <w:tr>
        <w:trPr>
          <w:trHeight w:val="159"/>
        </w:trPr>
        <w:tc>
          <w:tcPr>
            <w:tcW w:w="33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31"/>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rPr>
              <w:t>Amortization</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Acquired customer relationships</w:t>
            </w:r>
          </w:p>
        </w:tc>
        <w:tc>
          <w:tcPr>
            <w:tcW w:w="42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1,034,483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(646,851)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387,632</w:t>
            </w:r>
          </w:p>
        </w:tc>
        <w:tc>
          <w:tcPr>
            <w:tcW w:w="460" w:type="dxa"/>
            <w:vAlign w:val="bottom"/>
            <w:gridSpan w:val="3"/>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978,763</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(561,876)</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416,887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5"/>
                <w:szCs w:val="15"/>
                <w:color w:val="auto"/>
              </w:rPr>
              <w:t>Trademarks and brand names</w:t>
            </w:r>
          </w:p>
        </w:tc>
        <w:tc>
          <w:tcPr>
            <w:tcW w:w="4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Arial" w:cs="Arial" w:eastAsia="Arial" w:hAnsi="Arial"/>
                <w:sz w:val="15"/>
                <w:szCs w:val="15"/>
                <w:color w:val="auto"/>
              </w:rPr>
              <w:t>332,238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(114,430)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217,808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330,054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(99,814)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5"/>
                <w:szCs w:val="15"/>
                <w:color w:val="auto"/>
              </w:rPr>
              <w:t>230,240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Reacquired rights</w:t>
            </w: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113,500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(24,481)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113,500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(8,267)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105,233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5"/>
                <w:szCs w:val="15"/>
                <w:color w:val="auto"/>
              </w:rPr>
              <w:t>Purchased technology</w:t>
            </w:r>
          </w:p>
        </w:tc>
        <w:tc>
          <w:tcPr>
            <w:tcW w:w="4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Arial" w:cs="Arial" w:eastAsia="Arial" w:hAnsi="Arial"/>
                <w:sz w:val="15"/>
                <w:szCs w:val="15"/>
                <w:color w:val="auto"/>
              </w:rPr>
              <w:t>427,823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(366,456)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61,367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403,524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(342,805)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5"/>
                <w:szCs w:val="15"/>
                <w:color w:val="auto"/>
              </w:rPr>
              <w:t>60,719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Acquired contracts, supplier and distributor</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agreements</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37,600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37,600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(15,494)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22,106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Non-compete agreements</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15,025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15,025</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(13,657)</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5"/>
                <w:szCs w:val="15"/>
                <w:color w:val="auto"/>
              </w:rPr>
              <w:t>1,368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intangible assets</w:t>
            </w:r>
          </w:p>
        </w:tc>
        <w:tc>
          <w:tcPr>
            <w:tcW w:w="42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1,960,669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775,437</w:t>
            </w:r>
          </w:p>
        </w:tc>
        <w:tc>
          <w:tcPr>
            <w:tcW w:w="460" w:type="dxa"/>
            <w:vAlign w:val="bottom"/>
            <w:gridSpan w:val="3"/>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1,878,466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(1,041,913)</w:t>
            </w: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836,553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Amortization expense relating to intangible assets subject to amortization totaled $143 million, $107 million and $96 million for the year ended December 31, 2016, 2015 and 2014, respectively. Estimated amortization expense related to intangible assets subject to amortization for each of the five succeeding years and beyond is as follows (in thousands):</w:t>
      </w:r>
    </w:p>
    <w:p>
      <w:pPr>
        <w:spacing w:after="0" w:line="212" w:lineRule="exact"/>
        <w:rPr>
          <w:sz w:val="20"/>
          <w:szCs w:val="20"/>
          <w:color w:val="auto"/>
        </w:rPr>
      </w:pPr>
    </w:p>
    <w:tbl>
      <w:tblPr>
        <w:tblLayout w:type="fixed"/>
        <w:tblInd w:w="1680" w:type="dxa"/>
        <w:tblCellMar>
          <w:top w:w="0" w:type="dxa"/>
          <w:left w:w="0" w:type="dxa"/>
          <w:bottom w:w="0" w:type="dxa"/>
          <w:right w:w="0" w:type="dxa"/>
        </w:tblCellMar>
      </w:tblPr>
      <w:tr>
        <w:trPr>
          <w:trHeight w:val="221"/>
        </w:trPr>
        <w:tc>
          <w:tcPr>
            <w:tcW w:w="2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2017</w:t>
            </w:r>
          </w:p>
        </w:tc>
        <w:tc>
          <w:tcPr>
            <w:tcW w:w="43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95,840</w:t>
            </w:r>
          </w:p>
        </w:tc>
        <w:tc>
          <w:tcPr>
            <w:tcW w:w="0" w:type="dxa"/>
            <w:vAlign w:val="bottom"/>
          </w:tcPr>
          <w:p>
            <w:pPr>
              <w:spacing w:after="0"/>
              <w:rPr>
                <w:sz w:val="1"/>
                <w:szCs w:val="1"/>
                <w:color w:val="auto"/>
              </w:rPr>
            </w:pPr>
          </w:p>
        </w:tc>
      </w:tr>
      <w:tr>
        <w:trPr>
          <w:trHeight w:val="212"/>
        </w:trPr>
        <w:tc>
          <w:tcPr>
            <w:tcW w:w="2640" w:type="dxa"/>
            <w:vAlign w:val="bottom"/>
          </w:tcPr>
          <w:p>
            <w:pPr>
              <w:ind w:left="20"/>
              <w:spacing w:after="0"/>
              <w:rPr>
                <w:sz w:val="20"/>
                <w:szCs w:val="20"/>
                <w:color w:val="auto"/>
              </w:rPr>
            </w:pPr>
            <w:r>
              <w:rPr>
                <w:rFonts w:ascii="Arial" w:cs="Arial" w:eastAsia="Arial" w:hAnsi="Arial"/>
                <w:sz w:val="15"/>
                <w:szCs w:val="15"/>
                <w:color w:val="auto"/>
              </w:rPr>
              <w:t>2018</w:t>
            </w:r>
          </w:p>
        </w:tc>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67,983</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3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63,866</w:t>
            </w:r>
          </w:p>
        </w:tc>
        <w:tc>
          <w:tcPr>
            <w:tcW w:w="0" w:type="dxa"/>
            <w:vAlign w:val="bottom"/>
          </w:tcPr>
          <w:p>
            <w:pPr>
              <w:spacing w:after="0"/>
              <w:rPr>
                <w:sz w:val="1"/>
                <w:szCs w:val="1"/>
                <w:color w:val="auto"/>
              </w:rPr>
            </w:pPr>
          </w:p>
        </w:tc>
      </w:tr>
      <w:tr>
        <w:trPr>
          <w:trHeight w:val="212"/>
        </w:trPr>
        <w:tc>
          <w:tcPr>
            <w:tcW w:w="2640" w:type="dxa"/>
            <w:vAlign w:val="bottom"/>
          </w:tcPr>
          <w:p>
            <w:pPr>
              <w:ind w:left="20"/>
              <w:spacing w:after="0"/>
              <w:rPr>
                <w:sz w:val="20"/>
                <w:szCs w:val="20"/>
                <w:color w:val="auto"/>
              </w:rPr>
            </w:pPr>
            <w:r>
              <w:rPr>
                <w:rFonts w:ascii="Arial" w:cs="Arial" w:eastAsia="Arial" w:hAnsi="Arial"/>
                <w:sz w:val="15"/>
                <w:szCs w:val="15"/>
                <w:color w:val="auto"/>
              </w:rPr>
              <w:t>2020</w:t>
            </w:r>
          </w:p>
        </w:tc>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62,256</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37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60,743</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2022 and thereafter</w:t>
            </w:r>
          </w:p>
        </w:tc>
        <w:tc>
          <w:tcPr>
            <w:tcW w:w="37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424,749</w:t>
            </w: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w:t>
            </w:r>
          </w:p>
        </w:tc>
        <w:tc>
          <w:tcPr>
            <w:tcW w:w="43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775,437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166"/>
              <w:spacing w:after="0"/>
              <w:rPr>
                <w:sz w:val="20"/>
                <w:szCs w:val="20"/>
                <w:color w:val="auto"/>
              </w:rPr>
            </w:pPr>
            <w:r>
              <w:rPr>
                <w:rFonts w:ascii="Arial" w:cs="Arial" w:eastAsia="Arial" w:hAnsi="Arial"/>
                <w:sz w:val="15"/>
                <w:szCs w:val="15"/>
                <w:color w:val="auto"/>
              </w:rPr>
              <w:t>77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26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5" w:right="239" w:bottom="1440" w:gutter="0" w:footer="0" w:header="0"/>
        </w:sectPr>
      </w:pPr>
    </w:p>
    <w:bookmarkStart w:id="79" w:name="page80"/>
    <w:bookmarkEnd w:id="79"/>
    <w:p>
      <w:pPr>
        <w:spacing w:after="0"/>
        <w:rPr>
          <w:sz w:val="20"/>
          <w:szCs w:val="20"/>
          <w:color w:val="auto"/>
        </w:rPr>
      </w:pPr>
      <w:r>
        <w:rPr>
          <w:rFonts w:ascii="Arial" w:cs="Arial" w:eastAsia="Arial" w:hAnsi="Arial"/>
          <w:sz w:val="15"/>
          <w:szCs w:val="15"/>
          <w:b w:val="1"/>
          <w:bCs w:val="1"/>
          <w:color w:val="auto"/>
        </w:rPr>
        <w:t>5. Balance Sheet Components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Prepaid Expenses and Other Current Assets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Prepaid expenses and other current assets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449580</wp:posOffset>
            </wp:positionV>
            <wp:extent cx="7111365" cy="155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1365"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Prepaid Expenses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Value added tax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111365" cy="155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1365" cy="15557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Prepaid Expenses and Other Current Assets</w:t>
      </w:r>
    </w:p>
    <w:p>
      <w:pPr>
        <w:spacing w:after="0" w:line="34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Property and equipment, net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457835</wp:posOffset>
            </wp:positionV>
            <wp:extent cx="7259320" cy="155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Buildings and leasehold improvements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Furniture, fixtures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Computer equipment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Software developed for internal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Property and equipment, net</w:t>
      </w:r>
    </w:p>
    <w:p>
      <w:pPr>
        <w:spacing w:after="0" w:line="34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Other Assets, Net</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Other assets,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442595</wp:posOffset>
            </wp:positionV>
            <wp:extent cx="7259320" cy="155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Capitalized implementation costs,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Deferred customer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Deferred upfront incentive consideration</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 assets, net</w:t>
      </w:r>
    </w:p>
    <w:p>
      <w:pPr>
        <w:spacing w:after="0" w:line="34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Other Noncurrent Liabilities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Other noncurrent liabilities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442595</wp:posOffset>
            </wp:positionV>
            <wp:extent cx="7259320" cy="155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Tax receivable agreement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Deferred revenue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259320" cy="155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15557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 noncurrent liabilities</w:t>
      </w:r>
    </w:p>
    <w:p>
      <w:pPr>
        <w:spacing w:after="0" w:line="294" w:lineRule="exact"/>
        <w:rPr>
          <w:sz w:val="20"/>
          <w:szCs w:val="20"/>
          <w:color w:val="auto"/>
        </w:rPr>
      </w:pPr>
    </w:p>
    <w:p>
      <w:pPr>
        <w:jc w:val="right"/>
        <w:ind w:right="1600"/>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25400</wp:posOffset>
            </wp:positionV>
            <wp:extent cx="19157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15795" cy="7620"/>
                    </a:xfrm>
                    <a:prstGeom prst="rect">
                      <a:avLst/>
                    </a:prstGeom>
                    <a:noFill/>
                  </pic:spPr>
                </pic:pic>
              </a:graphicData>
            </a:graphic>
          </wp:anchor>
        </w:drawing>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59"/>
        </w:trPr>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2015</w:t>
            </w:r>
          </w:p>
        </w:tc>
      </w:tr>
      <w:tr>
        <w:trPr>
          <w:trHeight w:val="216"/>
        </w:trPr>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50"/>
              <w:spacing w:after="0"/>
              <w:rPr>
                <w:sz w:val="20"/>
                <w:szCs w:val="20"/>
                <w:color w:val="auto"/>
              </w:rPr>
            </w:pPr>
            <w:r>
              <w:rPr>
                <w:rFonts w:ascii="Arial" w:cs="Arial" w:eastAsia="Arial" w:hAnsi="Arial"/>
                <w:sz w:val="15"/>
                <w:szCs w:val="15"/>
                <w:color w:val="auto"/>
              </w:rPr>
              <w:t>61,539</w:t>
            </w:r>
          </w:p>
        </w:tc>
        <w:tc>
          <w:tcPr>
            <w:tcW w:w="100" w:type="dxa"/>
            <w:vAlign w:val="bottom"/>
          </w:tcPr>
          <w:p>
            <w:pPr>
              <w:spacing w:after="0"/>
              <w:rPr>
                <w:sz w:val="18"/>
                <w:szCs w:val="18"/>
                <w:color w:val="auto"/>
              </w:rPr>
            </w:pPr>
          </w:p>
        </w:tc>
        <w:tc>
          <w:tcPr>
            <w:tcW w:w="3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50"/>
              <w:spacing w:after="0"/>
              <w:rPr>
                <w:sz w:val="20"/>
                <w:szCs w:val="20"/>
                <w:color w:val="auto"/>
              </w:rPr>
            </w:pPr>
            <w:r>
              <w:rPr>
                <w:rFonts w:ascii="Arial" w:cs="Arial" w:eastAsia="Arial" w:hAnsi="Arial"/>
                <w:sz w:val="15"/>
                <w:szCs w:val="15"/>
                <w:color w:val="auto"/>
              </w:rPr>
              <w:t>46,177</w:t>
            </w:r>
          </w:p>
        </w:tc>
      </w:tr>
      <w:tr>
        <w:trPr>
          <w:trHeight w:val="245"/>
        </w:trPr>
        <w:tc>
          <w:tcPr>
            <w:tcW w:w="3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5"/>
                <w:szCs w:val="15"/>
                <w:color w:val="auto"/>
              </w:rPr>
              <w:t>26,244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5"/>
                <w:szCs w:val="15"/>
                <w:color w:val="auto"/>
              </w:rPr>
              <w:t>28,830</w:t>
            </w:r>
          </w:p>
        </w:tc>
      </w:tr>
      <w:tr>
        <w:trPr>
          <w:trHeight w:val="255"/>
        </w:trPr>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817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6,160</w:t>
            </w:r>
          </w:p>
        </w:tc>
      </w:tr>
      <w:tr>
        <w:trPr>
          <w:trHeight w:val="213"/>
        </w:trPr>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88,600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81,167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210312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03120" cy="7620"/>
                    </a:xfrm>
                    <a:prstGeom prst="rect">
                      <a:avLst/>
                    </a:prstGeom>
                    <a:noFill/>
                  </pic:spPr>
                </pic:pic>
              </a:graphicData>
            </a:graphic>
          </wp:anchor>
        </w:drawing>
      </w:r>
    </w:p>
    <w:p>
      <w:pPr>
        <w:spacing w:after="0" w:line="111" w:lineRule="exact"/>
        <w:rPr>
          <w:sz w:val="20"/>
          <w:szCs w:val="20"/>
          <w:color w:val="auto"/>
        </w:rPr>
      </w:pPr>
    </w:p>
    <w:p>
      <w:pPr>
        <w:ind w:left="680"/>
        <w:spacing w:after="0"/>
        <w:tabs>
          <w:tab w:leader="none" w:pos="2380" w:val="left"/>
        </w:tabs>
        <w:rPr>
          <w:sz w:val="20"/>
          <w:szCs w:val="20"/>
          <w:color w:val="auto"/>
        </w:rPr>
      </w:pPr>
      <w:r>
        <w:rPr>
          <w:rFonts w:ascii="Arial" w:cs="Arial" w:eastAsia="Arial" w:hAnsi="Arial"/>
          <w:sz w:val="11"/>
          <w:szCs w:val="11"/>
          <w:b w:val="1"/>
          <w:bCs w:val="1"/>
          <w:color w:val="auto"/>
        </w:rPr>
        <w:t>2016</w:t>
      </w:r>
      <w:r>
        <w:rPr>
          <w:sz w:val="20"/>
          <w:szCs w:val="20"/>
          <w:color w:val="auto"/>
        </w:rPr>
        <w:tab/>
      </w:r>
      <w:r>
        <w:rPr>
          <w:rFonts w:ascii="Arial" w:cs="Arial" w:eastAsia="Arial" w:hAnsi="Arial"/>
          <w:sz w:val="11"/>
          <w:szCs w:val="11"/>
          <w:b w:val="1"/>
          <w:bCs w:val="1"/>
          <w:color w:val="auto"/>
        </w:rPr>
        <w:t>2015</w:t>
      </w:r>
    </w:p>
    <w:p>
      <w:pPr>
        <w:spacing w:after="0" w:line="91" w:lineRule="exact"/>
        <w:rPr>
          <w:sz w:val="20"/>
          <w:szCs w:val="20"/>
          <w:color w:val="auto"/>
        </w:rPr>
      </w:pPr>
    </w:p>
    <w:p>
      <w:pPr>
        <w:ind w:left="20"/>
        <w:spacing w:after="0"/>
        <w:tabs>
          <w:tab w:leader="none" w:pos="940" w:val="left"/>
          <w:tab w:leader="none" w:pos="1740" w:val="left"/>
          <w:tab w:leader="none" w:pos="2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144,604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141,070</w:t>
      </w:r>
    </w:p>
    <w:p>
      <w:pPr>
        <w:spacing w:after="0" w:line="73" w:lineRule="exact"/>
        <w:rPr>
          <w:sz w:val="20"/>
          <w:szCs w:val="20"/>
          <w:color w:val="auto"/>
        </w:rPr>
      </w:pPr>
    </w:p>
    <w:p>
      <w:pPr>
        <w:ind w:left="1040"/>
        <w:spacing w:after="0"/>
        <w:tabs>
          <w:tab w:leader="none" w:pos="2720" w:val="left"/>
        </w:tabs>
        <w:rPr>
          <w:sz w:val="20"/>
          <w:szCs w:val="20"/>
          <w:color w:val="auto"/>
        </w:rPr>
      </w:pPr>
      <w:r>
        <w:rPr>
          <w:rFonts w:ascii="Arial" w:cs="Arial" w:eastAsia="Arial" w:hAnsi="Arial"/>
          <w:sz w:val="15"/>
          <w:szCs w:val="15"/>
          <w:color w:val="auto"/>
        </w:rPr>
        <w:t>35,525</w:t>
      </w:r>
      <w:r>
        <w:rPr>
          <w:sz w:val="20"/>
          <w:szCs w:val="20"/>
          <w:color w:val="auto"/>
        </w:rPr>
        <w:tab/>
      </w:r>
      <w:r>
        <w:rPr>
          <w:rFonts w:ascii="Arial" w:cs="Arial" w:eastAsia="Arial" w:hAnsi="Arial"/>
          <w:sz w:val="15"/>
          <w:szCs w:val="15"/>
          <w:color w:val="auto"/>
        </w:rPr>
        <w:t>29,265</w:t>
      </w:r>
    </w:p>
    <w:p>
      <w:pPr>
        <w:spacing w:after="0" w:line="73" w:lineRule="exact"/>
        <w:rPr>
          <w:sz w:val="20"/>
          <w:szCs w:val="20"/>
          <w:color w:val="auto"/>
        </w:rPr>
      </w:pPr>
    </w:p>
    <w:p>
      <w:pPr>
        <w:ind w:left="960"/>
        <w:spacing w:after="0"/>
        <w:tabs>
          <w:tab w:leader="none" w:pos="2640" w:val="left"/>
        </w:tabs>
        <w:rPr>
          <w:sz w:val="20"/>
          <w:szCs w:val="20"/>
          <w:color w:val="auto"/>
        </w:rPr>
      </w:pPr>
      <w:r>
        <w:rPr>
          <w:rFonts w:ascii="Arial" w:cs="Arial" w:eastAsia="Arial" w:hAnsi="Arial"/>
          <w:sz w:val="15"/>
          <w:szCs w:val="15"/>
          <w:color w:val="auto"/>
        </w:rPr>
        <w:t>288,982</w:t>
      </w:r>
      <w:r>
        <w:rPr>
          <w:sz w:val="20"/>
          <w:szCs w:val="20"/>
          <w:color w:val="auto"/>
        </w:rPr>
        <w:tab/>
      </w:r>
      <w:r>
        <w:rPr>
          <w:rFonts w:ascii="Arial" w:cs="Arial" w:eastAsia="Arial" w:hAnsi="Arial"/>
          <w:sz w:val="15"/>
          <w:szCs w:val="15"/>
          <w:color w:val="auto"/>
        </w:rPr>
        <w:t>321,001</w:t>
      </w:r>
    </w:p>
    <w:p>
      <w:pPr>
        <w:spacing w:after="0" w:line="73" w:lineRule="exact"/>
        <w:rPr>
          <w:sz w:val="20"/>
          <w:szCs w:val="20"/>
          <w:color w:val="auto"/>
        </w:rPr>
      </w:pPr>
    </w:p>
    <w:p>
      <w:pPr>
        <w:ind w:left="840"/>
        <w:spacing w:after="0"/>
        <w:tabs>
          <w:tab w:leader="none" w:pos="2640" w:val="left"/>
        </w:tabs>
        <w:rPr>
          <w:sz w:val="20"/>
          <w:szCs w:val="20"/>
          <w:color w:val="auto"/>
        </w:rPr>
      </w:pPr>
      <w:r>
        <w:rPr>
          <w:rFonts w:ascii="Arial" w:cs="Arial" w:eastAsia="Arial" w:hAnsi="Arial"/>
          <w:sz w:val="15"/>
          <w:szCs w:val="15"/>
          <w:color w:val="auto"/>
        </w:rPr>
        <w:t>1,271,059</w:t>
      </w:r>
      <w:r>
        <w:rPr>
          <w:sz w:val="20"/>
          <w:szCs w:val="20"/>
          <w:color w:val="auto"/>
        </w:rPr>
        <w:tab/>
      </w:r>
      <w:r>
        <w:rPr>
          <w:rFonts w:ascii="Arial" w:cs="Arial" w:eastAsia="Arial" w:hAnsi="Arial"/>
          <w:sz w:val="15"/>
          <w:szCs w:val="15"/>
          <w:color w:val="auto"/>
        </w:rPr>
        <w:t>986,780</w:t>
      </w:r>
    </w:p>
    <w:p>
      <w:pPr>
        <w:spacing w:after="0" w:line="73" w:lineRule="exact"/>
        <w:rPr>
          <w:sz w:val="20"/>
          <w:szCs w:val="20"/>
          <w:color w:val="auto"/>
        </w:rPr>
      </w:pPr>
    </w:p>
    <w:p>
      <w:pPr>
        <w:ind w:left="840"/>
        <w:spacing w:after="0"/>
        <w:tabs>
          <w:tab w:leader="none" w:pos="2520" w:val="left"/>
        </w:tabs>
        <w:rPr>
          <w:sz w:val="20"/>
          <w:szCs w:val="20"/>
          <w:color w:val="auto"/>
        </w:rPr>
      </w:pPr>
      <w:r>
        <w:rPr>
          <w:rFonts w:ascii="Arial" w:cs="Arial" w:eastAsia="Arial" w:hAnsi="Arial"/>
          <w:sz w:val="15"/>
          <w:szCs w:val="15"/>
          <w:color w:val="auto"/>
        </w:rPr>
        <w:t>1,740,170</w:t>
      </w:r>
      <w:r>
        <w:rPr>
          <w:sz w:val="20"/>
          <w:szCs w:val="20"/>
          <w:color w:val="auto"/>
        </w:rPr>
        <w:tab/>
      </w:r>
      <w:r>
        <w:rPr>
          <w:rFonts w:ascii="Arial" w:cs="Arial" w:eastAsia="Arial" w:hAnsi="Arial"/>
          <w:sz w:val="15"/>
          <w:szCs w:val="15"/>
          <w:color w:val="auto"/>
        </w:rPr>
        <w:t>1,478,116</w:t>
      </w:r>
    </w:p>
    <w:p>
      <w:pPr>
        <w:spacing w:after="0" w:line="73" w:lineRule="exact"/>
        <w:rPr>
          <w:sz w:val="20"/>
          <w:szCs w:val="20"/>
          <w:color w:val="auto"/>
        </w:rPr>
      </w:pPr>
    </w:p>
    <w:p>
      <w:pPr>
        <w:jc w:val="both"/>
        <w:ind w:left="920"/>
        <w:spacing w:after="0"/>
        <w:tabs>
          <w:tab w:leader="none" w:pos="2600" w:val="left"/>
        </w:tabs>
        <w:rPr>
          <w:sz w:val="20"/>
          <w:szCs w:val="20"/>
          <w:color w:val="auto"/>
        </w:rPr>
      </w:pPr>
      <w:r>
        <w:rPr>
          <w:rFonts w:ascii="Arial" w:cs="Arial" w:eastAsia="Arial" w:hAnsi="Arial"/>
          <w:sz w:val="15"/>
          <w:szCs w:val="15"/>
          <w:color w:val="auto"/>
        </w:rPr>
        <w:t>(986,891)</w:t>
      </w:r>
      <w:r>
        <w:rPr>
          <w:sz w:val="20"/>
          <w:szCs w:val="20"/>
          <w:color w:val="auto"/>
        </w:rPr>
        <w:tab/>
      </w:r>
      <w:r>
        <w:rPr>
          <w:rFonts w:ascii="Arial" w:cs="Arial" w:eastAsia="Arial" w:hAnsi="Arial"/>
          <w:sz w:val="15"/>
          <w:szCs w:val="15"/>
          <w:color w:val="auto"/>
        </w:rPr>
        <w:t>(850,587)</w:t>
      </w:r>
    </w:p>
    <w:p>
      <w:pPr>
        <w:spacing w:after="0" w:line="61" w:lineRule="exact"/>
        <w:rPr>
          <w:sz w:val="20"/>
          <w:szCs w:val="20"/>
          <w:color w:val="auto"/>
        </w:rPr>
      </w:pPr>
    </w:p>
    <w:p>
      <w:pPr>
        <w:ind w:left="20"/>
        <w:spacing w:after="0"/>
        <w:tabs>
          <w:tab w:leader="none" w:pos="940" w:val="left"/>
          <w:tab w:leader="none" w:pos="1740" w:val="left"/>
          <w:tab w:leader="none" w:pos="2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753,279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627,529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210312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31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21031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03120" cy="76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9"/>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1"/>
                <w:szCs w:val="11"/>
                <w:b w:val="1"/>
                <w:bCs w:val="1"/>
                <w:color w:val="auto"/>
              </w:rPr>
              <w:t>2015</w:t>
            </w:r>
          </w:p>
        </w:tc>
      </w:tr>
      <w:tr>
        <w:trPr>
          <w:trHeight w:val="216"/>
        </w:trPr>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9"/>
              <w:spacing w:after="0"/>
              <w:rPr>
                <w:sz w:val="20"/>
                <w:szCs w:val="20"/>
                <w:color w:val="auto"/>
              </w:rPr>
            </w:pPr>
            <w:r>
              <w:rPr>
                <w:rFonts w:ascii="Arial" w:cs="Arial" w:eastAsia="Arial" w:hAnsi="Arial"/>
                <w:sz w:val="15"/>
                <w:szCs w:val="15"/>
                <w:color w:val="auto"/>
              </w:rPr>
              <w:t>249,317</w:t>
            </w:r>
          </w:p>
        </w:tc>
        <w:tc>
          <w:tcPr>
            <w:tcW w:w="100" w:type="dxa"/>
            <w:vAlign w:val="bottom"/>
          </w:tcPr>
          <w:p>
            <w:pPr>
              <w:spacing w:after="0"/>
              <w:rPr>
                <w:sz w:val="18"/>
                <w:szCs w:val="18"/>
                <w:color w:val="auto"/>
              </w:rPr>
            </w:pPr>
          </w:p>
        </w:tc>
        <w:tc>
          <w:tcPr>
            <w:tcW w:w="4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206,429</w:t>
            </w:r>
          </w:p>
        </w:tc>
      </w:tr>
      <w:tr>
        <w:trPr>
          <w:trHeight w:val="245"/>
        </w:trPr>
        <w:tc>
          <w:tcPr>
            <w:tcW w:w="400" w:type="dxa"/>
            <w:vAlign w:val="bottom"/>
          </w:tcPr>
          <w:p>
            <w:pPr>
              <w:spacing w:after="0"/>
              <w:rPr>
                <w:sz w:val="21"/>
                <w:szCs w:val="21"/>
                <w:color w:val="auto"/>
              </w:rPr>
            </w:pPr>
          </w:p>
        </w:tc>
        <w:tc>
          <w:tcPr>
            <w:tcW w:w="1220" w:type="dxa"/>
            <w:vAlign w:val="bottom"/>
          </w:tcPr>
          <w:p>
            <w:pPr>
              <w:jc w:val="right"/>
              <w:ind w:right="49"/>
              <w:spacing w:after="0"/>
              <w:rPr>
                <w:sz w:val="20"/>
                <w:szCs w:val="20"/>
                <w:color w:val="auto"/>
              </w:rPr>
            </w:pPr>
            <w:r>
              <w:rPr>
                <w:rFonts w:ascii="Arial" w:cs="Arial" w:eastAsia="Arial" w:hAnsi="Arial"/>
                <w:sz w:val="15"/>
                <w:szCs w:val="15"/>
                <w:color w:val="auto"/>
              </w:rPr>
              <w:t>212,065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212,037</w:t>
            </w:r>
          </w:p>
        </w:tc>
      </w:tr>
      <w:tr>
        <w:trPr>
          <w:trHeight w:val="245"/>
        </w:trPr>
        <w:tc>
          <w:tcPr>
            <w:tcW w:w="400" w:type="dxa"/>
            <w:vAlign w:val="bottom"/>
          </w:tcPr>
          <w:p>
            <w:pPr>
              <w:spacing w:after="0"/>
              <w:rPr>
                <w:sz w:val="21"/>
                <w:szCs w:val="21"/>
                <w:color w:val="auto"/>
              </w:rPr>
            </w:pPr>
          </w:p>
        </w:tc>
        <w:tc>
          <w:tcPr>
            <w:tcW w:w="1220" w:type="dxa"/>
            <w:vAlign w:val="bottom"/>
          </w:tcPr>
          <w:p>
            <w:pPr>
              <w:jc w:val="right"/>
              <w:ind w:right="49"/>
              <w:spacing w:after="0"/>
              <w:rPr>
                <w:sz w:val="20"/>
                <w:szCs w:val="20"/>
                <w:color w:val="auto"/>
              </w:rPr>
            </w:pPr>
            <w:r>
              <w:rPr>
                <w:rFonts w:ascii="Arial" w:cs="Arial" w:eastAsia="Arial" w:hAnsi="Arial"/>
                <w:sz w:val="15"/>
                <w:szCs w:val="15"/>
                <w:color w:val="auto"/>
              </w:rPr>
              <w:t>125,289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109,943</w:t>
            </w:r>
          </w:p>
        </w:tc>
      </w:tr>
      <w:tr>
        <w:trPr>
          <w:trHeight w:val="255"/>
        </w:trPr>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86,488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113,805</w:t>
            </w:r>
          </w:p>
        </w:tc>
      </w:tr>
      <w:tr>
        <w:trPr>
          <w:trHeight w:val="213"/>
        </w:trPr>
        <w:tc>
          <w:tcPr>
            <w:tcW w:w="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673,159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642,214</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210312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03120" cy="76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9"/>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1"/>
                <w:szCs w:val="11"/>
                <w:b w:val="1"/>
                <w:bCs w:val="1"/>
                <w:color w:val="auto"/>
              </w:rPr>
              <w:t>2015</w:t>
            </w:r>
          </w:p>
        </w:tc>
      </w:tr>
      <w:tr>
        <w:trPr>
          <w:trHeight w:val="216"/>
        </w:trPr>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9"/>
              <w:spacing w:after="0"/>
              <w:rPr>
                <w:sz w:val="20"/>
                <w:szCs w:val="20"/>
                <w:color w:val="auto"/>
              </w:rPr>
            </w:pPr>
            <w:r>
              <w:rPr>
                <w:rFonts w:ascii="Arial" w:cs="Arial" w:eastAsia="Arial" w:hAnsi="Arial"/>
                <w:sz w:val="15"/>
                <w:szCs w:val="15"/>
                <w:color w:val="auto"/>
              </w:rPr>
              <w:t>288,146</w:t>
            </w:r>
          </w:p>
        </w:tc>
        <w:tc>
          <w:tcPr>
            <w:tcW w:w="100" w:type="dxa"/>
            <w:vAlign w:val="bottom"/>
          </w:tcPr>
          <w:p>
            <w:pPr>
              <w:spacing w:after="0"/>
              <w:rPr>
                <w:sz w:val="18"/>
                <w:szCs w:val="18"/>
                <w:color w:val="auto"/>
              </w:rPr>
            </w:pPr>
          </w:p>
        </w:tc>
        <w:tc>
          <w:tcPr>
            <w:tcW w:w="4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387,342</w:t>
            </w:r>
          </w:p>
        </w:tc>
      </w:tr>
      <w:tr>
        <w:trPr>
          <w:trHeight w:val="245"/>
        </w:trPr>
        <w:tc>
          <w:tcPr>
            <w:tcW w:w="400" w:type="dxa"/>
            <w:vAlign w:val="bottom"/>
          </w:tcPr>
          <w:p>
            <w:pPr>
              <w:spacing w:after="0"/>
              <w:rPr>
                <w:sz w:val="21"/>
                <w:szCs w:val="21"/>
                <w:color w:val="auto"/>
              </w:rPr>
            </w:pPr>
          </w:p>
        </w:tc>
        <w:tc>
          <w:tcPr>
            <w:tcW w:w="1220" w:type="dxa"/>
            <w:vAlign w:val="bottom"/>
          </w:tcPr>
          <w:p>
            <w:pPr>
              <w:jc w:val="right"/>
              <w:ind w:right="49"/>
              <w:spacing w:after="0"/>
              <w:rPr>
                <w:sz w:val="20"/>
                <w:szCs w:val="20"/>
                <w:color w:val="auto"/>
              </w:rPr>
            </w:pPr>
            <w:r>
              <w:rPr>
                <w:rFonts w:ascii="Arial" w:cs="Arial" w:eastAsia="Arial" w:hAnsi="Arial"/>
                <w:sz w:val="15"/>
                <w:szCs w:val="15"/>
                <w:color w:val="auto"/>
              </w:rPr>
              <w:t>123,002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96,733</w:t>
            </w:r>
          </w:p>
        </w:tc>
      </w:tr>
      <w:tr>
        <w:trPr>
          <w:trHeight w:val="245"/>
        </w:trPr>
        <w:tc>
          <w:tcPr>
            <w:tcW w:w="400" w:type="dxa"/>
            <w:vAlign w:val="bottom"/>
          </w:tcPr>
          <w:p>
            <w:pPr>
              <w:spacing w:after="0"/>
              <w:rPr>
                <w:sz w:val="21"/>
                <w:szCs w:val="21"/>
                <w:color w:val="auto"/>
              </w:rPr>
            </w:pPr>
          </w:p>
        </w:tc>
        <w:tc>
          <w:tcPr>
            <w:tcW w:w="1220" w:type="dxa"/>
            <w:vAlign w:val="bottom"/>
          </w:tcPr>
          <w:p>
            <w:pPr>
              <w:jc w:val="right"/>
              <w:ind w:right="49"/>
              <w:spacing w:after="0"/>
              <w:rPr>
                <w:sz w:val="20"/>
                <w:szCs w:val="20"/>
                <w:color w:val="auto"/>
              </w:rPr>
            </w:pPr>
            <w:r>
              <w:rPr>
                <w:rFonts w:ascii="Arial" w:cs="Arial" w:eastAsia="Arial" w:hAnsi="Arial"/>
                <w:sz w:val="15"/>
                <w:szCs w:val="15"/>
                <w:color w:val="auto"/>
              </w:rPr>
              <w:t>77,260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9"/>
              <w:spacing w:after="0"/>
              <w:rPr>
                <w:sz w:val="20"/>
                <w:szCs w:val="20"/>
                <w:color w:val="auto"/>
              </w:rPr>
            </w:pPr>
            <w:r>
              <w:rPr>
                <w:rFonts w:ascii="Arial" w:cs="Arial" w:eastAsia="Arial" w:hAnsi="Arial"/>
                <w:sz w:val="15"/>
                <w:szCs w:val="15"/>
                <w:color w:val="auto"/>
              </w:rPr>
              <w:t>71,434</w:t>
            </w:r>
          </w:p>
        </w:tc>
      </w:tr>
      <w:tr>
        <w:trPr>
          <w:trHeight w:val="255"/>
        </w:trPr>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78,951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100,584</w:t>
            </w:r>
          </w:p>
        </w:tc>
      </w:tr>
      <w:tr>
        <w:trPr>
          <w:trHeight w:val="213"/>
        </w:trPr>
        <w:tc>
          <w:tcPr>
            <w:tcW w:w="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567,359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656,093</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00" w:space="720"/>
            <w:col w:w="3300"/>
          </w:cols>
          <w:pgMar w:left="240" w:top="835" w:right="239" w:bottom="1440" w:gutter="0" w:footer="0" w:header="0"/>
        </w:sectPr>
      </w:pPr>
    </w:p>
    <w:bookmarkStart w:id="80" w:name="page81"/>
    <w:bookmarkEnd w:id="80"/>
    <w:p>
      <w:pPr>
        <w:ind w:left="460"/>
        <w:spacing w:after="0"/>
        <w:rPr>
          <w:sz w:val="20"/>
          <w:szCs w:val="20"/>
          <w:color w:val="auto"/>
        </w:rPr>
      </w:pPr>
      <w:r>
        <w:rPr>
          <w:rFonts w:ascii="Arial" w:cs="Arial" w:eastAsia="Arial" w:hAnsi="Arial"/>
          <w:sz w:val="15"/>
          <w:szCs w:val="15"/>
          <w:b w:val="1"/>
          <w:bCs w:val="1"/>
          <w:i w:val="1"/>
          <w:iCs w:val="1"/>
          <w:color w:val="auto"/>
        </w:rPr>
        <w:t>Accumulated Other Comprehensive Income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Accumulated other comprehensive income consists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238"/>
        </w:trPr>
        <w:tc>
          <w:tcPr>
            <w:tcW w:w="8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2015</w:t>
            </w:r>
          </w:p>
        </w:tc>
      </w:tr>
      <w:tr>
        <w:trPr>
          <w:trHeight w:val="233"/>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Defined benefit pension and other postretirement benefit plans</w:t>
            </w: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(105,036)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(90,647)</w:t>
            </w:r>
          </w:p>
        </w:tc>
      </w:tr>
      <w:tr>
        <w:trPr>
          <w:trHeight w:val="237"/>
        </w:trPr>
        <w:tc>
          <w:tcPr>
            <w:tcW w:w="8120" w:type="dxa"/>
            <w:vAlign w:val="bottom"/>
          </w:tcPr>
          <w:p>
            <w:pPr>
              <w:ind w:left="20"/>
              <w:spacing w:after="0"/>
              <w:rPr>
                <w:sz w:val="20"/>
                <w:szCs w:val="20"/>
                <w:color w:val="auto"/>
              </w:rPr>
            </w:pPr>
            <w:r>
              <w:rPr>
                <w:rFonts w:ascii="Arial" w:cs="Arial" w:eastAsia="Arial" w:hAnsi="Arial"/>
                <w:sz w:val="15"/>
                <w:szCs w:val="15"/>
                <w:color w:val="auto"/>
              </w:rPr>
              <w:t>Unrealized loss on foreign currency forward contracts, interest rate swaps and available-for-sale securities</w:t>
            </w:r>
          </w:p>
        </w:tc>
        <w:tc>
          <w:tcPr>
            <w:tcW w:w="40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5"/>
                <w:szCs w:val="15"/>
                <w:color w:val="auto"/>
              </w:rPr>
              <w:t>(15,499)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(6,391)</w:t>
            </w:r>
          </w:p>
        </w:tc>
      </w:tr>
      <w:tr>
        <w:trPr>
          <w:trHeight w:val="254"/>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foreign currency translation gain</w:t>
            </w:r>
          </w:p>
        </w:tc>
        <w:tc>
          <w:tcPr>
            <w:tcW w:w="4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rPr>
              <w:t>(2,264)</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w:t>
            </w:r>
          </w:p>
        </w:tc>
      </w:tr>
      <w:tr>
        <w:trPr>
          <w:trHeight w:val="205"/>
        </w:trPr>
        <w:tc>
          <w:tcPr>
            <w:tcW w:w="8120" w:type="dxa"/>
            <w:vAlign w:val="bottom"/>
          </w:tcPr>
          <w:p>
            <w:pPr>
              <w:ind w:left="240"/>
              <w:spacing w:after="0"/>
              <w:rPr>
                <w:sz w:val="20"/>
                <w:szCs w:val="20"/>
                <w:color w:val="auto"/>
              </w:rPr>
            </w:pPr>
            <w:r>
              <w:rPr>
                <w:rFonts w:ascii="Arial" w:cs="Arial" w:eastAsia="Arial" w:hAnsi="Arial"/>
                <w:sz w:val="15"/>
                <w:szCs w:val="15"/>
                <w:color w:val="auto"/>
              </w:rPr>
              <w:t>Total accumulated other comprehensive loss, net of tax</w:t>
            </w:r>
          </w:p>
        </w:tc>
        <w:tc>
          <w:tcPr>
            <w:tcW w:w="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5"/>
                <w:szCs w:val="15"/>
                <w:color w:val="auto"/>
              </w:rPr>
              <w:t>(122,799)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(97,135)</w:t>
            </w:r>
          </w:p>
        </w:tc>
      </w:tr>
      <w:tr>
        <w:trPr>
          <w:trHeight w:val="20"/>
        </w:trPr>
        <w:tc>
          <w:tcPr>
            <w:tcW w:w="8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amortization of actuarial losses and periodic service credits associated with our retirement-related benefit plans is included in selling, general and administrative expenses. See Note 8, Derivatives, for information on the income statement line items affected as the result of reclassification adjustments associated with derivatives.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Income Taxes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components of pretax income from continuing operations, generally based on the jurisdiction of the legal entity, were as follows:</w:t>
      </w:r>
    </w:p>
    <w:p>
      <w:pPr>
        <w:spacing w:after="0" w:line="297" w:lineRule="exact"/>
        <w:rPr>
          <w:sz w:val="20"/>
          <w:szCs w:val="20"/>
          <w:color w:val="auto"/>
        </w:rPr>
      </w:pPr>
    </w:p>
    <w:p>
      <w:pPr>
        <w:ind w:left="858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4500880</wp:posOffset>
            </wp:positionH>
            <wp:positionV relativeFrom="paragraph">
              <wp:posOffset>25400</wp:posOffset>
            </wp:positionV>
            <wp:extent cx="27571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57170" cy="76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Components of pre-tax income:</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Domestic</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9"/>
              <w:spacing w:after="0"/>
              <w:rPr>
                <w:sz w:val="20"/>
                <w:szCs w:val="20"/>
                <w:color w:val="auto"/>
              </w:rPr>
            </w:pPr>
            <w:r>
              <w:rPr>
                <w:rFonts w:ascii="Arial" w:cs="Arial" w:eastAsia="Arial" w:hAnsi="Arial"/>
                <w:sz w:val="15"/>
                <w:szCs w:val="15"/>
                <w:color w:val="auto"/>
              </w:rPr>
              <w:t>206,182</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262,682</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109,481</w:t>
            </w:r>
          </w:p>
        </w:tc>
        <w:tc>
          <w:tcPr>
            <w:tcW w:w="0" w:type="dxa"/>
            <w:vAlign w:val="bottom"/>
          </w:tcPr>
          <w:p>
            <w:pPr>
              <w:spacing w:after="0"/>
              <w:rPr>
                <w:sz w:val="1"/>
                <w:szCs w:val="1"/>
                <w:color w:val="auto"/>
              </w:rPr>
            </w:pPr>
          </w:p>
        </w:tc>
      </w:tr>
      <w:tr>
        <w:trPr>
          <w:trHeight w:val="246"/>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Foreign</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121,853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91,225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7,671</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18"/>
                <w:szCs w:val="18"/>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9"/>
              <w:spacing w:after="0"/>
              <w:rPr>
                <w:sz w:val="20"/>
                <w:szCs w:val="20"/>
                <w:color w:val="auto"/>
              </w:rPr>
            </w:pPr>
            <w:r>
              <w:rPr>
                <w:rFonts w:ascii="Arial" w:cs="Arial" w:eastAsia="Arial" w:hAnsi="Arial"/>
                <w:sz w:val="15"/>
                <w:szCs w:val="15"/>
                <w:color w:val="auto"/>
              </w:rPr>
              <w:t>328,035</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353,907</w:t>
            </w:r>
          </w:p>
        </w:tc>
        <w:tc>
          <w:tcPr>
            <w:tcW w:w="100" w:type="dxa"/>
            <w:vAlign w:val="bottom"/>
          </w:tcPr>
          <w:p>
            <w:pPr>
              <w:spacing w:after="0"/>
              <w:rPr>
                <w:sz w:val="18"/>
                <w:szCs w:val="18"/>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117,152</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60"/>
              <w:spacing w:after="0"/>
              <w:rPr>
                <w:sz w:val="20"/>
                <w:szCs w:val="20"/>
                <w:color w:val="auto"/>
              </w:rPr>
            </w:pPr>
            <w:r>
              <w:rPr>
                <w:rFonts w:ascii="Arial" w:cs="Arial" w:eastAsia="Arial" w:hAnsi="Arial"/>
                <w:sz w:val="15"/>
                <w:szCs w:val="15"/>
                <w:color w:val="auto"/>
              </w:rPr>
              <w:t>The provision for income taxes relating to continuing operations consists of the following: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portion:</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Federal</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9"/>
              <w:spacing w:after="0"/>
              <w:rPr>
                <w:sz w:val="20"/>
                <w:szCs w:val="20"/>
                <w:color w:val="auto"/>
              </w:rPr>
            </w:pPr>
            <w:r>
              <w:rPr>
                <w:rFonts w:ascii="Arial" w:cs="Arial" w:eastAsia="Arial" w:hAnsi="Arial"/>
                <w:sz w:val="15"/>
                <w:szCs w:val="15"/>
                <w:color w:val="auto"/>
              </w:rPr>
              <w:t>8,357</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1,730</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State and Local</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1,346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(10,099)</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Non U.S.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28,488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26,646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20,207</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current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38,191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22,127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10,108</w:t>
            </w: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rPr>
                <w:sz w:val="20"/>
                <w:szCs w:val="20"/>
                <w:color w:val="auto"/>
              </w:rPr>
            </w:pPr>
            <w:r>
              <w:rPr>
                <w:rFonts w:ascii="Arial" w:cs="Arial" w:eastAsia="Arial" w:hAnsi="Arial"/>
                <w:sz w:val="15"/>
                <w:szCs w:val="15"/>
                <w:color w:val="auto"/>
              </w:rPr>
              <w:t>Deferred portion:</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Federal</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60,372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89,682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(10,852)</w:t>
            </w: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State and Local</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5,715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3,381</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Non U.S.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1,828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3,642</w:t>
            </w:r>
          </w:p>
        </w:tc>
        <w:tc>
          <w:tcPr>
            <w:tcW w:w="0" w:type="dxa"/>
            <w:vAlign w:val="bottom"/>
          </w:tcPr>
          <w:p>
            <w:pPr>
              <w:spacing w:after="0"/>
              <w:rPr>
                <w:sz w:val="1"/>
                <w:szCs w:val="1"/>
                <w:color w:val="auto"/>
              </w:rPr>
            </w:pPr>
          </w:p>
        </w:tc>
      </w:tr>
      <w:tr>
        <w:trPr>
          <w:trHeight w:val="218"/>
        </w:trPr>
        <w:tc>
          <w:tcPr>
            <w:tcW w:w="70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deferred</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48,454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97,225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(3,829)</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provision for income taxes</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86,645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119,352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6,279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5"/>
                <w:szCs w:val="15"/>
                <w:color w:val="auto"/>
              </w:rPr>
              <w:t>79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5"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5"/>
          <w:szCs w:val="15"/>
          <w:color w:val="auto"/>
        </w:rPr>
        <w:t>The provision for income taxes relating to continuing operations differs from amounts computed at the statutory federal income tax rate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provision at statutory federal income tax rate</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114,812</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123,867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41,003</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5"/>
                <w:szCs w:val="15"/>
                <w:color w:val="auto"/>
              </w:rPr>
              <w:t>State income taxes, net of federal benefit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(1,263)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(3,224)</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Impact of non U.S. taxing jurisdictions, net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11,482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13,966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30,476</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5"/>
                <w:szCs w:val="15"/>
                <w:color w:val="auto"/>
              </w:rPr>
              <w:t>Non-taxable gain on remeasurement of previously-held investment in Abacus</w:t>
            </w:r>
          </w:p>
        </w:tc>
        <w:tc>
          <w:tcPr>
            <w:tcW w:w="340" w:type="dxa"/>
            <w:vAlign w:val="bottom"/>
          </w:tcPr>
          <w:p>
            <w:pPr>
              <w:spacing w:after="0"/>
              <w:rPr>
                <w:sz w:val="20"/>
                <w:szCs w:val="20"/>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(27,279)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based compensation</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(34,789)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5"/>
                <w:szCs w:val="15"/>
                <w:color w:val="auto"/>
              </w:rPr>
              <w:t>Research tax credit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(9,817)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(3,857)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(3,101)</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receivable agreement</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22,982</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5"/>
                <w:szCs w:val="15"/>
                <w:color w:val="auto"/>
              </w:rPr>
              <w:t>Valuation allowance</w:t>
            </w:r>
          </w:p>
        </w:tc>
        <w:tc>
          <w:tcPr>
            <w:tcW w:w="340" w:type="dxa"/>
            <w:vAlign w:val="bottom"/>
          </w:tcPr>
          <w:p>
            <w:pPr>
              <w:spacing w:after="0"/>
              <w:rPr>
                <w:sz w:val="20"/>
                <w:szCs w:val="20"/>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3,010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(82,116)</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net</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6,913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10,908</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205"/>
        </w:trPr>
        <w:tc>
          <w:tcPr>
            <w:tcW w:w="7080" w:type="dxa"/>
            <w:vAlign w:val="bottom"/>
          </w:tcPr>
          <w:p>
            <w:pPr>
              <w:ind w:left="240"/>
              <w:spacing w:after="0"/>
              <w:rPr>
                <w:sz w:val="20"/>
                <w:szCs w:val="20"/>
                <w:color w:val="auto"/>
              </w:rPr>
            </w:pPr>
            <w:r>
              <w:rPr>
                <w:rFonts w:ascii="Arial" w:cs="Arial" w:eastAsia="Arial" w:hAnsi="Arial"/>
                <w:sz w:val="15"/>
                <w:szCs w:val="15"/>
                <w:color w:val="auto"/>
              </w:rPr>
              <w:t>Total provision for income taxes</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86,645</w:t>
            </w:r>
          </w:p>
        </w:tc>
        <w:tc>
          <w:tcPr>
            <w:tcW w:w="4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119,352</w:t>
            </w:r>
          </w:p>
        </w:tc>
        <w:tc>
          <w:tcPr>
            <w:tcW w:w="100" w:type="dxa"/>
            <w:vAlign w:val="bottom"/>
          </w:tcPr>
          <w:p>
            <w:pPr>
              <w:spacing w:after="0"/>
              <w:rPr>
                <w:sz w:val="17"/>
                <w:szCs w:val="17"/>
                <w:color w:val="auto"/>
              </w:rPr>
            </w:pPr>
          </w:p>
        </w:tc>
        <w:tc>
          <w:tcPr>
            <w:tcW w:w="52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6,279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60"/>
              <w:spacing w:after="0"/>
              <w:rPr>
                <w:sz w:val="20"/>
                <w:szCs w:val="20"/>
                <w:color w:val="auto"/>
              </w:rPr>
            </w:pPr>
            <w:r>
              <w:rPr>
                <w:rFonts w:ascii="Arial" w:cs="Arial" w:eastAsia="Arial" w:hAnsi="Arial"/>
                <w:sz w:val="15"/>
                <w:szCs w:val="15"/>
                <w:color w:val="auto"/>
              </w:rPr>
              <w:t>The components of our deferred tax assets and liabilities are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Accrued expenses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30,953</w:t>
            </w:r>
          </w:p>
        </w:tc>
        <w:tc>
          <w:tcPr>
            <w:tcW w:w="100" w:type="dxa"/>
            <w:vAlign w:val="bottom"/>
          </w:tcPr>
          <w:p>
            <w:pPr>
              <w:spacing w:after="0"/>
              <w:rPr>
                <w:sz w:val="20"/>
                <w:szCs w:val="20"/>
                <w:color w:val="auto"/>
              </w:rPr>
            </w:pPr>
          </w:p>
        </w:tc>
        <w:tc>
          <w:tcPr>
            <w:tcW w:w="520" w:type="dxa"/>
            <w:vAlign w:val="bottom"/>
          </w:tcPr>
          <w:p>
            <w:pPr>
              <w:jc w:val="right"/>
              <w:ind w:right="326"/>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33,823</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Employee benefits other than pension</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43,197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29,726</w:t>
            </w: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Deferred revenue</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75,727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57,197</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Pension obligations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43,145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34,718</w:t>
            </w: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Tax loss carryforwards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312,073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295,329</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Incentive consideration</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12,586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17,897</w:t>
            </w: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Tax credit carryforwards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58,357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36,897</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Suspended loss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23,702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23,713</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8,183</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deferred tax assets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599,178</w:t>
            </w:r>
          </w:p>
        </w:tc>
        <w:tc>
          <w:tcPr>
            <w:tcW w:w="100" w:type="dxa"/>
            <w:vAlign w:val="bottom"/>
            <w:shd w:val="clear" w:color="auto" w:fill="CCEEFF"/>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537,483</w:t>
            </w: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(42,238)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(24,938)</w:t>
            </w: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Software developed for internal use</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(286,653)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(232,924)</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Intangible assets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(173,838)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(189,600)</w:t>
            </w: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Write off of Intercompany Debt</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(35,544)</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gains and losses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(13,622)</w:t>
            </w: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Currency translation adjustment</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0"/>
                <w:szCs w:val="20"/>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Non U.S. operations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Investment in partnership</w:t>
            </w: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(9,788)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deferred tax liabilities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(518,327)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(495,806)</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Valuation allowance</w:t>
            </w: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(74,523)</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(80,775)</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deferred tax (liability) asset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6,328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(39,098)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In the first quarter of 2016, we adopted ASU 2016-09, Improvements to Employee Share-Based Payment Accounting. In recent years, we have incurred significant excess tax benefits associated with settled equity-based awards that have not been recognized due to certain accounting policy elections we made under the previous accounting standard, combined with the significant amount of our net operating loss carryforwards. As a result of the adoption of ASU 2016-09, we recorded a cumulative effect adjustment as of January 1, 2016 to increase retained earnings by $92 million with a corresponding increase to deferred tax assets in order to recognize excess tax benefits that can be used to reduce income taxes payable in the future. Effective January 1, 2016, excess tax benefits or deficiencies are recognized in our results of operations and are included in cash flows from operating activities in our statement of cash flows. For the year ended December 31, 2016, we recognized $35 million in excess tax benefits associated with employee equity-based awards, as a result of the adoption of this standard. There were no other material impacts to our consolidated financial statements as a result of adopting this updated standard.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1420"/>
          </w:cols>
          <w:pgMar w:left="240" w:top="754" w:right="239" w:bottom="1440" w:gutter="0" w:footer="0" w:header="0"/>
        </w:sectPr>
      </w:pPr>
    </w:p>
    <w:bookmarkStart w:id="82" w:name="page83"/>
    <w:bookmarkEnd w:id="82"/>
    <w:p>
      <w:pPr>
        <w:jc w:val="both"/>
        <w:ind w:firstLine="454"/>
        <w:spacing w:after="0"/>
        <w:rPr>
          <w:sz w:val="20"/>
          <w:szCs w:val="20"/>
          <w:color w:val="auto"/>
        </w:rPr>
      </w:pPr>
      <w:r>
        <w:rPr>
          <w:rFonts w:ascii="Arial" w:cs="Arial" w:eastAsia="Arial" w:hAnsi="Arial"/>
          <w:sz w:val="15"/>
          <w:szCs w:val="15"/>
          <w:color w:val="auto"/>
        </w:rPr>
        <w:t>We pay U.S. income taxes on the earnings of non-U.S. subsidiaries unless the subsidiaries’ earnings are considered permanently reinvested outside the United States. To the extent that the non-U.S. earnings previously treated as permanently reinvested are repatriated, the related U.S. tax liability may be reduced by any non-U.S. income taxes paid on these earnings. As of December 31, 2016, no provision has been made for the United States federal and state income taxes on certain outside basis differences, which primarily relate to accumulated unrepatriated foreign earnings of approximately $278 million. It is not practicable to estimate the unrecognized deferred tax liability for these earnings, as this liability is dependent upon future tax planning strategies.</w:t>
      </w:r>
    </w:p>
    <w:p>
      <w:pPr>
        <w:spacing w:after="0" w:line="192"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As of December 31, 2016, we have U.S. federal net operating loss carryforwards ("NOLs") of approximately $721 million, which will expire between 2021 and 2035. Additionally, we have research tax credit carryforwards of approximately $35 million, which will expire between 2019 and 2036 and $26 million Alternative Minimum Tax (“AMT”) credit carry forward that does not expire. As a result of an ownership change during 2007 and 2015 (as defined in Section 382 of the Code) which imposes an annual limit on the ability of a corporation to use certain tax attributes), all of the U.S. tax NOLs and credit carryforwards are subject to an annual limitation on their ability to be utilized. However, we expect that Section 382 will not limit our ability to fully realize the tax benefits. We have state NOLs of $12 million which will expire between 2020 and 2035 and state research tax credit carryforwards of $10 million which will expire between 2023 and 2036. We have $283 million of deferred tax assets for NOL carryforwards related to certain non U.S. taxing jurisdictions that are primarily from countries with indefinite carryforward periods.</w:t>
      </w:r>
    </w:p>
    <w:p>
      <w:pPr>
        <w:spacing w:after="0" w:line="191"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We regularly review our deferred tax assets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for our deferred tax assets, we considered all available positive and negative evidence, including our ability to carry back operating losses to prior periods, the reversal of deferred tax liabilities, tax planning strategies and projected future taxable income. We maintained a state NOL valuation allowance of $3 million as of December 31, 2016 and 2015. For non-U.S. deferred tax assets of our lastminute.com and other subsidiaries, we maintained a valuation allowance of $72 million and $81 million as of December 31, 2016 and 2015, respectively. We reassess these assumptions regularly which could cause an increase or decrease to the valuation allowance. This could result in an increase or decrease in the effective tax rate which could materially impact our results of operations.</w:t>
      </w:r>
    </w:p>
    <w:p>
      <w:pPr>
        <w:spacing w:after="0" w:line="177"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It is our policy to recognize penalties and interest accrued related to income taxes as a component of the provision for income taxes. During the years ended December 31, 2016 and 2015, we recognized expense of $5 million and $3 million respectively. During the year ended December 31, 2014, we recognized a benefit of $3 million. As of December 31, 2016 and 2015, we had cumulative accrued interest and penalties of approximately $22 million and $17 million, respectively.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reconciliation of the beginning and ending amount of unrecognized tax benefits, excluding interest and penalties,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1"/>
                <w:szCs w:val="11"/>
                <w:b w:val="1"/>
                <w:bCs w:val="1"/>
                <w:color w:val="auto"/>
              </w:rPr>
              <w:t>2014</w:t>
            </w:r>
          </w:p>
        </w:tc>
      </w:tr>
      <w:tr>
        <w:trPr>
          <w:trHeight w:val="233"/>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beginning of year</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68,746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58,616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61,241</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Additions for tax positions taken in the current year</w:t>
            </w:r>
          </w:p>
        </w:tc>
        <w:tc>
          <w:tcPr>
            <w:tcW w:w="340" w:type="dxa"/>
            <w:vAlign w:val="bottom"/>
          </w:tcPr>
          <w:p>
            <w:pPr>
              <w:spacing w:after="0"/>
              <w:rPr>
                <w:sz w:val="20"/>
                <w:szCs w:val="20"/>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538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8,252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5"/>
                <w:szCs w:val="15"/>
                <w:color w:val="auto"/>
              </w:rPr>
              <w:t>4,565</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Additions for tax positions of prior years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2,096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2,259</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Additions for tax positions from acquisitions</w:t>
            </w:r>
          </w:p>
        </w:tc>
        <w:tc>
          <w:tcPr>
            <w:tcW w:w="340" w:type="dxa"/>
            <w:vAlign w:val="bottom"/>
          </w:tcPr>
          <w:p>
            <w:pPr>
              <w:spacing w:after="0"/>
              <w:rPr>
                <w:sz w:val="20"/>
                <w:szCs w:val="20"/>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11,343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8"/>
              <w:spacing w:after="0"/>
              <w:rPr>
                <w:sz w:val="20"/>
                <w:szCs w:val="20"/>
                <w:color w:val="auto"/>
              </w:rPr>
            </w:pPr>
            <w:r>
              <w:rPr>
                <w:rFonts w:ascii="Arial" w:cs="Arial" w:eastAsia="Arial" w:hAnsi="Arial"/>
                <w:sz w:val="15"/>
                <w:szCs w:val="15"/>
                <w:color w:val="auto"/>
              </w:rPr>
              <w:t>—</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Reductions for tax positions of prior years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Reductions for tax positions of expired statute of limitations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(2,439)</w:t>
            </w: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Settlements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(6,967)</w:t>
            </w:r>
          </w:p>
        </w:tc>
      </w:tr>
      <w:tr>
        <w:trPr>
          <w:trHeight w:val="205"/>
        </w:trPr>
        <w:tc>
          <w:tcPr>
            <w:tcW w:w="7080" w:type="dxa"/>
            <w:vAlign w:val="bottom"/>
          </w:tcPr>
          <w:p>
            <w:pPr>
              <w:ind w:left="20"/>
              <w:spacing w:after="0"/>
              <w:rPr>
                <w:sz w:val="20"/>
                <w:szCs w:val="20"/>
                <w:color w:val="auto"/>
              </w:rPr>
            </w:pPr>
            <w:r>
              <w:rPr>
                <w:rFonts w:ascii="Arial" w:cs="Arial" w:eastAsia="Arial" w:hAnsi="Arial"/>
                <w:sz w:val="15"/>
                <w:szCs w:val="15"/>
                <w:color w:val="auto"/>
              </w:rPr>
              <w:t>Balance at end of year</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49,331</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68,746</w:t>
            </w:r>
          </w:p>
        </w:tc>
        <w:tc>
          <w:tcPr>
            <w:tcW w:w="100" w:type="dxa"/>
            <w:vAlign w:val="bottom"/>
          </w:tcPr>
          <w:p>
            <w:pPr>
              <w:spacing w:after="0"/>
              <w:rPr>
                <w:sz w:val="17"/>
                <w:szCs w:val="17"/>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8"/>
              <w:spacing w:after="0"/>
              <w:rPr>
                <w:sz w:val="20"/>
                <w:szCs w:val="20"/>
                <w:color w:val="auto"/>
              </w:rPr>
            </w:pPr>
            <w:r>
              <w:rPr>
                <w:rFonts w:ascii="Arial" w:cs="Arial" w:eastAsia="Arial" w:hAnsi="Arial"/>
                <w:sz w:val="15"/>
                <w:szCs w:val="15"/>
                <w:color w:val="auto"/>
              </w:rPr>
              <w:t>58,616</w:t>
            </w: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5"/>
          <w:szCs w:val="15"/>
          <w:color w:val="auto"/>
        </w:rPr>
        <w:t>We present unrecognized tax benefits as a reduction to deferred tax assets for net operating losses, similar tax loss or a tax credit carryforward that is available to settle additional income taxes that would result from the disallowance of a tax position, presuming disallowance at the reporting date. The amount of unrecognized tax benefits that were offset against deferred tax assets was $32 million, $46 million and $40 million as of December 31, 2016</w:t>
      </w:r>
      <w:r>
        <w:rPr>
          <w:rFonts w:ascii="Arial" w:cs="Arial" w:eastAsia="Arial" w:hAnsi="Arial"/>
          <w:sz w:val="16"/>
          <w:szCs w:val="16"/>
          <w:color w:val="auto"/>
        </w:rPr>
        <w:t>,</w:t>
      </w:r>
      <w:r>
        <w:rPr>
          <w:rFonts w:ascii="Arial" w:cs="Arial" w:eastAsia="Arial" w:hAnsi="Arial"/>
          <w:sz w:val="15"/>
          <w:szCs w:val="15"/>
          <w:color w:val="auto"/>
        </w:rPr>
        <w:t xml:space="preserve"> 2015, and 2014 respectively.</w:t>
      </w:r>
    </w:p>
    <w:p>
      <w:pPr>
        <w:spacing w:after="0" w:line="178"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As of December 31, 2016, 2015, and 2014, the amount of unrecognized tax benefits that, if recognized, would impact the effective tax rate was $49 million, $69 million and $56 million, respectively. We believe that it is reasonably possible that $3 million in unrecognized tax benefits may be resolved in the next twelve months.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420"/>
          </w:cols>
          <w:pgMar w:left="240" w:top="754" w:right="239" w:bottom="1440" w:gutter="0" w:footer="0" w:header="0"/>
        </w:sectPr>
      </w:pPr>
    </w:p>
    <w:bookmarkStart w:id="83" w:name="page84"/>
    <w:bookmarkEnd w:id="83"/>
    <w:p>
      <w:pPr>
        <w:jc w:val="both"/>
        <w:ind w:firstLine="454"/>
        <w:spacing w:after="0" w:line="245" w:lineRule="auto"/>
        <w:rPr>
          <w:sz w:val="20"/>
          <w:szCs w:val="20"/>
          <w:color w:val="auto"/>
        </w:rPr>
      </w:pPr>
      <w:r>
        <w:rPr>
          <w:rFonts w:ascii="Arial" w:cs="Arial" w:eastAsia="Arial" w:hAnsi="Arial"/>
          <w:sz w:val="15"/>
          <w:szCs w:val="15"/>
          <w:color w:val="auto"/>
        </w:rPr>
        <w:t>In the normal course of business, we are subject to examination by taxing authorities throughout the world. The following table summarizes, by major tax jurisdiction, our tax years that remain subject to examination by taxing authorities:</w:t>
      </w:r>
    </w:p>
    <w:p>
      <w:pPr>
        <w:spacing w:after="0" w:line="318" w:lineRule="exact"/>
        <w:rPr>
          <w:sz w:val="20"/>
          <w:szCs w:val="20"/>
          <w:color w:val="auto"/>
        </w:rPr>
      </w:pPr>
    </w:p>
    <w:tbl>
      <w:tblPr>
        <w:tblLayout w:type="fixed"/>
        <w:tblInd w:w="2860" w:type="dxa"/>
        <w:tblCellMar>
          <w:top w:w="0" w:type="dxa"/>
          <w:left w:w="0" w:type="dxa"/>
          <w:bottom w:w="0" w:type="dxa"/>
          <w:right w:w="0" w:type="dxa"/>
        </w:tblCellMar>
      </w:tblPr>
      <w:tr>
        <w:trPr>
          <w:trHeight w:val="158"/>
        </w:trPr>
        <w:tc>
          <w:tcPr>
            <w:tcW w:w="620" w:type="dxa"/>
            <w:vAlign w:val="bottom"/>
          </w:tcPr>
          <w:p>
            <w:pPr>
              <w:spacing w:after="0"/>
              <w:rPr>
                <w:sz w:val="13"/>
                <w:szCs w:val="13"/>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Tax Jurisdiction</w:t>
            </w:r>
          </w:p>
        </w:tc>
        <w:tc>
          <w:tcPr>
            <w:tcW w:w="142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Years Subject to Examination</w:t>
            </w:r>
          </w:p>
        </w:tc>
        <w:tc>
          <w:tcPr>
            <w:tcW w:w="820" w:type="dxa"/>
            <w:vAlign w:val="bottom"/>
          </w:tcPr>
          <w:p>
            <w:pPr>
              <w:spacing w:after="0"/>
              <w:rPr>
                <w:sz w:val="13"/>
                <w:szCs w:val="13"/>
                <w:color w:val="auto"/>
              </w:rPr>
            </w:pPr>
          </w:p>
        </w:tc>
      </w:tr>
      <w:tr>
        <w:trPr>
          <w:trHeight w:val="229"/>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United Kingdom</w:t>
            </w:r>
          </w:p>
        </w:tc>
        <w:tc>
          <w:tcPr>
            <w:tcW w:w="2660" w:type="dxa"/>
            <w:vAlign w:val="bottom"/>
            <w:gridSpan w:val="2"/>
            <w:shd w:val="clear" w:color="auto" w:fill="CCEEFF"/>
          </w:tcPr>
          <w:p>
            <w:pPr>
              <w:jc w:val="center"/>
              <w:ind w:right="820"/>
              <w:spacing w:after="0"/>
              <w:rPr>
                <w:sz w:val="20"/>
                <w:szCs w:val="20"/>
                <w:color w:val="auto"/>
              </w:rPr>
            </w:pPr>
            <w:r>
              <w:rPr>
                <w:rFonts w:ascii="Arial" w:cs="Arial" w:eastAsia="Arial" w:hAnsi="Arial"/>
                <w:sz w:val="15"/>
                <w:szCs w:val="15"/>
                <w:color w:val="auto"/>
                <w:w w:val="99"/>
              </w:rPr>
              <w:t>2013 - forward</w:t>
            </w:r>
          </w:p>
        </w:tc>
      </w:tr>
      <w:tr>
        <w:trPr>
          <w:trHeight w:val="212"/>
        </w:trPr>
        <w:tc>
          <w:tcPr>
            <w:tcW w:w="3040" w:type="dxa"/>
            <w:vAlign w:val="bottom"/>
            <w:gridSpan w:val="3"/>
          </w:tcPr>
          <w:p>
            <w:pPr>
              <w:ind w:left="40"/>
              <w:spacing w:after="0"/>
              <w:rPr>
                <w:sz w:val="20"/>
                <w:szCs w:val="20"/>
                <w:color w:val="auto"/>
              </w:rPr>
            </w:pPr>
            <w:r>
              <w:rPr>
                <w:rFonts w:ascii="Arial" w:cs="Arial" w:eastAsia="Arial" w:hAnsi="Arial"/>
                <w:sz w:val="15"/>
                <w:szCs w:val="15"/>
                <w:color w:val="auto"/>
              </w:rPr>
              <w:t>Singapore</w:t>
            </w:r>
          </w:p>
        </w:tc>
        <w:tc>
          <w:tcPr>
            <w:tcW w:w="2660" w:type="dxa"/>
            <w:vAlign w:val="bottom"/>
            <w:gridSpan w:val="2"/>
          </w:tcPr>
          <w:p>
            <w:pPr>
              <w:jc w:val="center"/>
              <w:ind w:right="820"/>
              <w:spacing w:after="0"/>
              <w:rPr>
                <w:sz w:val="20"/>
                <w:szCs w:val="20"/>
                <w:color w:val="auto"/>
              </w:rPr>
            </w:pPr>
            <w:r>
              <w:rPr>
                <w:rFonts w:ascii="Arial" w:cs="Arial" w:eastAsia="Arial" w:hAnsi="Arial"/>
                <w:sz w:val="15"/>
                <w:szCs w:val="15"/>
                <w:color w:val="auto"/>
                <w:w w:val="99"/>
              </w:rPr>
              <w:t>2012 - forward</w:t>
            </w:r>
          </w:p>
        </w:tc>
      </w:tr>
      <w:tr>
        <w:trPr>
          <w:trHeight w:val="229"/>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Texas</w:t>
            </w:r>
          </w:p>
        </w:tc>
        <w:tc>
          <w:tcPr>
            <w:tcW w:w="2660" w:type="dxa"/>
            <w:vAlign w:val="bottom"/>
            <w:gridSpan w:val="2"/>
            <w:shd w:val="clear" w:color="auto" w:fill="CCEEFF"/>
          </w:tcPr>
          <w:p>
            <w:pPr>
              <w:jc w:val="center"/>
              <w:ind w:right="820"/>
              <w:spacing w:after="0"/>
              <w:rPr>
                <w:sz w:val="20"/>
                <w:szCs w:val="20"/>
                <w:color w:val="auto"/>
              </w:rPr>
            </w:pPr>
            <w:r>
              <w:rPr>
                <w:rFonts w:ascii="Arial" w:cs="Arial" w:eastAsia="Arial" w:hAnsi="Arial"/>
                <w:sz w:val="15"/>
                <w:szCs w:val="15"/>
                <w:color w:val="auto"/>
                <w:w w:val="99"/>
              </w:rPr>
              <w:t>2012 - forward</w:t>
            </w:r>
          </w:p>
        </w:tc>
      </w:tr>
      <w:tr>
        <w:trPr>
          <w:trHeight w:val="212"/>
        </w:trPr>
        <w:tc>
          <w:tcPr>
            <w:tcW w:w="3040" w:type="dxa"/>
            <w:vAlign w:val="bottom"/>
            <w:gridSpan w:val="3"/>
          </w:tcPr>
          <w:p>
            <w:pPr>
              <w:ind w:left="40"/>
              <w:spacing w:after="0"/>
              <w:rPr>
                <w:sz w:val="20"/>
                <w:szCs w:val="20"/>
                <w:color w:val="auto"/>
              </w:rPr>
            </w:pPr>
            <w:r>
              <w:rPr>
                <w:rFonts w:ascii="Arial" w:cs="Arial" w:eastAsia="Arial" w:hAnsi="Arial"/>
                <w:sz w:val="15"/>
                <w:szCs w:val="15"/>
                <w:color w:val="auto"/>
              </w:rPr>
              <w:t>Uruguay</w:t>
            </w:r>
          </w:p>
        </w:tc>
        <w:tc>
          <w:tcPr>
            <w:tcW w:w="2660" w:type="dxa"/>
            <w:vAlign w:val="bottom"/>
            <w:gridSpan w:val="2"/>
          </w:tcPr>
          <w:p>
            <w:pPr>
              <w:jc w:val="center"/>
              <w:ind w:right="820"/>
              <w:spacing w:after="0"/>
              <w:rPr>
                <w:sz w:val="20"/>
                <w:szCs w:val="20"/>
                <w:color w:val="auto"/>
              </w:rPr>
            </w:pPr>
            <w:r>
              <w:rPr>
                <w:rFonts w:ascii="Arial" w:cs="Arial" w:eastAsia="Arial" w:hAnsi="Arial"/>
                <w:sz w:val="15"/>
                <w:szCs w:val="15"/>
                <w:color w:val="auto"/>
                <w:w w:val="99"/>
              </w:rPr>
              <w:t>2011 - forward</w:t>
            </w:r>
          </w:p>
        </w:tc>
      </w:tr>
      <w:tr>
        <w:trPr>
          <w:trHeight w:val="229"/>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U.S. Federal</w:t>
            </w:r>
          </w:p>
        </w:tc>
        <w:tc>
          <w:tcPr>
            <w:tcW w:w="2660" w:type="dxa"/>
            <w:vAlign w:val="bottom"/>
            <w:gridSpan w:val="2"/>
            <w:shd w:val="clear" w:color="auto" w:fill="CCEEFF"/>
          </w:tcPr>
          <w:p>
            <w:pPr>
              <w:jc w:val="center"/>
              <w:ind w:right="820"/>
              <w:spacing w:after="0"/>
              <w:rPr>
                <w:sz w:val="20"/>
                <w:szCs w:val="20"/>
                <w:color w:val="auto"/>
              </w:rPr>
            </w:pPr>
            <w:r>
              <w:rPr>
                <w:rFonts w:ascii="Arial" w:cs="Arial" w:eastAsia="Arial" w:hAnsi="Arial"/>
                <w:sz w:val="15"/>
                <w:szCs w:val="15"/>
                <w:color w:val="auto"/>
                <w:w w:val="99"/>
              </w:rPr>
              <w:t>2007 - forward</w:t>
            </w:r>
          </w:p>
        </w:tc>
      </w:tr>
    </w:tbl>
    <w:p>
      <w:pPr>
        <w:spacing w:after="0" w:line="198"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We currently have ongoing audits in the United States (2011-2013), India (2003-2015), and Germany (2008-2013). We do not expect that the results of these examinations will have a material effect on our financial condition or results of operations. With a few exceptions, we are no longer subject to income tax examinations by tax authorities for years prior to 2007.</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Tax Receivable Agreement</w:t>
      </w:r>
    </w:p>
    <w:p>
      <w:pPr>
        <w:spacing w:after="0" w:line="115"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4"/>
          <w:szCs w:val="14"/>
          <w:color w:val="auto"/>
        </w:rPr>
        <w:t>Immediately prior to the closing of our initial public offering in April 2014, we entered into a tax receivable agreement (“TRA”) that provides the right to receive future payments by us to stockholders and equity award holders that were our stockholders and equity award holders, respectively, immediately prior to the closing of our initial public offering (collectively, the “Pre-IPO Existing Stockholders”). The future payments will equal 85% of the amount of cash savings, if any, in U.S. federal income tax that we and our subsidiaries realize as a result of the utilization of certain tax assets attributable to periods prior to our initial public offering, including federal net operating losses (“NOLs”), capital losses and the ability to realize tax amortization of certain intangible assets (collectively, the “Pre-IPO Tax Assets”). Consequently, stockholders who are not Pre-IPO Existing Stockholders will only be entitled to the economic benefit of the Pre-IPO Tax Assets to the extent of our continuing 15% interest in those assets. These payment obligations are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w:t>
      </w:r>
    </w:p>
    <w:p>
      <w:pPr>
        <w:spacing w:after="0" w:line="180"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Based on current tax laws and assuming that we and our subsidiaries earn sufficient taxable income to realize the full tax benefits subject to the TRA, we estimate that future payments under the TRA relating to the Pre-IPO Tax Assets to total $387 million, excluding interest. The TRA payments accrue interest at a rate of LIBOR plus 1.00% beginning in April subsequent to the tax year in which the tax benefits are realized through the date of the benefit payment. The estimate of future payments considers the impact of Section 382 of the Code, which imposes an annual limit on the ability of a corporation that undergoes an ownership change to use its net operating loss carryforwards to reduce its liability. We do not anticipate any material limitations on our ability to utilize NOLs under Section 382 of the Code. We expect majority of the future payments under the TRA to be made over the next five years. As of December 31, 2016, the current portion of our TRA liability totaled $101 million, which includes accrued interest of approximately $1 million. We paid the current portion of the TRA liability in the first quarter of 2017. The remaining portion of $288 million is included in other noncurrent liabilities in our consolidated balance sheet as of December 31, 2016. Payments under the TRA are not conditioned upon the parties’ continuing ownership of the company. Changes in the utility of the Pre-IPO Tax Assets will impact the amount of the liability recorded in respect of the TRA. Changes in the utility of these Pre-IPO Tax Assets are recorded in income tax expense and any changes in the obligation under the TRA are recorded in other expense.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420"/>
          </w:cols>
          <w:pgMar w:left="240" w:top="754" w:right="239" w:bottom="1440" w:gutter="0" w:footer="0" w:header="0"/>
        </w:sectPr>
      </w:pPr>
    </w:p>
    <w:bookmarkStart w:id="84" w:name="page85"/>
    <w:bookmarkEnd w:id="84"/>
    <w:p>
      <w:pPr>
        <w:ind w:left="2"/>
        <w:spacing w:after="0"/>
        <w:rPr>
          <w:sz w:val="20"/>
          <w:szCs w:val="20"/>
          <w:color w:val="auto"/>
        </w:rPr>
      </w:pPr>
      <w:r>
        <w:rPr>
          <w:rFonts w:ascii="Arial" w:cs="Arial" w:eastAsia="Arial" w:hAnsi="Arial"/>
          <w:sz w:val="15"/>
          <w:szCs w:val="15"/>
          <w:b w:val="1"/>
          <w:bCs w:val="1"/>
          <w:color w:val="auto"/>
        </w:rPr>
        <w:t>7. Debt</w:t>
      </w:r>
    </w:p>
    <w:p>
      <w:pPr>
        <w:spacing w:after="0" w:line="213" w:lineRule="exact"/>
        <w:rPr>
          <w:sz w:val="20"/>
          <w:szCs w:val="20"/>
          <w:color w:val="auto"/>
        </w:rPr>
      </w:pPr>
    </w:p>
    <w:p>
      <w:pPr>
        <w:jc w:val="both"/>
        <w:ind w:left="2" w:firstLine="441"/>
        <w:spacing w:after="0" w:line="242" w:lineRule="auto"/>
        <w:rPr>
          <w:sz w:val="20"/>
          <w:szCs w:val="20"/>
          <w:color w:val="auto"/>
        </w:rPr>
      </w:pPr>
      <w:r>
        <w:rPr>
          <w:rFonts w:ascii="Arial" w:cs="Arial" w:eastAsia="Arial" w:hAnsi="Arial"/>
          <w:sz w:val="15"/>
          <w:szCs w:val="15"/>
          <w:color w:val="auto"/>
        </w:rPr>
        <w:t>As of December 31, 2016 and 2015, our outstanding debt included in our consolidated balance sheets totaled $3,446 million and $3,360 million, respectively, net of debt issuance costs of $27 million and $30 million, respectively, and unamortized discounts of $6 million and $6 million, respectively. The following table sets forth the face values of our outstanding debt as of December 31, 2016 and 2015 (in thousands):</w:t>
      </w:r>
    </w:p>
    <w:p>
      <w:pPr>
        <w:spacing w:after="0" w:line="291"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5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Rate</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Maturity</w:t>
            </w:r>
          </w:p>
        </w:tc>
        <w:tc>
          <w:tcPr>
            <w:tcW w:w="320" w:type="dxa"/>
            <w:vAlign w:val="bottom"/>
          </w:tcPr>
          <w:p>
            <w:pPr>
              <w:spacing w:after="0"/>
              <w:rPr>
                <w:sz w:val="20"/>
                <w:szCs w:val="20"/>
                <w:color w:val="auto"/>
              </w:rPr>
            </w:pPr>
          </w:p>
        </w:tc>
        <w:tc>
          <w:tcPr>
            <w:tcW w:w="1040" w:type="dxa"/>
            <w:vAlign w:val="bottom"/>
          </w:tcPr>
          <w:p>
            <w:pPr>
              <w:jc w:val="right"/>
              <w:ind w:right="489"/>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68"/>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245"/>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secured credit facilities:</w:t>
            </w:r>
          </w:p>
        </w:tc>
        <w:tc>
          <w:tcPr>
            <w:tcW w:w="13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40" w:type="dxa"/>
            <w:vAlign w:val="bottom"/>
          </w:tcPr>
          <w:p>
            <w:pPr>
              <w:ind w:left="240"/>
              <w:spacing w:after="0"/>
              <w:rPr>
                <w:sz w:val="20"/>
                <w:szCs w:val="20"/>
                <w:color w:val="auto"/>
              </w:rPr>
            </w:pPr>
            <w:r>
              <w:rPr>
                <w:rFonts w:ascii="Arial" w:cs="Arial" w:eastAsia="Arial" w:hAnsi="Arial"/>
                <w:sz w:val="15"/>
                <w:szCs w:val="15"/>
                <w:color w:val="auto"/>
              </w:rPr>
              <w:t>Term A facility</w:t>
            </w:r>
            <w:r>
              <w:rPr>
                <w:rFonts w:ascii="Arial" w:cs="Arial" w:eastAsia="Arial" w:hAnsi="Arial"/>
                <w:sz w:val="19"/>
                <w:szCs w:val="19"/>
                <w:color w:val="auto"/>
                <w:vertAlign w:val="superscript"/>
              </w:rPr>
              <w:t>(1)</w:t>
            </w: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L + 2.50%</w:t>
            </w:r>
          </w:p>
        </w:tc>
        <w:tc>
          <w:tcPr>
            <w:tcW w:w="196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November 2018</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585,000</w:t>
            </w:r>
          </w:p>
        </w:tc>
        <w:tc>
          <w:tcPr>
            <w:tcW w:w="100" w:type="dxa"/>
            <w:vAlign w:val="bottom"/>
          </w:tcPr>
          <w:p>
            <w:pPr>
              <w:spacing w:after="0"/>
              <w:rPr>
                <w:sz w:val="21"/>
                <w:szCs w:val="21"/>
                <w:color w:val="auto"/>
              </w:rPr>
            </w:pPr>
          </w:p>
        </w:tc>
        <w:tc>
          <w:tcPr>
            <w:tcW w:w="44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5"/>
        </w:trPr>
        <w:tc>
          <w:tcPr>
            <w:tcW w:w="5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Term B facility</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L + 3.00%</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8"/>
              </w:rPr>
              <w:t>February 2019</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1,420,896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1,721,750</w:t>
            </w:r>
          </w:p>
        </w:tc>
        <w:tc>
          <w:tcPr>
            <w:tcW w:w="0" w:type="dxa"/>
            <w:vAlign w:val="bottom"/>
          </w:tcPr>
          <w:p>
            <w:pPr>
              <w:spacing w:after="0"/>
              <w:rPr>
                <w:sz w:val="1"/>
                <w:szCs w:val="1"/>
                <w:color w:val="auto"/>
              </w:rPr>
            </w:pPr>
          </w:p>
        </w:tc>
      </w:tr>
      <w:tr>
        <w:trPr>
          <w:trHeight w:val="237"/>
        </w:trPr>
        <w:tc>
          <w:tcPr>
            <w:tcW w:w="5140" w:type="dxa"/>
            <w:vAlign w:val="bottom"/>
          </w:tcPr>
          <w:p>
            <w:pPr>
              <w:ind w:left="440"/>
              <w:spacing w:after="0"/>
              <w:rPr>
                <w:sz w:val="20"/>
                <w:szCs w:val="20"/>
                <w:color w:val="auto"/>
              </w:rPr>
            </w:pPr>
            <w:r>
              <w:rPr>
                <w:rFonts w:ascii="Arial" w:cs="Arial" w:eastAsia="Arial" w:hAnsi="Arial"/>
                <w:sz w:val="15"/>
                <w:szCs w:val="15"/>
                <w:color w:val="auto"/>
              </w:rPr>
              <w:t>Incremental term loan facility</w:t>
            </w: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L + 3.50%</w:t>
            </w:r>
          </w:p>
        </w:tc>
        <w:tc>
          <w:tcPr>
            <w:tcW w:w="196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February 2019</w:t>
            </w:r>
          </w:p>
        </w:tc>
        <w:tc>
          <w:tcPr>
            <w:tcW w:w="320" w:type="dxa"/>
            <w:vAlign w:val="bottom"/>
          </w:tcPr>
          <w:p>
            <w:pPr>
              <w:spacing w:after="0"/>
              <w:rPr>
                <w:sz w:val="20"/>
                <w:szCs w:val="20"/>
                <w:color w:val="auto"/>
              </w:rPr>
            </w:pP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282,354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342,125</w:t>
            </w: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Term C facility</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L + 3.00%</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December 2017</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49,313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49,313</w:t>
            </w:r>
          </w:p>
        </w:tc>
        <w:tc>
          <w:tcPr>
            <w:tcW w:w="0" w:type="dxa"/>
            <w:vAlign w:val="bottom"/>
          </w:tcPr>
          <w:p>
            <w:pPr>
              <w:spacing w:after="0"/>
              <w:rPr>
                <w:sz w:val="1"/>
                <w:szCs w:val="1"/>
                <w:color w:val="auto"/>
              </w:rPr>
            </w:pPr>
          </w:p>
        </w:tc>
      </w:tr>
      <w:tr>
        <w:trPr>
          <w:trHeight w:val="245"/>
        </w:trPr>
        <w:tc>
          <w:tcPr>
            <w:tcW w:w="5140" w:type="dxa"/>
            <w:vAlign w:val="bottom"/>
          </w:tcPr>
          <w:p>
            <w:pPr>
              <w:ind w:left="240"/>
              <w:spacing w:after="0"/>
              <w:rPr>
                <w:sz w:val="20"/>
                <w:szCs w:val="20"/>
                <w:color w:val="auto"/>
              </w:rPr>
            </w:pPr>
            <w:r>
              <w:rPr>
                <w:rFonts w:ascii="Arial" w:cs="Arial" w:eastAsia="Arial" w:hAnsi="Arial"/>
                <w:sz w:val="15"/>
                <w:szCs w:val="15"/>
                <w:color w:val="auto"/>
              </w:rPr>
              <w:t>Revolver, $400 million</w:t>
            </w:r>
            <w:r>
              <w:rPr>
                <w:rFonts w:ascii="Arial" w:cs="Arial" w:eastAsia="Arial" w:hAnsi="Arial"/>
                <w:sz w:val="19"/>
                <w:szCs w:val="19"/>
                <w:color w:val="auto"/>
                <w:vertAlign w:val="superscript"/>
              </w:rPr>
              <w:t>(1)</w:t>
            </w: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L + 2.50%</w:t>
            </w:r>
          </w:p>
        </w:tc>
        <w:tc>
          <w:tcPr>
            <w:tcW w:w="1960" w:type="dxa"/>
            <w:vAlign w:val="bottom"/>
            <w:gridSpan w:val="2"/>
          </w:tcPr>
          <w:p>
            <w:pPr>
              <w:jc w:val="center"/>
              <w:ind w:right="120"/>
              <w:spacing w:after="0"/>
              <w:rPr>
                <w:sz w:val="20"/>
                <w:szCs w:val="20"/>
                <w:color w:val="auto"/>
              </w:rPr>
            </w:pPr>
            <w:r>
              <w:rPr>
                <w:rFonts w:ascii="Arial" w:cs="Arial" w:eastAsia="Arial" w:hAnsi="Arial"/>
                <w:sz w:val="15"/>
                <w:szCs w:val="15"/>
                <w:color w:val="auto"/>
                <w:w w:val="97"/>
              </w:rPr>
              <w:t>November 2018</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5"/>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unsecured notes due 2016</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8.35%</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8"/>
              </w:rPr>
              <w:t>March 2016</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165,000</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5"/>
                <w:szCs w:val="15"/>
                <w:color w:val="auto"/>
              </w:rPr>
              <w:t>5.375% senior secured notes due 2023</w:t>
            </w:r>
          </w:p>
        </w:tc>
        <w:tc>
          <w:tcPr>
            <w:tcW w:w="1380" w:type="dxa"/>
            <w:vAlign w:val="bottom"/>
          </w:tcPr>
          <w:p>
            <w:pPr>
              <w:jc w:val="center"/>
              <w:spacing w:after="0"/>
              <w:rPr>
                <w:sz w:val="20"/>
                <w:szCs w:val="20"/>
                <w:color w:val="auto"/>
              </w:rPr>
            </w:pPr>
            <w:r>
              <w:rPr>
                <w:rFonts w:ascii="Arial" w:cs="Arial" w:eastAsia="Arial" w:hAnsi="Arial"/>
                <w:sz w:val="15"/>
                <w:szCs w:val="15"/>
                <w:color w:val="auto"/>
                <w:w w:val="98"/>
              </w:rPr>
              <w:t>5.375%</w:t>
            </w:r>
          </w:p>
        </w:tc>
        <w:tc>
          <w:tcPr>
            <w:tcW w:w="12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April 2023</w:t>
            </w:r>
          </w:p>
        </w:tc>
        <w:tc>
          <w:tcPr>
            <w:tcW w:w="320" w:type="dxa"/>
            <w:vAlign w:val="bottom"/>
          </w:tcPr>
          <w:p>
            <w:pPr>
              <w:spacing w:after="0"/>
              <w:rPr>
                <w:sz w:val="20"/>
                <w:szCs w:val="20"/>
                <w:color w:val="auto"/>
              </w:rPr>
            </w:pP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530,000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530,000</w:t>
            </w: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5.25% senior secured notes due 2023</w:t>
            </w:r>
          </w:p>
        </w:tc>
        <w:tc>
          <w:tcPr>
            <w:tcW w:w="1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5.25%</w:t>
            </w:r>
          </w:p>
        </w:tc>
        <w:tc>
          <w:tcPr>
            <w:tcW w:w="12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November 2023</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500,000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5"/>
                <w:szCs w:val="15"/>
                <w:color w:val="auto"/>
              </w:rPr>
              <w:t>Mortgage facility</w:t>
            </w:r>
          </w:p>
        </w:tc>
        <w:tc>
          <w:tcPr>
            <w:tcW w:w="1380" w:type="dxa"/>
            <w:vAlign w:val="bottom"/>
          </w:tcPr>
          <w:p>
            <w:pPr>
              <w:jc w:val="center"/>
              <w:spacing w:after="0"/>
              <w:rPr>
                <w:sz w:val="20"/>
                <w:szCs w:val="20"/>
                <w:color w:val="auto"/>
              </w:rPr>
            </w:pPr>
            <w:r>
              <w:rPr>
                <w:rFonts w:ascii="Arial" w:cs="Arial" w:eastAsia="Arial" w:hAnsi="Arial"/>
                <w:sz w:val="15"/>
                <w:szCs w:val="15"/>
                <w:color w:val="auto"/>
                <w:w w:val="98"/>
              </w:rPr>
              <w:t>5.80%</w:t>
            </w:r>
          </w:p>
        </w:tc>
        <w:tc>
          <w:tcPr>
            <w:tcW w:w="12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April 2017</w:t>
            </w:r>
          </w:p>
        </w:tc>
        <w:tc>
          <w:tcPr>
            <w:tcW w:w="320" w:type="dxa"/>
            <w:vAlign w:val="bottom"/>
          </w:tcPr>
          <w:p>
            <w:pPr>
              <w:spacing w:after="0"/>
              <w:rPr>
                <w:sz w:val="20"/>
                <w:szCs w:val="20"/>
                <w:color w:val="auto"/>
              </w:rPr>
            </w:pP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79,741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80,984</w:t>
            </w:r>
          </w:p>
        </w:tc>
        <w:tc>
          <w:tcPr>
            <w:tcW w:w="0" w:type="dxa"/>
            <w:vAlign w:val="bottom"/>
          </w:tcPr>
          <w:p>
            <w:pPr>
              <w:spacing w:after="0"/>
              <w:rPr>
                <w:sz w:val="1"/>
                <w:szCs w:val="1"/>
                <w:color w:val="auto"/>
              </w:rPr>
            </w:pPr>
          </w:p>
        </w:tc>
      </w:tr>
      <w:tr>
        <w:trPr>
          <w:trHeight w:val="246"/>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 lease obligations</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31,190</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6,502</w:t>
            </w:r>
          </w:p>
        </w:tc>
        <w:tc>
          <w:tcPr>
            <w:tcW w:w="0" w:type="dxa"/>
            <w:vAlign w:val="bottom"/>
          </w:tcPr>
          <w:p>
            <w:pPr>
              <w:spacing w:after="0"/>
              <w:rPr>
                <w:sz w:val="1"/>
                <w:szCs w:val="1"/>
                <w:color w:val="auto"/>
              </w:rPr>
            </w:pPr>
          </w:p>
        </w:tc>
      </w:tr>
      <w:tr>
        <w:trPr>
          <w:trHeight w:val="224"/>
        </w:trPr>
        <w:tc>
          <w:tcPr>
            <w:tcW w:w="5140" w:type="dxa"/>
            <w:vAlign w:val="bottom"/>
          </w:tcPr>
          <w:p>
            <w:pPr>
              <w:ind w:left="240"/>
              <w:spacing w:after="0"/>
              <w:rPr>
                <w:sz w:val="20"/>
                <w:szCs w:val="20"/>
                <w:color w:val="auto"/>
              </w:rPr>
            </w:pPr>
            <w:r>
              <w:rPr>
                <w:rFonts w:ascii="Arial" w:cs="Arial" w:eastAsia="Arial" w:hAnsi="Arial"/>
                <w:sz w:val="15"/>
                <w:szCs w:val="15"/>
                <w:color w:val="auto"/>
              </w:rPr>
              <w:t>Face value of total debt outstanding</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9"/>
              <w:spacing w:after="0"/>
              <w:rPr>
                <w:sz w:val="20"/>
                <w:szCs w:val="20"/>
                <w:color w:val="auto"/>
              </w:rPr>
            </w:pPr>
            <w:r>
              <w:rPr>
                <w:rFonts w:ascii="Arial" w:cs="Arial" w:eastAsia="Arial" w:hAnsi="Arial"/>
                <w:sz w:val="15"/>
                <w:szCs w:val="15"/>
                <w:color w:val="auto"/>
              </w:rPr>
              <w:t>3,478,494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3,395,674</w:t>
            </w:r>
          </w:p>
        </w:tc>
        <w:tc>
          <w:tcPr>
            <w:tcW w:w="0" w:type="dxa"/>
            <w:vAlign w:val="bottom"/>
          </w:tcPr>
          <w:p>
            <w:pPr>
              <w:spacing w:after="0"/>
              <w:rPr>
                <w:sz w:val="1"/>
                <w:szCs w:val="1"/>
                <w:color w:val="auto"/>
              </w:rPr>
            </w:pPr>
          </w:p>
        </w:tc>
      </w:tr>
      <w:tr>
        <w:trPr>
          <w:trHeight w:val="246"/>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current portion of debt outstanding</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(169,246)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(190,687)</w:t>
            </w:r>
          </w:p>
        </w:tc>
        <w:tc>
          <w:tcPr>
            <w:tcW w:w="0" w:type="dxa"/>
            <w:vAlign w:val="bottom"/>
          </w:tcPr>
          <w:p>
            <w:pPr>
              <w:spacing w:after="0"/>
              <w:rPr>
                <w:sz w:val="1"/>
                <w:szCs w:val="1"/>
                <w:color w:val="auto"/>
              </w:rPr>
            </w:pPr>
          </w:p>
        </w:tc>
      </w:tr>
      <w:tr>
        <w:trPr>
          <w:trHeight w:val="216"/>
        </w:trPr>
        <w:tc>
          <w:tcPr>
            <w:tcW w:w="5140" w:type="dxa"/>
            <w:vAlign w:val="bottom"/>
          </w:tcPr>
          <w:p>
            <w:pPr>
              <w:ind w:left="240"/>
              <w:spacing w:after="0"/>
              <w:rPr>
                <w:sz w:val="20"/>
                <w:szCs w:val="20"/>
                <w:color w:val="auto"/>
              </w:rPr>
            </w:pPr>
            <w:r>
              <w:rPr>
                <w:rFonts w:ascii="Arial" w:cs="Arial" w:eastAsia="Arial" w:hAnsi="Arial"/>
                <w:sz w:val="15"/>
                <w:szCs w:val="15"/>
                <w:color w:val="auto"/>
              </w:rPr>
              <w:t>Face value of long-term debt outstanding</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3,309,248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3,204,987</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5"/>
                <w:szCs w:val="5"/>
                <w:color w:val="auto"/>
              </w:rPr>
              <w:t>______________________________</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5140" w:type="dxa"/>
            <w:vAlign w:val="bottom"/>
            <w:vMerge w:val="continue"/>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02" w:right="120" w:hanging="302"/>
        <w:spacing w:after="0" w:line="277" w:lineRule="auto"/>
        <w:tabs>
          <w:tab w:leader="none" w:pos="302"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Term Loan A and the Revolver mature in July 2021 and include an accelerated maturity of November 19, 2018 if on November 19, 2018 the Term Loan B and Incremental Term Loan Facility have not been repaid in full or refinanced with a maturity date subsequent to July 18, 2021.</w:t>
      </w:r>
    </w:p>
    <w:p>
      <w:pPr>
        <w:spacing w:after="0" w:line="286" w:lineRule="exact"/>
        <w:rPr>
          <w:sz w:val="20"/>
          <w:szCs w:val="20"/>
          <w:color w:val="auto"/>
        </w:rPr>
      </w:pPr>
    </w:p>
    <w:p>
      <w:pPr>
        <w:ind w:left="442"/>
        <w:spacing w:after="0"/>
        <w:rPr>
          <w:sz w:val="20"/>
          <w:szCs w:val="20"/>
          <w:color w:val="auto"/>
        </w:rPr>
      </w:pPr>
      <w:r>
        <w:rPr>
          <w:rFonts w:ascii="Arial" w:cs="Arial" w:eastAsia="Arial" w:hAnsi="Arial"/>
          <w:sz w:val="15"/>
          <w:szCs w:val="15"/>
          <w:b w:val="1"/>
          <w:bCs w:val="1"/>
          <w:i w:val="1"/>
          <w:iCs w:val="1"/>
          <w:color w:val="auto"/>
        </w:rPr>
        <w:t>Senior Secured Credit Facilities</w:t>
      </w:r>
    </w:p>
    <w:p>
      <w:pPr>
        <w:spacing w:after="0" w:line="115" w:lineRule="exact"/>
        <w:rPr>
          <w:sz w:val="20"/>
          <w:szCs w:val="20"/>
          <w:color w:val="auto"/>
        </w:rPr>
      </w:pPr>
    </w:p>
    <w:p>
      <w:pPr>
        <w:jc w:val="both"/>
        <w:ind w:left="2" w:firstLine="441"/>
        <w:spacing w:after="0"/>
        <w:rPr>
          <w:sz w:val="20"/>
          <w:szCs w:val="20"/>
          <w:color w:val="auto"/>
        </w:rPr>
      </w:pPr>
      <w:r>
        <w:rPr>
          <w:rFonts w:ascii="Arial" w:cs="Arial" w:eastAsia="Arial" w:hAnsi="Arial"/>
          <w:sz w:val="15"/>
          <w:szCs w:val="15"/>
          <w:color w:val="auto"/>
        </w:rPr>
        <w:t>On July 18, 2016, Sabre GLBL entered into the Credit Agreement Amendments to provide for an incremental term loan under a new class with an aggregate principal amount of $600 million (the “Term Loan A”) and to replace the Prior Revolver (revolving credit facility of $405 million) with the Revolver, both of which mature in July 2021. The applicable margins for the Term Loan A and the New Revolver are 2.50% for Eurocurrency borrowings and 1.50% for base rate borrowings, with a step down to 2.25% for Eurocurrency borrowings and 1.25% for base rate borrowings if the Senior Secured Leverage Ratio (as defined in the Amended and Restated Credit Agreement) is less than 2.50 to 1.00. The Term Loan A and the Revolver include an accelerated maturity of November 19, 2018, if on November 19, 2018 the Term Loan B and Incremental Term Loan Facility have not been repaid in full or refinanced with a maturity date subsequent to July 18, 2021. The amount of the Revolver commitments available as a letter of credit subfacility was set at $150 million.</w:t>
      </w:r>
    </w:p>
    <w:p>
      <w:pPr>
        <w:spacing w:after="0" w:line="252" w:lineRule="exact"/>
        <w:rPr>
          <w:sz w:val="20"/>
          <w:szCs w:val="20"/>
          <w:color w:val="auto"/>
        </w:rPr>
      </w:pPr>
    </w:p>
    <w:p>
      <w:pPr>
        <w:jc w:val="both"/>
        <w:ind w:left="2" w:firstLine="441"/>
        <w:spacing w:after="0" w:line="241" w:lineRule="auto"/>
        <w:rPr>
          <w:sz w:val="20"/>
          <w:szCs w:val="20"/>
          <w:color w:val="auto"/>
        </w:rPr>
      </w:pPr>
      <w:r>
        <w:rPr>
          <w:rFonts w:ascii="Arial" w:cs="Arial" w:eastAsia="Arial" w:hAnsi="Arial"/>
          <w:sz w:val="15"/>
          <w:szCs w:val="15"/>
          <w:color w:val="auto"/>
        </w:rPr>
        <w:t>The proceeds of $597 million, net of $3 million discount on Term Loan A, were used to repay $350 million of outstanding principal on our Term Loan B and Incremental Term Loan Facility, on a pro rata basis, repay the $120 million outstanding balance on our immediately prior to the execution of the Credit Agreement Amendments, and to pay $11 million in associated financing fees. We utilized the remaining proceeds for general corporate purposes. We recognized a $4 million loss on extinguishment of debt in connection with these transactions.</w:t>
      </w:r>
    </w:p>
    <w:p>
      <w:pPr>
        <w:spacing w:after="0" w:line="350" w:lineRule="exact"/>
        <w:rPr>
          <w:sz w:val="20"/>
          <w:szCs w:val="20"/>
          <w:color w:val="auto"/>
        </w:rPr>
      </w:pPr>
    </w:p>
    <w:p>
      <w:pPr>
        <w:jc w:val="both"/>
        <w:ind w:left="2" w:firstLine="454"/>
        <w:spacing w:after="0"/>
        <w:rPr>
          <w:sz w:val="20"/>
          <w:szCs w:val="20"/>
          <w:color w:val="auto"/>
        </w:rPr>
      </w:pPr>
      <w:r>
        <w:rPr>
          <w:rFonts w:ascii="Arial" w:cs="Arial" w:eastAsia="Arial" w:hAnsi="Arial"/>
          <w:sz w:val="15"/>
          <w:szCs w:val="15"/>
          <w:color w:val="auto"/>
        </w:rPr>
        <w:t>Sabre GLBL obligations under the Amended and Restated Credit Agreement are guaranteed by Sabre Holdings and each of Sabre GLBL’s wholly-owned material domestic subsidiaries, except unrestricted subsidiaries. We refer to these guarantors together with Sabre GLBL, as the Loan Parties. The Amended and Restated Credit Agreement is secured by (i) a first priority security interest on the equity interests in Sabre GLBL and each other Loan Party that is a direct subsidiary of Sabre GLBL or another Loan Party, (ii) 65% of the issued and outstanding voting (and 100% of the non-voting) equity interests of each wholly-owned material foreign subsidiary of Sabre GLBL that is a direct subsidiary of Sabre GLBL or another Loan Party, and (iii) a blanket lien on substantially all of the tangible and intangible assets of the Loan Parties.</w:t>
      </w:r>
    </w:p>
    <w:p>
      <w:pPr>
        <w:spacing w:after="0" w:line="192" w:lineRule="exact"/>
        <w:rPr>
          <w:sz w:val="20"/>
          <w:szCs w:val="20"/>
          <w:color w:val="auto"/>
        </w:rPr>
      </w:pPr>
    </w:p>
    <w:p>
      <w:pPr>
        <w:jc w:val="both"/>
        <w:ind w:left="2" w:firstLine="454"/>
        <w:spacing w:after="0" w:line="260" w:lineRule="auto"/>
        <w:rPr>
          <w:sz w:val="20"/>
          <w:szCs w:val="20"/>
          <w:color w:val="auto"/>
        </w:rPr>
      </w:pPr>
      <w:r>
        <w:rPr>
          <w:rFonts w:ascii="Arial" w:cs="Arial" w:eastAsia="Arial" w:hAnsi="Arial"/>
          <w:sz w:val="14"/>
          <w:szCs w:val="14"/>
          <w:color w:val="auto"/>
        </w:rPr>
        <w:t>Under the Amended and Restated Credit Agreement, the loan parties are subject to certain customary non-financial covenants, including certain restrictions on incurring certain types of indebtedness, creation of liens on certain assets, making of certain investments, and payment of dividends, as well as a maximum leverage ratio. Prior to July 18, 2016, this ratio applied if our revolver utilization exceeded a certain threshold and was calculated as senior secured debt (net of cash) to EBITDA, as defined by the credit agreement. The maximum ratio was 4.5 to 1.0 for 2015 and 4.0 to 1.0 until July 18, 2016. The definition of EBITDA is based on a trailing twelve months EBITDA adjusted for certain items including non-recurring expenses and the pro forma impact of cost saving initiatives. Pursuant to Credit Agreement Amendments, effective July 18, 2016, the maximum leverage ratio has been adjusted to be based on the Total Net Leverage Ratio (as defined in the Amended and Restated Credit Agreement) and we are required, at all times (no longer solely when a threshold amount of revolving loans or letters of credit were outstanding), to maintain a Total Net Leverage Ratio of less than 4.5 to 1.0.</w:t>
      </w:r>
    </w:p>
    <w:p>
      <w:pPr>
        <w:spacing w:after="0" w:line="202"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422"/>
          </w:cols>
          <w:pgMar w:left="238" w:top="835" w:right="239" w:bottom="1440" w:gutter="0" w:footer="0" w:header="0"/>
        </w:sectPr>
      </w:pPr>
    </w:p>
    <w:bookmarkStart w:id="85" w:name="page86"/>
    <w:bookmarkEnd w:id="85"/>
    <w:p>
      <w:pPr>
        <w:jc w:val="both"/>
        <w:ind w:firstLine="441"/>
        <w:spacing w:after="0" w:line="245" w:lineRule="auto"/>
        <w:rPr>
          <w:sz w:val="20"/>
          <w:szCs w:val="20"/>
          <w:color w:val="auto"/>
        </w:rPr>
      </w:pPr>
      <w:r>
        <w:rPr>
          <w:rFonts w:ascii="Arial" w:cs="Arial" w:eastAsia="Arial" w:hAnsi="Arial"/>
          <w:sz w:val="15"/>
          <w:szCs w:val="15"/>
          <w:color w:val="auto"/>
        </w:rPr>
        <w:t>We had no balance outstanding under the Revolver as of December 31, 2016 or under the Prior Revolver as of December 31, 2015. We had outstanding letters of credit totaling $35 million and $25 million as of December 31, 2016 and 2015, respectively, which reduced our overall credit capacity under the Revolver and Prior Revolver.</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Principal Payments</w:t>
      </w:r>
    </w:p>
    <w:p>
      <w:pPr>
        <w:spacing w:after="0" w:line="113"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Principal payments on the Term Loan A are due on a quarterly basis equal to 1.25% of its initial aggregate principal amount during the first two years of its term and 2.50% of its initial aggregate principal amount during the next three years of its term. Term Loan B and the Incremental Term Loan Facility mature on February 19, 2019, and required principal payments in equal quarterly installments of 0.25% until the second quarter of 2016, which are no longer required subsequent to the Term Loan A refinance in the third quarter of 2016. Term Loan C matures on December 31, 2017. As a result of the April 2014 prepayment, quarterly principal payments on Term Loan C are no longer required. We are obligated to pay $17 million on September 30, 2017 and the remaining balance on December 31, 2017. For the year ended December 31, 2016, we made $26 million of scheduled principal payments.</w:t>
      </w:r>
    </w:p>
    <w:p>
      <w:pPr>
        <w:spacing w:after="0" w:line="192" w:lineRule="exact"/>
        <w:rPr>
          <w:sz w:val="20"/>
          <w:szCs w:val="20"/>
          <w:color w:val="auto"/>
        </w:rPr>
      </w:pPr>
    </w:p>
    <w:p>
      <w:pPr>
        <w:jc w:val="both"/>
        <w:ind w:firstLine="454"/>
        <w:spacing w:after="0" w:line="264" w:lineRule="auto"/>
        <w:rPr>
          <w:sz w:val="20"/>
          <w:szCs w:val="20"/>
          <w:color w:val="auto"/>
        </w:rPr>
      </w:pPr>
      <w:r>
        <w:rPr>
          <w:rFonts w:ascii="Arial" w:cs="Arial" w:eastAsia="Arial" w:hAnsi="Arial"/>
          <w:sz w:val="14"/>
          <w:szCs w:val="14"/>
          <w:color w:val="auto"/>
        </w:rPr>
        <w:t>We are also required to pay down the term loans by an amount equal to 50% of annual excess cash flow, as defined in our Amended and Restated Credit Agreement. This percentage requirement may decrease or be eliminated if certain leverage ratios are achieved. Based on our results for the year ended December 31, 2015, we were are not required to make an excess cash flow payment in 2016 and no excess cash flow payment is required in 2017 with respect to our results for the year ended December 31, 2016. We are further required to pay down the term loan with proceeds from certain asset sales or borrowings as defined in the Amended and Restated Credit Agreement.</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Interest</w:t>
      </w:r>
    </w:p>
    <w:p>
      <w:pPr>
        <w:spacing w:after="0" w:line="113"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Borrowings under the Amended and Restated Credit Agreement bear interest at a rate equal to either, at our option: (i) the Eurocurrency rate plus an applicable margin for Eurocurrency borrowings as set forth below, or (ii) a base rate determined by the highest of (1) the prime rate of Bank of America, (2) the federal funds effective rate plus 1/2% or (3) LIBOR plus 1.00%, plus an applicable margin for base rate borrowings as set forth below. The Eurocurrency rate is based on LIBOR for all U.S. dollar borrowings and has a floor. We have elected the three-month LIBOR as the floating interest rate on all of our outstanding term loans except for a portion of our Term Loan B for which we elected the one-month LIBOR. Interest payments are due on the last day of each quarter. Interest on a portion of the outstanding loan is hedged with interest rate swaps (see Note 8, Derivatives).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Pr>
          <w:p>
            <w:pPr>
              <w:spacing w:after="0"/>
              <w:rPr>
                <w:sz w:val="13"/>
                <w:szCs w:val="13"/>
                <w:color w:val="auto"/>
              </w:rPr>
            </w:pPr>
          </w:p>
        </w:tc>
        <w:tc>
          <w:tcPr>
            <w:tcW w:w="2300" w:type="dxa"/>
            <w:vAlign w:val="bottom"/>
            <w:tcBorders>
              <w:bottom w:val="single" w:sz="8" w:color="auto"/>
            </w:tcBorders>
            <w:gridSpan w:val="3"/>
          </w:tcPr>
          <w:p>
            <w:pPr>
              <w:ind w:left="860"/>
              <w:spacing w:after="0"/>
              <w:rPr>
                <w:sz w:val="20"/>
                <w:szCs w:val="20"/>
                <w:color w:val="auto"/>
              </w:rPr>
            </w:pPr>
            <w:r>
              <w:rPr>
                <w:rFonts w:ascii="Arial" w:cs="Arial" w:eastAsia="Arial" w:hAnsi="Arial"/>
                <w:sz w:val="11"/>
                <w:szCs w:val="11"/>
                <w:b w:val="1"/>
                <w:bCs w:val="1"/>
                <w:color w:val="auto"/>
              </w:rPr>
              <w:t>Eurocurrency borrowings</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b w:val="1"/>
                <w:bCs w:val="1"/>
                <w:color w:val="auto"/>
              </w:rPr>
              <w:t>Base rate borrowings</w:t>
            </w:r>
          </w:p>
        </w:tc>
        <w:tc>
          <w:tcPr>
            <w:tcW w:w="900" w:type="dxa"/>
            <w:vAlign w:val="bottom"/>
            <w:tcBorders>
              <w:bottom w:val="single" w:sz="8" w:color="auto"/>
            </w:tcBorders>
          </w:tcPr>
          <w:p>
            <w:pPr>
              <w:spacing w:after="0"/>
              <w:rPr>
                <w:sz w:val="13"/>
                <w:szCs w:val="13"/>
                <w:color w:val="auto"/>
              </w:rPr>
            </w:pPr>
          </w:p>
        </w:tc>
      </w:tr>
      <w:tr>
        <w:trPr>
          <w:trHeight w:val="238"/>
        </w:trPr>
        <w:tc>
          <w:tcPr>
            <w:tcW w:w="514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Applicable Margin</w:t>
            </w:r>
            <w:r>
              <w:rPr>
                <w:rFonts w:ascii="Arial" w:cs="Arial" w:eastAsia="Arial" w:hAnsi="Arial"/>
                <w:sz w:val="8"/>
                <w:szCs w:val="8"/>
                <w:b w:val="1"/>
                <w:bCs w:val="1"/>
                <w:color w:val="auto"/>
              </w:rPr>
              <w:t>(1)</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Floor</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Applicable Margin</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Floor</w:t>
            </w: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Loan A</w:t>
            </w:r>
          </w:p>
        </w:tc>
        <w:tc>
          <w:tcPr>
            <w:tcW w:w="1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2.50%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440"/>
              <w:spacing w:after="0"/>
              <w:rPr>
                <w:sz w:val="20"/>
                <w:szCs w:val="20"/>
                <w:color w:val="auto"/>
              </w:rPr>
            </w:pPr>
            <w:r>
              <w:rPr>
                <w:rFonts w:ascii="Arial" w:cs="Arial" w:eastAsia="Arial" w:hAnsi="Arial"/>
                <w:sz w:val="15"/>
                <w:szCs w:val="15"/>
                <w:color w:val="auto"/>
                <w:w w:val="98"/>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1.50%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369"/>
              <w:spacing w:after="0"/>
              <w:rPr>
                <w:sz w:val="20"/>
                <w:szCs w:val="20"/>
                <w:color w:val="auto"/>
              </w:rPr>
            </w:pPr>
            <w:r>
              <w:rPr>
                <w:rFonts w:ascii="Arial" w:cs="Arial" w:eastAsia="Arial" w:hAnsi="Arial"/>
                <w:sz w:val="15"/>
                <w:szCs w:val="15"/>
                <w:color w:val="auto"/>
                <w:w w:val="91"/>
              </w:rPr>
              <w:t>—%</w:t>
            </w:r>
          </w:p>
        </w:tc>
      </w:tr>
      <w:tr>
        <w:trPr>
          <w:trHeight w:val="237"/>
        </w:trPr>
        <w:tc>
          <w:tcPr>
            <w:tcW w:w="5140" w:type="dxa"/>
            <w:vAlign w:val="bottom"/>
          </w:tcPr>
          <w:p>
            <w:pPr>
              <w:ind w:left="20"/>
              <w:spacing w:after="0"/>
              <w:rPr>
                <w:sz w:val="20"/>
                <w:szCs w:val="20"/>
                <w:color w:val="auto"/>
              </w:rPr>
            </w:pPr>
            <w:r>
              <w:rPr>
                <w:rFonts w:ascii="Arial" w:cs="Arial" w:eastAsia="Arial" w:hAnsi="Arial"/>
                <w:sz w:val="15"/>
                <w:szCs w:val="15"/>
                <w:color w:val="auto"/>
              </w:rPr>
              <w:t>Term Loan B</w:t>
            </w:r>
          </w:p>
        </w:tc>
        <w:tc>
          <w:tcPr>
            <w:tcW w:w="1840" w:type="dxa"/>
            <w:vAlign w:val="bottom"/>
          </w:tcPr>
          <w:p>
            <w:pPr>
              <w:jc w:val="center"/>
              <w:spacing w:after="0"/>
              <w:rPr>
                <w:sz w:val="20"/>
                <w:szCs w:val="20"/>
                <w:color w:val="auto"/>
              </w:rPr>
            </w:pPr>
            <w:r>
              <w:rPr>
                <w:rFonts w:ascii="Arial" w:cs="Arial" w:eastAsia="Arial" w:hAnsi="Arial"/>
                <w:sz w:val="15"/>
                <w:szCs w:val="15"/>
                <w:color w:val="auto"/>
                <w:w w:val="98"/>
              </w:rPr>
              <w:t>3.00%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center"/>
              <w:ind w:right="249"/>
              <w:spacing w:after="0"/>
              <w:rPr>
                <w:sz w:val="20"/>
                <w:szCs w:val="20"/>
                <w:color w:val="auto"/>
              </w:rPr>
            </w:pPr>
            <w:r>
              <w:rPr>
                <w:rFonts w:ascii="Arial" w:cs="Arial" w:eastAsia="Arial" w:hAnsi="Arial"/>
                <w:sz w:val="15"/>
                <w:szCs w:val="15"/>
                <w:color w:val="auto"/>
                <w:w w:val="98"/>
              </w:rPr>
              <w:t>1.00%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93"/>
              </w:rPr>
              <w:t>2.00%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center"/>
              <w:ind w:right="369"/>
              <w:spacing w:after="0"/>
              <w:rPr>
                <w:sz w:val="20"/>
                <w:szCs w:val="20"/>
                <w:color w:val="auto"/>
              </w:rPr>
            </w:pPr>
            <w:r>
              <w:rPr>
                <w:rFonts w:ascii="Arial" w:cs="Arial" w:eastAsia="Arial" w:hAnsi="Arial"/>
                <w:sz w:val="15"/>
                <w:szCs w:val="15"/>
                <w:color w:val="auto"/>
                <w:w w:val="98"/>
              </w:rPr>
              <w:t>2.00%</w:t>
            </w:r>
          </w:p>
        </w:tc>
      </w:tr>
      <w:tr>
        <w:trPr>
          <w:trHeight w:val="254"/>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Incremental term loan facility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3.50%</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right="249"/>
              <w:spacing w:after="0"/>
              <w:rPr>
                <w:sz w:val="20"/>
                <w:szCs w:val="20"/>
                <w:color w:val="auto"/>
              </w:rPr>
            </w:pPr>
            <w:r>
              <w:rPr>
                <w:rFonts w:ascii="Arial" w:cs="Arial" w:eastAsia="Arial" w:hAnsi="Arial"/>
                <w:sz w:val="15"/>
                <w:szCs w:val="15"/>
                <w:color w:val="auto"/>
                <w:w w:val="98"/>
              </w:rPr>
              <w:t>1.00%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2.50%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right="369"/>
              <w:spacing w:after="0"/>
              <w:rPr>
                <w:sz w:val="20"/>
                <w:szCs w:val="20"/>
                <w:color w:val="auto"/>
              </w:rPr>
            </w:pPr>
            <w:r>
              <w:rPr>
                <w:rFonts w:ascii="Arial" w:cs="Arial" w:eastAsia="Arial" w:hAnsi="Arial"/>
                <w:sz w:val="15"/>
                <w:szCs w:val="15"/>
                <w:color w:val="auto"/>
                <w:w w:val="98"/>
              </w:rPr>
              <w:t>2.00%</w:t>
            </w:r>
          </w:p>
        </w:tc>
      </w:tr>
      <w:tr>
        <w:trPr>
          <w:trHeight w:val="237"/>
        </w:trPr>
        <w:tc>
          <w:tcPr>
            <w:tcW w:w="5140" w:type="dxa"/>
            <w:vAlign w:val="bottom"/>
          </w:tcPr>
          <w:p>
            <w:pPr>
              <w:ind w:left="20"/>
              <w:spacing w:after="0"/>
              <w:rPr>
                <w:sz w:val="20"/>
                <w:szCs w:val="20"/>
                <w:color w:val="auto"/>
              </w:rPr>
            </w:pPr>
            <w:r>
              <w:rPr>
                <w:rFonts w:ascii="Arial" w:cs="Arial" w:eastAsia="Arial" w:hAnsi="Arial"/>
                <w:sz w:val="15"/>
                <w:szCs w:val="15"/>
                <w:color w:val="auto"/>
              </w:rPr>
              <w:t>Term Loan C</w:t>
            </w:r>
          </w:p>
        </w:tc>
        <w:tc>
          <w:tcPr>
            <w:tcW w:w="1840" w:type="dxa"/>
            <w:vAlign w:val="bottom"/>
          </w:tcPr>
          <w:p>
            <w:pPr>
              <w:jc w:val="center"/>
              <w:spacing w:after="0"/>
              <w:rPr>
                <w:sz w:val="20"/>
                <w:szCs w:val="20"/>
                <w:color w:val="auto"/>
              </w:rPr>
            </w:pPr>
            <w:r>
              <w:rPr>
                <w:rFonts w:ascii="Arial" w:cs="Arial" w:eastAsia="Arial" w:hAnsi="Arial"/>
                <w:sz w:val="15"/>
                <w:szCs w:val="15"/>
                <w:color w:val="auto"/>
                <w:w w:val="98"/>
              </w:rPr>
              <w:t>3.00%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center"/>
              <w:ind w:right="249"/>
              <w:spacing w:after="0"/>
              <w:rPr>
                <w:sz w:val="20"/>
                <w:szCs w:val="20"/>
                <w:color w:val="auto"/>
              </w:rPr>
            </w:pPr>
            <w:r>
              <w:rPr>
                <w:rFonts w:ascii="Arial" w:cs="Arial" w:eastAsia="Arial" w:hAnsi="Arial"/>
                <w:sz w:val="15"/>
                <w:szCs w:val="15"/>
                <w:color w:val="auto"/>
                <w:w w:val="98"/>
              </w:rPr>
              <w:t>1.00%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93"/>
              </w:rPr>
              <w:t>2.00%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center"/>
              <w:ind w:right="369"/>
              <w:spacing w:after="0"/>
              <w:rPr>
                <w:sz w:val="20"/>
                <w:szCs w:val="20"/>
                <w:color w:val="auto"/>
              </w:rPr>
            </w:pPr>
            <w:r>
              <w:rPr>
                <w:rFonts w:ascii="Arial" w:cs="Arial" w:eastAsia="Arial" w:hAnsi="Arial"/>
                <w:sz w:val="15"/>
                <w:szCs w:val="15"/>
                <w:color w:val="auto"/>
                <w:w w:val="98"/>
              </w:rPr>
              <w:t>2.00%</w:t>
            </w:r>
          </w:p>
        </w:tc>
      </w:tr>
      <w:tr>
        <w:trPr>
          <w:trHeight w:val="254"/>
        </w:trPr>
        <w:tc>
          <w:tcPr>
            <w:tcW w:w="5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Revolver, $400 million</w:t>
            </w:r>
          </w:p>
        </w:tc>
        <w:tc>
          <w:tcPr>
            <w:tcW w:w="18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2.50%</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N/A</w:t>
            </w:r>
          </w:p>
        </w:tc>
        <w:tc>
          <w:tcPr>
            <w:tcW w:w="1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1.50%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N/A</w:t>
            </w:r>
          </w:p>
        </w:tc>
      </w:tr>
      <w:tr>
        <w:trPr>
          <w:trHeight w:val="173"/>
        </w:trPr>
        <w:tc>
          <w:tcPr>
            <w:tcW w:w="5140" w:type="dxa"/>
            <w:vAlign w:val="bottom"/>
          </w:tcPr>
          <w:p>
            <w:pPr>
              <w:spacing w:after="0"/>
              <w:rPr>
                <w:sz w:val="20"/>
                <w:szCs w:val="20"/>
                <w:color w:val="auto"/>
              </w:rPr>
            </w:pPr>
            <w:r>
              <w:rPr>
                <w:rFonts w:ascii="Arial" w:cs="Arial" w:eastAsia="Arial" w:hAnsi="Arial"/>
                <w:sz w:val="15"/>
                <w:szCs w:val="15"/>
                <w:color w:val="auto"/>
              </w:rPr>
              <w:t>________________________</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rPr>
          <w:sz w:val="20"/>
          <w:szCs w:val="20"/>
          <w:color w:val="auto"/>
        </w:rPr>
      </w:pPr>
      <w:r>
        <w:rPr>
          <w:rFonts w:ascii="Arial" w:cs="Arial" w:eastAsia="Arial" w:hAnsi="Arial"/>
          <w:sz w:val="15"/>
          <w:szCs w:val="15"/>
          <w:color w:val="auto"/>
        </w:rPr>
        <w:t>(1)  Applicable margins do not reflect potential step downs which are determined by the Senior Secured Leverage Ratio. See below for additional information.</w:t>
      </w:r>
    </w:p>
    <w:p>
      <w:pPr>
        <w:spacing w:after="0" w:line="19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Applicable margins for Term Loan B step up 25 basis points for any quarter if the Senior Secured Leverage Ratio is greater than or equal to 3.25 to 1.00. Applicable margins for Term Loan A and the Revolver step up by 25 basis points for any quarter if the Senior Secured Leverage Ratio is greater than or equal to 3.5 to 1.0. Applicable margins for all other borrowings under the Amended and Restated Credit Agreement step down 50 basis points for any quarter if the Senior Secured Leverage Ratio is less than or equal to 3.0 to 1.0. Applicable margins increase to maintain a difference of not more than 50 basis points relative to future term loan extensions or refinancings. In addition, we are required to pay a quarterly commitment fee of 0.375% per annum for unused revolving commitments. The commitment fee may increase to 0.5% per annum if the Senior Secured Leverage Ratio is greater than 3.5 to 1.0.</w:t>
      </w:r>
    </w:p>
    <w:p>
      <w:pPr>
        <w:spacing w:after="0" w:line="192"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5"/>
          <w:szCs w:val="15"/>
          <w:color w:val="auto"/>
        </w:rPr>
        <w:t>Our effective interest rates on borrowings under the Amended and Restated Credit Agreement for the years ended December 31, 2016, 2015 and 2014, inclusive of amounts charged to interest expense, are as follows:</w:t>
      </w:r>
    </w:p>
    <w:p>
      <w:pPr>
        <w:spacing w:after="0" w:line="265" w:lineRule="exact"/>
        <w:rPr>
          <w:sz w:val="20"/>
          <w:szCs w:val="20"/>
          <w:color w:val="auto"/>
        </w:rPr>
      </w:pPr>
    </w:p>
    <w:p>
      <w:pPr>
        <w:ind w:left="868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25400</wp:posOffset>
            </wp:positionV>
            <wp:extent cx="26168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16835" cy="76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2014</w:t>
            </w:r>
          </w:p>
        </w:tc>
      </w:tr>
      <w:tr>
        <w:trPr>
          <w:trHeight w:val="23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Including the impact of interest rate swaps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w:t>
            </w:r>
          </w:p>
        </w:tc>
      </w:tr>
      <w:tr>
        <w:trPr>
          <w:trHeight w:val="228"/>
        </w:trPr>
        <w:tc>
          <w:tcPr>
            <w:tcW w:w="8120" w:type="dxa"/>
            <w:vAlign w:val="bottom"/>
            <w:gridSpan w:val="2"/>
          </w:tcPr>
          <w:p>
            <w:pPr>
              <w:ind w:left="20"/>
              <w:spacing w:after="0"/>
              <w:rPr>
                <w:sz w:val="20"/>
                <w:szCs w:val="20"/>
                <w:color w:val="auto"/>
              </w:rPr>
            </w:pPr>
            <w:r>
              <w:rPr>
                <w:rFonts w:ascii="Arial" w:cs="Arial" w:eastAsia="Arial" w:hAnsi="Arial"/>
                <w:sz w:val="15"/>
                <w:szCs w:val="15"/>
                <w:color w:val="auto"/>
              </w:rPr>
              <w:t>Excluding the impact of interest rate swaps</w:t>
            </w:r>
          </w:p>
        </w:tc>
        <w:tc>
          <w:tcPr>
            <w:tcW w:w="480" w:type="dxa"/>
            <w:vAlign w:val="bottom"/>
          </w:tcPr>
          <w:p>
            <w:pPr>
              <w:jc w:val="right"/>
              <w:spacing w:after="0"/>
              <w:rPr>
                <w:sz w:val="20"/>
                <w:szCs w:val="20"/>
                <w:color w:val="auto"/>
              </w:rPr>
            </w:pPr>
            <w:r>
              <w:rPr>
                <w:rFonts w:ascii="Arial" w:cs="Arial" w:eastAsia="Arial" w:hAnsi="Arial"/>
                <w:sz w:val="15"/>
                <w:szCs w:val="15"/>
                <w:color w:val="auto"/>
              </w:rPr>
              <w:t>4.55%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4.89%</w:t>
            </w:r>
          </w:p>
        </w:tc>
      </w:tr>
      <w:tr>
        <w:trPr>
          <w:trHeight w:val="417"/>
        </w:trPr>
        <w:tc>
          <w:tcPr>
            <w:tcW w:w="7300" w:type="dxa"/>
            <w:vAlign w:val="bottom"/>
          </w:tcPr>
          <w:p>
            <w:pPr>
              <w:jc w:val="right"/>
              <w:ind w:right="1426"/>
              <w:spacing w:after="0"/>
              <w:rPr>
                <w:sz w:val="20"/>
                <w:szCs w:val="20"/>
                <w:color w:val="auto"/>
              </w:rPr>
            </w:pPr>
            <w:r>
              <w:rPr>
                <w:rFonts w:ascii="Arial" w:cs="Arial" w:eastAsia="Arial" w:hAnsi="Arial"/>
                <w:sz w:val="15"/>
                <w:szCs w:val="15"/>
                <w:color w:val="auto"/>
              </w:rPr>
              <w:t>84</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024" w:right="239" w:bottom="1440" w:gutter="0" w:footer="0" w:header="0"/>
        </w:sectPr>
      </w:pPr>
    </w:p>
    <w:bookmarkStart w:id="86" w:name="page87"/>
    <w:bookmarkEnd w:id="86"/>
    <w:p>
      <w:pPr>
        <w:ind w:left="460"/>
        <w:spacing w:after="0"/>
        <w:rPr>
          <w:sz w:val="20"/>
          <w:szCs w:val="20"/>
          <w:color w:val="auto"/>
        </w:rPr>
      </w:pPr>
      <w:r>
        <w:rPr>
          <w:rFonts w:ascii="Arial" w:cs="Arial" w:eastAsia="Arial" w:hAnsi="Arial"/>
          <w:sz w:val="15"/>
          <w:szCs w:val="15"/>
          <w:i w:val="1"/>
          <w:iCs w:val="1"/>
          <w:color w:val="auto"/>
        </w:rPr>
        <w:t>Extinguishments and Amendments</w:t>
      </w:r>
    </w:p>
    <w:p>
      <w:pPr>
        <w:spacing w:after="0" w:line="113"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In April 2014, we completed an initial public offering of our common stock and utilized the net proceeds to repay (i) $296 million aggregate principal amount of our Term Loan C and (ii) $320 million aggregate principal amount of our senior secured notes due 2019 (“2019 Notes”) at a redemption price of 108.5% of the principal amount. As a result of the prepayments on Term Loan C and the 2019 Notes, we recorded an extinguishment loss of $31 million which includes a $27 million redemption premium on the 2019 Notes.</w:t>
      </w:r>
    </w:p>
    <w:p>
      <w:pPr>
        <w:spacing w:after="0" w:line="190"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5"/>
          <w:szCs w:val="15"/>
          <w:color w:val="auto"/>
        </w:rPr>
        <w:t>In February 2014, we entered into a series of amendments to our Amended and Restated Credit Agreement (“Repricing Amendments”) which, among other amendments, reduced the applicable interest margins for Term Loan B and certain portions of the Prior Revolver. The Repricing Amendments also extended the maturity date of the Extended Revolver and increased the availability under the Prior Revolver from $352 million to $405 million. As a result of the Repricing Amendments, we recorded a $3 million loss on the extinguishment of debt.</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Senior Secured Notes due 2023</w:t>
      </w:r>
    </w:p>
    <w:p>
      <w:pPr>
        <w:spacing w:after="0" w:line="115" w:lineRule="exact"/>
        <w:rPr>
          <w:sz w:val="20"/>
          <w:szCs w:val="20"/>
          <w:color w:val="auto"/>
        </w:rPr>
      </w:pPr>
    </w:p>
    <w:p>
      <w:pPr>
        <w:jc w:val="both"/>
        <w:ind w:firstLine="392"/>
        <w:spacing w:after="0" w:line="241" w:lineRule="auto"/>
        <w:rPr>
          <w:sz w:val="20"/>
          <w:szCs w:val="20"/>
          <w:color w:val="auto"/>
        </w:rPr>
      </w:pPr>
      <w:r>
        <w:rPr>
          <w:rFonts w:ascii="Arial" w:cs="Arial" w:eastAsia="Arial" w:hAnsi="Arial"/>
          <w:sz w:val="15"/>
          <w:szCs w:val="15"/>
          <w:color w:val="auto"/>
        </w:rPr>
        <w:t>In April 2015, we issued $530 million senior secured notes due in April 2023 with a stated interest rate of 5.375% and received proceeds of $522 million, net of underwriting fees and commissions. We used the proceeds to redeem all of the $480 million principal of the 2019 Notes, pay the 6.375% redemption premium of $31 million and a make whole premium of $2 million, resulting in an extinguishment loss of $33 million. The remaining proceeds, combined with cash on hand, were used to pay accrued but unpaid interest of $19 million.</w:t>
      </w:r>
    </w:p>
    <w:p>
      <w:pPr>
        <w:spacing w:after="0" w:line="190" w:lineRule="exact"/>
        <w:rPr>
          <w:sz w:val="20"/>
          <w:szCs w:val="20"/>
          <w:color w:val="auto"/>
        </w:rPr>
      </w:pPr>
    </w:p>
    <w:p>
      <w:pPr>
        <w:jc w:val="both"/>
        <w:ind w:firstLine="441"/>
        <w:spacing w:after="0"/>
        <w:rPr>
          <w:sz w:val="20"/>
          <w:szCs w:val="20"/>
          <w:color w:val="auto"/>
        </w:rPr>
      </w:pPr>
      <w:r>
        <w:rPr>
          <w:rFonts w:ascii="Arial" w:cs="Arial" w:eastAsia="Arial" w:hAnsi="Arial"/>
          <w:sz w:val="15"/>
          <w:szCs w:val="15"/>
          <w:color w:val="auto"/>
        </w:rPr>
        <w:t>In November 2015, we issued $500 million senior secured notes due in 2023 with a stated interest rate of 5.25%. The net proceeds of $494 million, net of underwriting fees and commissions, were used to repay $235 million of the $400 million 2016 Notes (as defined below), pay a $5 million make-whole premium on the 2016 Notes and pay $5 million of accrued but unpaid interest. In addition, we used the net proceeds to repurchase 3,400,000 shares of our common stock totaling $99 million. The excess net proceeds, together with cash on hand, were applied to fund the acquisition of the Trust Group, which was completed in January 2016. As a result of the prepayment on the 2016 Notes, we recorded an extinguishment loss of $6 million, which includes $1 million of unamortized discount and the make-whole premium.</w:t>
      </w:r>
    </w:p>
    <w:p>
      <w:pPr>
        <w:spacing w:after="0" w:line="192" w:lineRule="exact"/>
        <w:rPr>
          <w:sz w:val="20"/>
          <w:szCs w:val="20"/>
          <w:color w:val="auto"/>
        </w:rPr>
      </w:pPr>
    </w:p>
    <w:p>
      <w:pPr>
        <w:jc w:val="both"/>
        <w:ind w:firstLine="392"/>
        <w:spacing w:after="0" w:line="241" w:lineRule="auto"/>
        <w:rPr>
          <w:sz w:val="20"/>
          <w:szCs w:val="20"/>
          <w:color w:val="auto"/>
        </w:rPr>
      </w:pPr>
      <w:r>
        <w:rPr>
          <w:rFonts w:ascii="Arial" w:cs="Arial" w:eastAsia="Arial" w:hAnsi="Arial"/>
          <w:sz w:val="15"/>
          <w:szCs w:val="15"/>
          <w:color w:val="auto"/>
        </w:rPr>
        <w:t>The senior secured notes due 2023 were issued by Sabre GLBL and are guaranteed by Sabre Holdings and each of Sabre GLBL’s existing and subsequently acquired or organized subsidiaries that are borrowers under or guarantors of our senior secured credit facilities. The senior secured notes due 2023 are secured by a first priority security interest in substantially all present and after acquired property and assets of Sabre GLBL and the guarantors of the notes, which also constitutes collateral securing indebtedness under our senior secured facilities on a first priority basis.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Senior Unsecured Notes Due 2016</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In March 2016, the remaining principal balance of $165 million of our senior unsecured notes matured. We repaid this remaining balance on the senior unsecured notes with a draw on our Prior Revolver and cash on hand.</w:t>
      </w:r>
    </w:p>
    <w:p>
      <w:pPr>
        <w:spacing w:after="0" w:line="26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Mortgage Facility</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We have $80 million outstanding under a mortgage facility for the buildings, land and furniture and fixtures located at our headquarters facilities in Southlake, Texas. The mortgage facility bears interest at a rate of 5.7985% per annum and matures on April 1, 2017. The mortgage facility includes certain customary non-financial covenants, including restrictions on incurring liens other than permitted liens, dissolving the borrower or changing our business, forgiving debt, changing our principal place of business and transferring the property. As of December 31, 2016, we are in compliance with all covenants under the mortgage facility.</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Aggregate Maturities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2016, aggregate maturities of our long-term debt were as follows (in thousands):</w:t>
      </w:r>
    </w:p>
    <w:p>
      <w:pPr>
        <w:spacing w:after="0" w:line="272" w:lineRule="exact"/>
        <w:rPr>
          <w:sz w:val="20"/>
          <w:szCs w:val="20"/>
          <w:color w:val="auto"/>
        </w:rPr>
      </w:pPr>
    </w:p>
    <w:tbl>
      <w:tblPr>
        <w:tblLayout w:type="fixed"/>
        <w:tblInd w:w="1760" w:type="dxa"/>
        <w:tblCellMar>
          <w:top w:w="0" w:type="dxa"/>
          <w:left w:w="0" w:type="dxa"/>
          <w:bottom w:w="0" w:type="dxa"/>
          <w:right w:w="0" w:type="dxa"/>
        </w:tblCellMar>
      </w:tblPr>
      <w:tr>
        <w:trPr>
          <w:trHeight w:val="159"/>
        </w:trPr>
        <w:tc>
          <w:tcPr>
            <w:tcW w:w="2860" w:type="dxa"/>
            <w:vAlign w:val="bottom"/>
            <w:tcBorders>
              <w:bottom w:val="single" w:sz="8" w:color="CCEEFF"/>
            </w:tcBorders>
          </w:tcPr>
          <w:p>
            <w:pPr>
              <w:spacing w:after="0"/>
              <w:rPr>
                <w:sz w:val="13"/>
                <w:szCs w:val="13"/>
                <w:color w:val="auto"/>
              </w:rPr>
            </w:pPr>
          </w:p>
        </w:tc>
        <w:tc>
          <w:tcPr>
            <w:tcW w:w="34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01"/>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Years Ending December 31,</w:t>
            </w:r>
          </w:p>
        </w:tc>
        <w:tc>
          <w:tcPr>
            <w:tcW w:w="34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5"/>
                <w:szCs w:val="15"/>
                <w:color w:val="auto"/>
              </w:rPr>
              <w:t>2017</w:t>
            </w:r>
          </w:p>
        </w:tc>
        <w:tc>
          <w:tcPr>
            <w:tcW w:w="3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
              <w:spacing w:after="0"/>
              <w:rPr>
                <w:sz w:val="20"/>
                <w:szCs w:val="20"/>
                <w:color w:val="auto"/>
              </w:rPr>
            </w:pPr>
            <w:r>
              <w:rPr>
                <w:rFonts w:ascii="Arial" w:cs="Arial" w:eastAsia="Arial" w:hAnsi="Arial"/>
                <w:sz w:val="15"/>
                <w:szCs w:val="15"/>
                <w:color w:val="auto"/>
              </w:rPr>
              <w:t>169,246</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3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564,385</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5"/>
                <w:szCs w:val="15"/>
                <w:color w:val="auto"/>
              </w:rPr>
              <w:t>2019</w:t>
            </w:r>
          </w:p>
        </w:tc>
        <w:tc>
          <w:tcPr>
            <w:tcW w:w="3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5"/>
                <w:szCs w:val="15"/>
                <w:color w:val="auto"/>
              </w:rPr>
              <w:t>1,710,495</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3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4,368</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5"/>
                <w:szCs w:val="15"/>
                <w:color w:val="auto"/>
              </w:rPr>
              <w:t>2021</w:t>
            </w:r>
          </w:p>
        </w:tc>
        <w:tc>
          <w:tcPr>
            <w:tcW w:w="3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Thereafter</w:t>
            </w:r>
          </w:p>
        </w:tc>
        <w:tc>
          <w:tcPr>
            <w:tcW w:w="34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1,030,000</w:t>
            </w:r>
          </w:p>
        </w:tc>
        <w:tc>
          <w:tcPr>
            <w:tcW w:w="0" w:type="dxa"/>
            <w:vAlign w:val="bottom"/>
          </w:tcPr>
          <w:p>
            <w:pPr>
              <w:spacing w:after="0"/>
              <w:rPr>
                <w:sz w:val="1"/>
                <w:szCs w:val="1"/>
                <w:color w:val="auto"/>
              </w:rPr>
            </w:pPr>
          </w:p>
        </w:tc>
      </w:tr>
      <w:tr>
        <w:trPr>
          <w:trHeight w:val="205"/>
        </w:trPr>
        <w:tc>
          <w:tcPr>
            <w:tcW w:w="2860" w:type="dxa"/>
            <w:vAlign w:val="bottom"/>
          </w:tcPr>
          <w:p>
            <w:pPr>
              <w:ind w:left="240"/>
              <w:spacing w:after="0"/>
              <w:rPr>
                <w:sz w:val="20"/>
                <w:szCs w:val="20"/>
                <w:color w:val="auto"/>
              </w:rPr>
            </w:pPr>
            <w:r>
              <w:rPr>
                <w:rFonts w:ascii="Arial" w:cs="Arial" w:eastAsia="Arial" w:hAnsi="Arial"/>
                <w:sz w:val="15"/>
                <w:szCs w:val="15"/>
                <w:color w:val="auto"/>
              </w:rPr>
              <w:t>Total</w:t>
            </w:r>
          </w:p>
        </w:tc>
        <w:tc>
          <w:tcPr>
            <w:tcW w:w="3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
              <w:spacing w:after="0"/>
              <w:rPr>
                <w:sz w:val="20"/>
                <w:szCs w:val="20"/>
                <w:color w:val="auto"/>
              </w:rPr>
            </w:pPr>
            <w:r>
              <w:rPr>
                <w:rFonts w:ascii="Arial" w:cs="Arial" w:eastAsia="Arial" w:hAnsi="Arial"/>
                <w:sz w:val="15"/>
                <w:szCs w:val="15"/>
                <w:color w:val="auto"/>
              </w:rPr>
              <w:t>3,478,494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440" w:type="dxa"/>
            <w:vAlign w:val="bottom"/>
            <w:vMerge w:val="restart"/>
          </w:tcPr>
          <w:p>
            <w:pPr>
              <w:jc w:val="right"/>
              <w:ind w:right="2186"/>
              <w:spacing w:after="0"/>
              <w:rPr>
                <w:sz w:val="20"/>
                <w:szCs w:val="20"/>
                <w:color w:val="auto"/>
              </w:rPr>
            </w:pPr>
            <w:r>
              <w:rPr>
                <w:rFonts w:ascii="Arial" w:cs="Arial" w:eastAsia="Arial" w:hAnsi="Arial"/>
                <w:sz w:val="15"/>
                <w:szCs w:val="15"/>
                <w:color w:val="auto"/>
              </w:rPr>
              <w:t>85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86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7" w:right="239" w:bottom="1440" w:gutter="0" w:footer="0" w:header="0"/>
        </w:sectPr>
      </w:pPr>
    </w:p>
    <w:bookmarkStart w:id="87" w:name="page88"/>
    <w:bookmarkEnd w:id="87"/>
    <w:p>
      <w:pPr>
        <w:spacing w:after="0"/>
        <w:rPr>
          <w:sz w:val="20"/>
          <w:szCs w:val="20"/>
          <w:color w:val="auto"/>
        </w:rPr>
      </w:pPr>
      <w:r>
        <w:rPr>
          <w:rFonts w:ascii="Arial" w:cs="Arial" w:eastAsia="Arial" w:hAnsi="Arial"/>
          <w:sz w:val="15"/>
          <w:szCs w:val="15"/>
          <w:b w:val="1"/>
          <w:bCs w:val="1"/>
          <w:color w:val="auto"/>
        </w:rPr>
        <w:t>8. Derivatives</w:t>
      </w:r>
    </w:p>
    <w:p>
      <w:pPr>
        <w:spacing w:after="0" w:line="99" w:lineRule="exact"/>
        <w:rPr>
          <w:sz w:val="20"/>
          <w:szCs w:val="20"/>
          <w:color w:val="auto"/>
        </w:rPr>
      </w:pPr>
    </w:p>
    <w:p>
      <w:pPr>
        <w:jc w:val="both"/>
        <w:ind w:firstLine="454"/>
        <w:spacing w:after="0" w:line="246" w:lineRule="auto"/>
        <w:rPr>
          <w:sz w:val="20"/>
          <w:szCs w:val="20"/>
          <w:color w:val="auto"/>
        </w:rPr>
      </w:pPr>
      <w:r>
        <w:rPr>
          <w:rFonts w:ascii="Arial" w:cs="Arial" w:eastAsia="Arial" w:hAnsi="Arial"/>
          <w:sz w:val="15"/>
          <w:szCs w:val="15"/>
          <w:i w:val="1"/>
          <w:iCs w:val="1"/>
          <w:color w:val="auto"/>
        </w:rPr>
        <w:t>Hedging Objectives</w:t>
      </w:r>
      <w:r>
        <w:rPr>
          <w:rFonts w:ascii="Arial" w:cs="Arial" w:eastAsia="Arial" w:hAnsi="Arial"/>
          <w:sz w:val="15"/>
          <w:szCs w:val="15"/>
          <w:color w:val="auto"/>
        </w:rPr>
        <w:t>—We are exposed to certain risks relating to ongoing business operations. The primary risks managed by using derivative instruments are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currency exchange rate risk and interest rate risk. Forward contracts on various foreign currencies are entered into to manage the foreign currency exchange rate risk on operational exposure denominated in foreign currencies. Interest rate swaps are entered into to manage interest rate risk associated with our floating-rate borrowings. 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171" w:lineRule="exact"/>
        <w:rPr>
          <w:sz w:val="20"/>
          <w:szCs w:val="20"/>
          <w:color w:val="auto"/>
        </w:rPr>
      </w:pPr>
    </w:p>
    <w:p>
      <w:pPr>
        <w:jc w:val="both"/>
        <w:ind w:firstLine="454"/>
        <w:spacing w:after="0" w:line="248" w:lineRule="auto"/>
        <w:rPr>
          <w:sz w:val="20"/>
          <w:szCs w:val="20"/>
          <w:color w:val="auto"/>
        </w:rPr>
      </w:pPr>
      <w:r>
        <w:rPr>
          <w:rFonts w:ascii="Arial" w:cs="Arial" w:eastAsia="Arial" w:hAnsi="Arial"/>
          <w:sz w:val="15"/>
          <w:szCs w:val="15"/>
          <w:i w:val="1"/>
          <w:iCs w:val="1"/>
          <w:color w:val="auto"/>
        </w:rPr>
        <w:t>Cash Flow Hedging Strategy</w:t>
      </w:r>
      <w:r>
        <w:rPr>
          <w:rFonts w:ascii="Arial" w:cs="Arial" w:eastAsia="Arial" w:hAnsi="Arial"/>
          <w:sz w:val="15"/>
          <w:szCs w:val="15"/>
          <w:color w:val="auto"/>
        </w:rPr>
        <w:t>—To protect against the reduction in value of forecasted foreign currency cash flows, we hedge portions of our revenues and expenses</w:t>
      </w:r>
      <w:r>
        <w:rPr>
          <w:rFonts w:ascii="Arial" w:cs="Arial" w:eastAsia="Arial" w:hAnsi="Arial"/>
          <w:sz w:val="15"/>
          <w:szCs w:val="15"/>
          <w:i w:val="1"/>
          <w:iCs w:val="1"/>
          <w:color w:val="auto"/>
        </w:rPr>
        <w:t xml:space="preserve"> </w:t>
      </w:r>
      <w:r>
        <w:rPr>
          <w:rFonts w:ascii="Arial" w:cs="Arial" w:eastAsia="Arial" w:hAnsi="Arial"/>
          <w:sz w:val="15"/>
          <w:szCs w:val="15"/>
          <w:color w:val="auto"/>
        </w:rPr>
        <w:t>denominated in foreign currencies with forward contracts. For example, when the dollar strengthens significantly against the foreign currencies, the decline in present value of future foreign currency expense is offset by losses in the fair value of the forward contracts designated as hedges. Conversely, when the dollar weakens, the increase in the present value of future foreign currency expense is offset by gains in the fair value of the forward contracts.</w:t>
      </w:r>
    </w:p>
    <w:p>
      <w:pPr>
        <w:spacing w:after="0" w:line="186"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We enter into interest rate swap agreements to manage interest rate risk exposure. The interest rate swap agreements 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For derivative instruments that are designated and qualify as cash flow hedges, the effective portion of the gain or loss on the derivative instrument is reported as a component of other comprehensive income (loss) (“OCI”) and reclassified into earnings in the same line item associated with the forecasted transaction and in the same period or periods during which the hedged transaction affects earnings. The remaining gain or loss on the derivative instrument in excess of the cumulative change in the present value of future cash flows of the hedged item, if any (ineffective portion), and hedge components excluded from the assessment of effectiveness, are recognized in the Other, net in the consolidated statements of operations during the current period. Derivatives not designated as hedging instruments are carried at fair value with changes in fair value reflected in the consolidated statement of operations.</w:t>
      </w:r>
    </w:p>
    <w:p>
      <w:pPr>
        <w:spacing w:after="0" w:line="176" w:lineRule="exact"/>
        <w:rPr>
          <w:sz w:val="20"/>
          <w:szCs w:val="20"/>
          <w:color w:val="auto"/>
        </w:rPr>
      </w:pPr>
    </w:p>
    <w:p>
      <w:pPr>
        <w:jc w:val="both"/>
        <w:ind w:firstLine="454"/>
        <w:spacing w:after="0" w:line="248" w:lineRule="auto"/>
        <w:rPr>
          <w:sz w:val="20"/>
          <w:szCs w:val="20"/>
          <w:color w:val="auto"/>
        </w:rPr>
      </w:pPr>
      <w:r>
        <w:rPr>
          <w:rFonts w:ascii="Arial" w:cs="Arial" w:eastAsia="Arial" w:hAnsi="Arial"/>
          <w:sz w:val="15"/>
          <w:szCs w:val="15"/>
          <w:i w:val="1"/>
          <w:iCs w:val="1"/>
          <w:color w:val="auto"/>
        </w:rPr>
        <w:t>Forward Contracts</w:t>
      </w:r>
      <w:r>
        <w:rPr>
          <w:rFonts w:ascii="Arial" w:cs="Arial" w:eastAsia="Arial" w:hAnsi="Arial"/>
          <w:sz w:val="15"/>
          <w:szCs w:val="15"/>
          <w:color w:val="auto"/>
        </w:rPr>
        <w:t>— In order to hedge our operational exposure to foreign currency movements, we are a party to certain foreign currency forward contracts that extend</w:t>
      </w:r>
      <w:r>
        <w:rPr>
          <w:rFonts w:ascii="Arial" w:cs="Arial" w:eastAsia="Arial" w:hAnsi="Arial"/>
          <w:sz w:val="15"/>
          <w:szCs w:val="15"/>
          <w:i w:val="1"/>
          <w:iCs w:val="1"/>
          <w:color w:val="auto"/>
        </w:rPr>
        <w:t xml:space="preserve"> </w:t>
      </w:r>
      <w:r>
        <w:rPr>
          <w:rFonts w:ascii="Arial" w:cs="Arial" w:eastAsia="Arial" w:hAnsi="Arial"/>
          <w:sz w:val="15"/>
          <w:szCs w:val="15"/>
          <w:color w:val="auto"/>
        </w:rPr>
        <w:t>until December 2017. We have designated these instruments as cash flow hedges. No hedging ineffectiveness was recorded in earnings relating to the forward contracts during the years ended December 31, 2016, 2015 and 2014. As of December 31, 2016, we estimate that $7 million in losses will be reclassified from other comprehensive income (loss) to earnings over the next 12 months.</w:t>
      </w:r>
    </w:p>
    <w:p>
      <w:pPr>
        <w:spacing w:after="0" w:line="186"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As of December 31, 2016 and 2015, we had the following unsettled purchased foreign currency forward contracts that were entered into to hedge our operational exposure to foreign currency movements (in thousands, except for average contract rates):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December 31, 2016 Outstanding Notional Amount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Average Contract</w:t>
            </w:r>
          </w:p>
        </w:tc>
      </w:tr>
      <w:tr>
        <w:trPr>
          <w:trHeight w:val="159"/>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Buy Currency</w:t>
            </w:r>
          </w:p>
        </w:tc>
        <w:tc>
          <w:tcPr>
            <w:tcW w:w="12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center"/>
              <w:ind w:left="329"/>
              <w:spacing w:after="0"/>
              <w:rPr>
                <w:sz w:val="20"/>
                <w:szCs w:val="20"/>
                <w:color w:val="auto"/>
              </w:rPr>
            </w:pPr>
            <w:r>
              <w:rPr>
                <w:rFonts w:ascii="Arial" w:cs="Arial" w:eastAsia="Arial" w:hAnsi="Arial"/>
                <w:sz w:val="11"/>
                <w:szCs w:val="11"/>
                <w:b w:val="1"/>
                <w:bCs w:val="1"/>
                <w:color w:val="auto"/>
              </w:rPr>
              <w:t>Sell Currency</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Foreign Amount</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429"/>
              <w:spacing w:after="0"/>
              <w:rPr>
                <w:sz w:val="20"/>
                <w:szCs w:val="20"/>
                <w:color w:val="auto"/>
              </w:rPr>
            </w:pPr>
            <w:r>
              <w:rPr>
                <w:rFonts w:ascii="Arial" w:cs="Arial" w:eastAsia="Arial" w:hAnsi="Arial"/>
                <w:sz w:val="11"/>
                <w:szCs w:val="11"/>
                <w:b w:val="1"/>
                <w:bCs w:val="1"/>
                <w:color w:val="auto"/>
              </w:rPr>
              <w:t>USD Amount</w:t>
            </w:r>
          </w:p>
        </w:tc>
        <w:tc>
          <w:tcPr>
            <w:tcW w:w="10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Rate</w:t>
            </w:r>
          </w:p>
        </w:tc>
      </w:tr>
      <w:tr>
        <w:trPr>
          <w:trHeight w:val="233"/>
        </w:trPr>
        <w:tc>
          <w:tcPr>
            <w:tcW w:w="4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8"/>
              </w:rPr>
              <w:t>Australian Dollar</w:t>
            </w:r>
          </w:p>
        </w:tc>
        <w:tc>
          <w:tcPr>
            <w:tcW w:w="1580" w:type="dxa"/>
            <w:vAlign w:val="bottom"/>
            <w:shd w:val="clear" w:color="auto" w:fill="CCEEFF"/>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17,000</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12,574</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0.7396</w:t>
            </w:r>
          </w:p>
        </w:tc>
      </w:tr>
      <w:tr>
        <w:trPr>
          <w:trHeight w:val="237"/>
        </w:trPr>
        <w:tc>
          <w:tcPr>
            <w:tcW w:w="4000" w:type="dxa"/>
            <w:vAlign w:val="bottom"/>
            <w:gridSpan w:val="2"/>
          </w:tcPr>
          <w:p>
            <w:pPr>
              <w:jc w:val="center"/>
              <w:ind w:right="120"/>
              <w:spacing w:after="0"/>
              <w:rPr>
                <w:sz w:val="20"/>
                <w:szCs w:val="20"/>
                <w:color w:val="auto"/>
              </w:rPr>
            </w:pPr>
            <w:r>
              <w:rPr>
                <w:rFonts w:ascii="Arial" w:cs="Arial" w:eastAsia="Arial" w:hAnsi="Arial"/>
                <w:sz w:val="15"/>
                <w:szCs w:val="15"/>
                <w:color w:val="auto"/>
              </w:rPr>
              <w:t>Euro</w:t>
            </w:r>
          </w:p>
        </w:tc>
        <w:tc>
          <w:tcPr>
            <w:tcW w:w="1580" w:type="dxa"/>
            <w:vAlign w:val="bottom"/>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tcPr>
          <w:p>
            <w:pPr>
              <w:jc w:val="right"/>
              <w:ind w:right="63"/>
              <w:spacing w:after="0"/>
              <w:rPr>
                <w:sz w:val="20"/>
                <w:szCs w:val="20"/>
                <w:color w:val="auto"/>
              </w:rPr>
            </w:pPr>
            <w:r>
              <w:rPr>
                <w:rFonts w:ascii="Arial" w:cs="Arial" w:eastAsia="Arial" w:hAnsi="Arial"/>
                <w:sz w:val="15"/>
                <w:szCs w:val="15"/>
                <w:color w:val="auto"/>
              </w:rPr>
              <w:t>1,800</w:t>
            </w:r>
          </w:p>
        </w:tc>
        <w:tc>
          <w:tcPr>
            <w:tcW w:w="100" w:type="dxa"/>
            <w:vAlign w:val="bottom"/>
          </w:tcPr>
          <w:p>
            <w:pPr>
              <w:spacing w:after="0"/>
              <w:rPr>
                <w:sz w:val="20"/>
                <w:szCs w:val="20"/>
                <w:color w:val="auto"/>
              </w:rPr>
            </w:pPr>
          </w:p>
        </w:tc>
        <w:tc>
          <w:tcPr>
            <w:tcW w:w="1720" w:type="dxa"/>
            <w:vAlign w:val="bottom"/>
          </w:tcPr>
          <w:p>
            <w:pPr>
              <w:jc w:val="right"/>
              <w:ind w:right="49"/>
              <w:spacing w:after="0"/>
              <w:rPr>
                <w:sz w:val="20"/>
                <w:szCs w:val="20"/>
                <w:color w:val="auto"/>
              </w:rPr>
            </w:pPr>
            <w:r>
              <w:rPr>
                <w:rFonts w:ascii="Arial" w:cs="Arial" w:eastAsia="Arial" w:hAnsi="Arial"/>
                <w:sz w:val="15"/>
                <w:szCs w:val="15"/>
                <w:color w:val="auto"/>
              </w:rPr>
              <w:t>2,031</w:t>
            </w:r>
          </w:p>
        </w:tc>
        <w:tc>
          <w:tcPr>
            <w:tcW w:w="1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5"/>
                <w:szCs w:val="15"/>
                <w:color w:val="auto"/>
              </w:rPr>
              <w:t>1.1283</w:t>
            </w:r>
          </w:p>
        </w:tc>
      </w:tr>
      <w:tr>
        <w:trPr>
          <w:trHeight w:val="254"/>
        </w:trPr>
        <w:tc>
          <w:tcPr>
            <w:tcW w:w="4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British Pound Sterling</w:t>
            </w:r>
          </w:p>
        </w:tc>
        <w:tc>
          <w:tcPr>
            <w:tcW w:w="1580" w:type="dxa"/>
            <w:vAlign w:val="bottom"/>
            <w:shd w:val="clear" w:color="auto" w:fill="CCEEFF"/>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17,750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23,691</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1.3347</w:t>
            </w:r>
          </w:p>
        </w:tc>
      </w:tr>
      <w:tr>
        <w:trPr>
          <w:trHeight w:val="237"/>
        </w:trPr>
        <w:tc>
          <w:tcPr>
            <w:tcW w:w="400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Indian Rupee</w:t>
            </w:r>
          </w:p>
        </w:tc>
        <w:tc>
          <w:tcPr>
            <w:tcW w:w="1580" w:type="dxa"/>
            <w:vAlign w:val="bottom"/>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tcPr>
          <w:p>
            <w:pPr>
              <w:jc w:val="right"/>
              <w:ind w:right="63"/>
              <w:spacing w:after="0"/>
              <w:rPr>
                <w:sz w:val="20"/>
                <w:szCs w:val="20"/>
                <w:color w:val="auto"/>
              </w:rPr>
            </w:pPr>
            <w:r>
              <w:rPr>
                <w:rFonts w:ascii="Arial" w:cs="Arial" w:eastAsia="Arial" w:hAnsi="Arial"/>
                <w:sz w:val="15"/>
                <w:szCs w:val="15"/>
                <w:color w:val="auto"/>
              </w:rPr>
              <w:t>1,174,500</w:t>
            </w:r>
          </w:p>
        </w:tc>
        <w:tc>
          <w:tcPr>
            <w:tcW w:w="100" w:type="dxa"/>
            <w:vAlign w:val="bottom"/>
          </w:tcPr>
          <w:p>
            <w:pPr>
              <w:spacing w:after="0"/>
              <w:rPr>
                <w:sz w:val="20"/>
                <w:szCs w:val="20"/>
                <w:color w:val="auto"/>
              </w:rPr>
            </w:pPr>
          </w:p>
        </w:tc>
        <w:tc>
          <w:tcPr>
            <w:tcW w:w="1720" w:type="dxa"/>
            <w:vAlign w:val="bottom"/>
          </w:tcPr>
          <w:p>
            <w:pPr>
              <w:jc w:val="right"/>
              <w:ind w:right="49"/>
              <w:spacing w:after="0"/>
              <w:rPr>
                <w:sz w:val="20"/>
                <w:szCs w:val="20"/>
                <w:color w:val="auto"/>
              </w:rPr>
            </w:pPr>
            <w:r>
              <w:rPr>
                <w:rFonts w:ascii="Arial" w:cs="Arial" w:eastAsia="Arial" w:hAnsi="Arial"/>
                <w:sz w:val="15"/>
                <w:szCs w:val="15"/>
                <w:color w:val="auto"/>
              </w:rPr>
              <w:t>16,786</w:t>
            </w:r>
          </w:p>
        </w:tc>
        <w:tc>
          <w:tcPr>
            <w:tcW w:w="1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5"/>
                <w:szCs w:val="15"/>
                <w:color w:val="auto"/>
              </w:rPr>
              <w:t>0.0143</w:t>
            </w:r>
          </w:p>
        </w:tc>
      </w:tr>
      <w:tr>
        <w:trPr>
          <w:trHeight w:val="254"/>
        </w:trPr>
        <w:tc>
          <w:tcPr>
            <w:tcW w:w="4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Polish Zloty</w:t>
            </w:r>
          </w:p>
        </w:tc>
        <w:tc>
          <w:tcPr>
            <w:tcW w:w="1580" w:type="dxa"/>
            <w:vAlign w:val="bottom"/>
            <w:shd w:val="clear" w:color="auto" w:fill="CCEEFF"/>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258,250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64,778</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0.2508</w:t>
            </w:r>
          </w:p>
        </w:tc>
      </w:tr>
      <w:tr>
        <w:trPr>
          <w:trHeight w:val="228"/>
        </w:trPr>
        <w:tc>
          <w:tcPr>
            <w:tcW w:w="4000" w:type="dxa"/>
            <w:vAlign w:val="bottom"/>
            <w:gridSpan w:val="2"/>
          </w:tcPr>
          <w:p>
            <w:pPr>
              <w:jc w:val="center"/>
              <w:ind w:right="100"/>
              <w:spacing w:after="0"/>
              <w:rPr>
                <w:sz w:val="20"/>
                <w:szCs w:val="20"/>
                <w:color w:val="auto"/>
              </w:rPr>
            </w:pPr>
            <w:r>
              <w:rPr>
                <w:rFonts w:ascii="Arial" w:cs="Arial" w:eastAsia="Arial" w:hAnsi="Arial"/>
                <w:sz w:val="15"/>
                <w:szCs w:val="15"/>
                <w:color w:val="auto"/>
                <w:w w:val="98"/>
              </w:rPr>
              <w:t>Singapore Dollar</w:t>
            </w:r>
          </w:p>
        </w:tc>
        <w:tc>
          <w:tcPr>
            <w:tcW w:w="1580" w:type="dxa"/>
            <w:vAlign w:val="bottom"/>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tcPr>
          <w:p>
            <w:pPr>
              <w:jc w:val="right"/>
              <w:ind w:right="63"/>
              <w:spacing w:after="0"/>
              <w:rPr>
                <w:sz w:val="20"/>
                <w:szCs w:val="20"/>
                <w:color w:val="auto"/>
              </w:rPr>
            </w:pPr>
            <w:r>
              <w:rPr>
                <w:rFonts w:ascii="Arial" w:cs="Arial" w:eastAsia="Arial" w:hAnsi="Arial"/>
                <w:sz w:val="15"/>
                <w:szCs w:val="15"/>
                <w:color w:val="auto"/>
              </w:rPr>
              <w:t>47,700</w:t>
            </w:r>
          </w:p>
        </w:tc>
        <w:tc>
          <w:tcPr>
            <w:tcW w:w="100" w:type="dxa"/>
            <w:vAlign w:val="bottom"/>
          </w:tcPr>
          <w:p>
            <w:pPr>
              <w:spacing w:after="0"/>
              <w:rPr>
                <w:sz w:val="19"/>
                <w:szCs w:val="19"/>
                <w:color w:val="auto"/>
              </w:rPr>
            </w:pPr>
          </w:p>
        </w:tc>
        <w:tc>
          <w:tcPr>
            <w:tcW w:w="1720" w:type="dxa"/>
            <w:vAlign w:val="bottom"/>
          </w:tcPr>
          <w:p>
            <w:pPr>
              <w:jc w:val="right"/>
              <w:ind w:right="49"/>
              <w:spacing w:after="0"/>
              <w:rPr>
                <w:sz w:val="20"/>
                <w:szCs w:val="20"/>
                <w:color w:val="auto"/>
              </w:rPr>
            </w:pPr>
            <w:r>
              <w:rPr>
                <w:rFonts w:ascii="Arial" w:cs="Arial" w:eastAsia="Arial" w:hAnsi="Arial"/>
                <w:sz w:val="15"/>
                <w:szCs w:val="15"/>
                <w:color w:val="auto"/>
              </w:rPr>
              <w:t>34,383</w:t>
            </w:r>
          </w:p>
        </w:tc>
        <w:tc>
          <w:tcPr>
            <w:tcW w:w="1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5"/>
                <w:szCs w:val="15"/>
                <w:color w:val="auto"/>
              </w:rPr>
              <w:t>0.7208</w:t>
            </w:r>
          </w:p>
        </w:tc>
      </w:tr>
      <w:tr>
        <w:trPr>
          <w:trHeight w:val="402"/>
        </w:trPr>
        <w:tc>
          <w:tcPr>
            <w:tcW w:w="3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1"/>
                <w:szCs w:val="11"/>
                <w:b w:val="1"/>
                <w:bCs w:val="1"/>
                <w:color w:val="auto"/>
              </w:rPr>
              <w:t>December 31, 2015 Outstanding Notional Amount</w:t>
            </w: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28"/>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rPr>
              <w:t>Average Contract</w:t>
            </w:r>
          </w:p>
        </w:tc>
      </w:tr>
      <w:tr>
        <w:trPr>
          <w:trHeight w:val="159"/>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Buy Currency</w:t>
            </w:r>
          </w:p>
        </w:tc>
        <w:tc>
          <w:tcPr>
            <w:tcW w:w="12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center"/>
              <w:ind w:left="329"/>
              <w:spacing w:after="0"/>
              <w:rPr>
                <w:sz w:val="20"/>
                <w:szCs w:val="20"/>
                <w:color w:val="auto"/>
              </w:rPr>
            </w:pPr>
            <w:r>
              <w:rPr>
                <w:rFonts w:ascii="Arial" w:cs="Arial" w:eastAsia="Arial" w:hAnsi="Arial"/>
                <w:sz w:val="11"/>
                <w:szCs w:val="11"/>
                <w:b w:val="1"/>
                <w:bCs w:val="1"/>
                <w:color w:val="auto"/>
              </w:rPr>
              <w:t>Sell Currency</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Foreign Amount</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429"/>
              <w:spacing w:after="0"/>
              <w:rPr>
                <w:sz w:val="20"/>
                <w:szCs w:val="20"/>
                <w:color w:val="auto"/>
              </w:rPr>
            </w:pPr>
            <w:r>
              <w:rPr>
                <w:rFonts w:ascii="Arial" w:cs="Arial" w:eastAsia="Arial" w:hAnsi="Arial"/>
                <w:sz w:val="11"/>
                <w:szCs w:val="11"/>
                <w:b w:val="1"/>
                <w:bCs w:val="1"/>
                <w:color w:val="auto"/>
              </w:rPr>
              <w:t>USD Amount</w:t>
            </w:r>
          </w:p>
        </w:tc>
        <w:tc>
          <w:tcPr>
            <w:tcW w:w="10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Rate</w:t>
            </w:r>
          </w:p>
        </w:tc>
      </w:tr>
      <w:tr>
        <w:trPr>
          <w:trHeight w:val="233"/>
        </w:trPr>
        <w:tc>
          <w:tcPr>
            <w:tcW w:w="4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9"/>
              </w:rPr>
              <w:t>US Dollar</w:t>
            </w:r>
          </w:p>
        </w:tc>
        <w:tc>
          <w:tcPr>
            <w:tcW w:w="1580" w:type="dxa"/>
            <w:vAlign w:val="bottom"/>
            <w:shd w:val="clear" w:color="auto" w:fill="CCEEFF"/>
          </w:tcPr>
          <w:p>
            <w:pPr>
              <w:jc w:val="center"/>
              <w:ind w:left="309"/>
              <w:spacing w:after="0"/>
              <w:rPr>
                <w:sz w:val="20"/>
                <w:szCs w:val="20"/>
                <w:color w:val="auto"/>
              </w:rPr>
            </w:pPr>
            <w:r>
              <w:rPr>
                <w:rFonts w:ascii="Arial" w:cs="Arial" w:eastAsia="Arial" w:hAnsi="Arial"/>
                <w:sz w:val="15"/>
                <w:szCs w:val="15"/>
                <w:color w:val="auto"/>
                <w:w w:val="98"/>
              </w:rPr>
              <w:t>Australian Dollar</w:t>
            </w:r>
          </w:p>
        </w:tc>
        <w:tc>
          <w:tcPr>
            <w:tcW w:w="222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2,080</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1,570</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0.7548</w:t>
            </w:r>
          </w:p>
        </w:tc>
      </w:tr>
      <w:tr>
        <w:trPr>
          <w:trHeight w:val="237"/>
        </w:trPr>
        <w:tc>
          <w:tcPr>
            <w:tcW w:w="4000" w:type="dxa"/>
            <w:vAlign w:val="bottom"/>
            <w:gridSpan w:val="2"/>
          </w:tcPr>
          <w:p>
            <w:pPr>
              <w:jc w:val="center"/>
              <w:ind w:right="120"/>
              <w:spacing w:after="0"/>
              <w:rPr>
                <w:sz w:val="20"/>
                <w:szCs w:val="20"/>
                <w:color w:val="auto"/>
              </w:rPr>
            </w:pPr>
            <w:r>
              <w:rPr>
                <w:rFonts w:ascii="Arial" w:cs="Arial" w:eastAsia="Arial" w:hAnsi="Arial"/>
                <w:sz w:val="15"/>
                <w:szCs w:val="15"/>
                <w:color w:val="auto"/>
                <w:w w:val="99"/>
              </w:rPr>
              <w:t>US Dollar</w:t>
            </w:r>
          </w:p>
        </w:tc>
        <w:tc>
          <w:tcPr>
            <w:tcW w:w="1580" w:type="dxa"/>
            <w:vAlign w:val="bottom"/>
          </w:tcPr>
          <w:p>
            <w:pPr>
              <w:jc w:val="center"/>
              <w:ind w:left="309"/>
              <w:spacing w:after="0"/>
              <w:rPr>
                <w:sz w:val="20"/>
                <w:szCs w:val="20"/>
                <w:color w:val="auto"/>
              </w:rPr>
            </w:pPr>
            <w:r>
              <w:rPr>
                <w:rFonts w:ascii="Arial" w:cs="Arial" w:eastAsia="Arial" w:hAnsi="Arial"/>
                <w:sz w:val="15"/>
                <w:szCs w:val="15"/>
                <w:color w:val="auto"/>
              </w:rPr>
              <w:t>Euro</w:t>
            </w:r>
          </w:p>
        </w:tc>
        <w:tc>
          <w:tcPr>
            <w:tcW w:w="2220" w:type="dxa"/>
            <w:vAlign w:val="bottom"/>
            <w:gridSpan w:val="3"/>
          </w:tcPr>
          <w:p>
            <w:pPr>
              <w:jc w:val="right"/>
              <w:ind w:right="63"/>
              <w:spacing w:after="0"/>
              <w:rPr>
                <w:sz w:val="20"/>
                <w:szCs w:val="20"/>
                <w:color w:val="auto"/>
              </w:rPr>
            </w:pPr>
            <w:r>
              <w:rPr>
                <w:rFonts w:ascii="Arial" w:cs="Arial" w:eastAsia="Arial" w:hAnsi="Arial"/>
                <w:sz w:val="15"/>
                <w:szCs w:val="15"/>
                <w:color w:val="auto"/>
              </w:rPr>
              <w:t>2,870</w:t>
            </w:r>
          </w:p>
        </w:tc>
        <w:tc>
          <w:tcPr>
            <w:tcW w:w="100" w:type="dxa"/>
            <w:vAlign w:val="bottom"/>
          </w:tcPr>
          <w:p>
            <w:pPr>
              <w:spacing w:after="0"/>
              <w:rPr>
                <w:sz w:val="20"/>
                <w:szCs w:val="20"/>
                <w:color w:val="auto"/>
              </w:rPr>
            </w:pPr>
          </w:p>
        </w:tc>
        <w:tc>
          <w:tcPr>
            <w:tcW w:w="1720" w:type="dxa"/>
            <w:vAlign w:val="bottom"/>
          </w:tcPr>
          <w:p>
            <w:pPr>
              <w:jc w:val="right"/>
              <w:ind w:right="49"/>
              <w:spacing w:after="0"/>
              <w:rPr>
                <w:sz w:val="20"/>
                <w:szCs w:val="20"/>
                <w:color w:val="auto"/>
              </w:rPr>
            </w:pPr>
            <w:r>
              <w:rPr>
                <w:rFonts w:ascii="Arial" w:cs="Arial" w:eastAsia="Arial" w:hAnsi="Arial"/>
                <w:sz w:val="15"/>
                <w:szCs w:val="15"/>
                <w:color w:val="auto"/>
              </w:rPr>
              <w:t>3,169</w:t>
            </w:r>
          </w:p>
        </w:tc>
        <w:tc>
          <w:tcPr>
            <w:tcW w:w="1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5"/>
                <w:szCs w:val="15"/>
                <w:color w:val="auto"/>
              </w:rPr>
              <w:t>1.1042</w:t>
            </w:r>
          </w:p>
        </w:tc>
      </w:tr>
      <w:tr>
        <w:trPr>
          <w:trHeight w:val="254"/>
        </w:trPr>
        <w:tc>
          <w:tcPr>
            <w:tcW w:w="4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8"/>
              </w:rPr>
              <w:t>Australian Dollar</w:t>
            </w:r>
          </w:p>
        </w:tc>
        <w:tc>
          <w:tcPr>
            <w:tcW w:w="1580" w:type="dxa"/>
            <w:vAlign w:val="bottom"/>
            <w:shd w:val="clear" w:color="auto" w:fill="CCEEFF"/>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1,260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939</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0.7452</w:t>
            </w:r>
          </w:p>
        </w:tc>
      </w:tr>
      <w:tr>
        <w:trPr>
          <w:trHeight w:val="237"/>
        </w:trPr>
        <w:tc>
          <w:tcPr>
            <w:tcW w:w="4000" w:type="dxa"/>
            <w:vAlign w:val="bottom"/>
            <w:gridSpan w:val="2"/>
          </w:tcPr>
          <w:p>
            <w:pPr>
              <w:jc w:val="center"/>
              <w:ind w:right="120"/>
              <w:spacing w:after="0"/>
              <w:rPr>
                <w:sz w:val="20"/>
                <w:szCs w:val="20"/>
                <w:color w:val="auto"/>
              </w:rPr>
            </w:pPr>
            <w:r>
              <w:rPr>
                <w:rFonts w:ascii="Arial" w:cs="Arial" w:eastAsia="Arial" w:hAnsi="Arial"/>
                <w:sz w:val="15"/>
                <w:szCs w:val="15"/>
                <w:color w:val="auto"/>
              </w:rPr>
              <w:t>Euro</w:t>
            </w:r>
          </w:p>
        </w:tc>
        <w:tc>
          <w:tcPr>
            <w:tcW w:w="1580" w:type="dxa"/>
            <w:vAlign w:val="bottom"/>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tcPr>
          <w:p>
            <w:pPr>
              <w:jc w:val="right"/>
              <w:ind w:right="63"/>
              <w:spacing w:after="0"/>
              <w:rPr>
                <w:sz w:val="20"/>
                <w:szCs w:val="20"/>
                <w:color w:val="auto"/>
              </w:rPr>
            </w:pPr>
            <w:r>
              <w:rPr>
                <w:rFonts w:ascii="Arial" w:cs="Arial" w:eastAsia="Arial" w:hAnsi="Arial"/>
                <w:sz w:val="15"/>
                <w:szCs w:val="15"/>
                <w:color w:val="auto"/>
              </w:rPr>
              <w:t>2,870</w:t>
            </w:r>
          </w:p>
        </w:tc>
        <w:tc>
          <w:tcPr>
            <w:tcW w:w="100" w:type="dxa"/>
            <w:vAlign w:val="bottom"/>
          </w:tcPr>
          <w:p>
            <w:pPr>
              <w:spacing w:after="0"/>
              <w:rPr>
                <w:sz w:val="20"/>
                <w:szCs w:val="20"/>
                <w:color w:val="auto"/>
              </w:rPr>
            </w:pPr>
          </w:p>
        </w:tc>
        <w:tc>
          <w:tcPr>
            <w:tcW w:w="1720" w:type="dxa"/>
            <w:vAlign w:val="bottom"/>
          </w:tcPr>
          <w:p>
            <w:pPr>
              <w:jc w:val="right"/>
              <w:ind w:right="49"/>
              <w:spacing w:after="0"/>
              <w:rPr>
                <w:sz w:val="20"/>
                <w:szCs w:val="20"/>
                <w:color w:val="auto"/>
              </w:rPr>
            </w:pPr>
            <w:r>
              <w:rPr>
                <w:rFonts w:ascii="Arial" w:cs="Arial" w:eastAsia="Arial" w:hAnsi="Arial"/>
                <w:sz w:val="15"/>
                <w:szCs w:val="15"/>
                <w:color w:val="auto"/>
              </w:rPr>
              <w:t>3,122</w:t>
            </w:r>
          </w:p>
        </w:tc>
        <w:tc>
          <w:tcPr>
            <w:tcW w:w="1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5"/>
                <w:szCs w:val="15"/>
                <w:color w:val="auto"/>
              </w:rPr>
              <w:t>1.0878</w:t>
            </w:r>
          </w:p>
        </w:tc>
      </w:tr>
      <w:tr>
        <w:trPr>
          <w:trHeight w:val="254"/>
        </w:trPr>
        <w:tc>
          <w:tcPr>
            <w:tcW w:w="4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British Pound Sterling</w:t>
            </w:r>
          </w:p>
        </w:tc>
        <w:tc>
          <w:tcPr>
            <w:tcW w:w="1580" w:type="dxa"/>
            <w:vAlign w:val="bottom"/>
            <w:shd w:val="clear" w:color="auto" w:fill="CCEEFF"/>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18,075</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27,415</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1.5167</w:t>
            </w:r>
          </w:p>
        </w:tc>
      </w:tr>
      <w:tr>
        <w:trPr>
          <w:trHeight w:val="237"/>
        </w:trPr>
        <w:tc>
          <w:tcPr>
            <w:tcW w:w="400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Indian Rupee</w:t>
            </w:r>
          </w:p>
        </w:tc>
        <w:tc>
          <w:tcPr>
            <w:tcW w:w="1580" w:type="dxa"/>
            <w:vAlign w:val="bottom"/>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tcPr>
          <w:p>
            <w:pPr>
              <w:jc w:val="right"/>
              <w:ind w:right="63"/>
              <w:spacing w:after="0"/>
              <w:rPr>
                <w:sz w:val="20"/>
                <w:szCs w:val="20"/>
                <w:color w:val="auto"/>
              </w:rPr>
            </w:pPr>
            <w:r>
              <w:rPr>
                <w:rFonts w:ascii="Arial" w:cs="Arial" w:eastAsia="Arial" w:hAnsi="Arial"/>
                <w:sz w:val="15"/>
                <w:szCs w:val="15"/>
                <w:color w:val="auto"/>
              </w:rPr>
              <w:t>1,880,500</w:t>
            </w:r>
          </w:p>
        </w:tc>
        <w:tc>
          <w:tcPr>
            <w:tcW w:w="100" w:type="dxa"/>
            <w:vAlign w:val="bottom"/>
          </w:tcPr>
          <w:p>
            <w:pPr>
              <w:spacing w:after="0"/>
              <w:rPr>
                <w:sz w:val="20"/>
                <w:szCs w:val="20"/>
                <w:color w:val="auto"/>
              </w:rPr>
            </w:pPr>
          </w:p>
        </w:tc>
        <w:tc>
          <w:tcPr>
            <w:tcW w:w="1720" w:type="dxa"/>
            <w:vAlign w:val="bottom"/>
          </w:tcPr>
          <w:p>
            <w:pPr>
              <w:jc w:val="right"/>
              <w:ind w:right="49"/>
              <w:spacing w:after="0"/>
              <w:rPr>
                <w:sz w:val="20"/>
                <w:szCs w:val="20"/>
                <w:color w:val="auto"/>
              </w:rPr>
            </w:pPr>
            <w:r>
              <w:rPr>
                <w:rFonts w:ascii="Arial" w:cs="Arial" w:eastAsia="Arial" w:hAnsi="Arial"/>
                <w:sz w:val="15"/>
                <w:szCs w:val="15"/>
                <w:color w:val="auto"/>
              </w:rPr>
              <w:t>27,736</w:t>
            </w:r>
          </w:p>
        </w:tc>
        <w:tc>
          <w:tcPr>
            <w:tcW w:w="1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5"/>
                <w:szCs w:val="15"/>
                <w:color w:val="auto"/>
              </w:rPr>
              <w:t>0.0147</w:t>
            </w:r>
          </w:p>
        </w:tc>
      </w:tr>
      <w:tr>
        <w:trPr>
          <w:trHeight w:val="254"/>
        </w:trPr>
        <w:tc>
          <w:tcPr>
            <w:tcW w:w="400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7"/>
              </w:rPr>
              <w:t>Polish Zloty</w:t>
            </w:r>
          </w:p>
        </w:tc>
        <w:tc>
          <w:tcPr>
            <w:tcW w:w="1580" w:type="dxa"/>
            <w:vAlign w:val="bottom"/>
            <w:shd w:val="clear" w:color="auto" w:fill="CCEEFF"/>
          </w:tcPr>
          <w:p>
            <w:pPr>
              <w:jc w:val="center"/>
              <w:ind w:left="309"/>
              <w:spacing w:after="0"/>
              <w:rPr>
                <w:sz w:val="20"/>
                <w:szCs w:val="20"/>
                <w:color w:val="auto"/>
              </w:rPr>
            </w:pPr>
            <w:r>
              <w:rPr>
                <w:rFonts w:ascii="Arial" w:cs="Arial" w:eastAsia="Arial" w:hAnsi="Arial"/>
                <w:sz w:val="15"/>
                <w:szCs w:val="15"/>
                <w:color w:val="auto"/>
                <w:w w:val="99"/>
              </w:rPr>
              <w:t>US Dollar</w:t>
            </w:r>
          </w:p>
        </w:tc>
        <w:tc>
          <w:tcPr>
            <w:tcW w:w="2220" w:type="dxa"/>
            <w:vAlign w:val="bottom"/>
            <w:gridSpan w:val="3"/>
            <w:shd w:val="clear" w:color="auto" w:fill="CCEEFF"/>
          </w:tcPr>
          <w:p>
            <w:pPr>
              <w:jc w:val="right"/>
              <w:ind w:right="63"/>
              <w:spacing w:after="0"/>
              <w:rPr>
                <w:sz w:val="20"/>
                <w:szCs w:val="20"/>
                <w:color w:val="auto"/>
              </w:rPr>
            </w:pPr>
            <w:r>
              <w:rPr>
                <w:rFonts w:ascii="Arial" w:cs="Arial" w:eastAsia="Arial" w:hAnsi="Arial"/>
                <w:sz w:val="15"/>
                <w:szCs w:val="15"/>
                <w:color w:val="auto"/>
              </w:rPr>
              <w:t>226,500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59,120</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0.2610</w:t>
            </w:r>
          </w:p>
        </w:tc>
      </w:tr>
      <w:tr>
        <w:trPr>
          <w:trHeight w:val="400"/>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jc w:val="right"/>
              <w:ind w:right="86"/>
              <w:spacing w:after="0"/>
              <w:rPr>
                <w:sz w:val="20"/>
                <w:szCs w:val="20"/>
                <w:color w:val="auto"/>
              </w:rPr>
            </w:pPr>
            <w:r>
              <w:rPr>
                <w:rFonts w:ascii="Arial" w:cs="Arial" w:eastAsia="Arial" w:hAnsi="Arial"/>
                <w:sz w:val="15"/>
                <w:szCs w:val="15"/>
                <w:color w:val="auto"/>
              </w:rPr>
              <w:t>86</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835" w:right="239" w:bottom="1440" w:gutter="0" w:footer="0" w:header="0"/>
        </w:sectPr>
      </w:pPr>
    </w:p>
    <w:bookmarkStart w:id="88" w:name="page89"/>
    <w:bookmarkEnd w:id="88"/>
    <w:p>
      <w:pPr>
        <w:jc w:val="both"/>
        <w:ind w:firstLine="454"/>
        <w:spacing w:after="0" w:line="267" w:lineRule="auto"/>
        <w:rPr>
          <w:sz w:val="20"/>
          <w:szCs w:val="20"/>
          <w:color w:val="auto"/>
        </w:rPr>
      </w:pPr>
      <w:r>
        <w:rPr>
          <w:rFonts w:ascii="Arial" w:cs="Arial" w:eastAsia="Arial" w:hAnsi="Arial"/>
          <w:sz w:val="15"/>
          <w:szCs w:val="15"/>
          <w:i w:val="1"/>
          <w:iCs w:val="1"/>
          <w:color w:val="auto"/>
        </w:rPr>
        <w:t>Interest Rate Swap Contracts</w:t>
      </w:r>
      <w:r>
        <w:rPr>
          <w:rFonts w:ascii="Arial" w:cs="Arial" w:eastAsia="Arial" w:hAnsi="Arial"/>
          <w:sz w:val="15"/>
          <w:szCs w:val="15"/>
          <w:color w:val="auto"/>
        </w:rPr>
        <w:t>—Interest rate swaps outstanding at December 31, 2016 and matured during the years ended December 31, 2016, 2015 and 2014 are as</w:t>
      </w:r>
      <w:r>
        <w:rPr>
          <w:rFonts w:ascii="Arial" w:cs="Arial" w:eastAsia="Arial" w:hAnsi="Arial"/>
          <w:sz w:val="15"/>
          <w:szCs w:val="15"/>
          <w:i w:val="1"/>
          <w:iCs w:val="1"/>
          <w:color w:val="auto"/>
        </w:rPr>
        <w:t xml:space="preserve"> </w:t>
      </w:r>
      <w:r>
        <w:rPr>
          <w:rFonts w:ascii="Arial" w:cs="Arial" w:eastAsia="Arial" w:hAnsi="Arial"/>
          <w:sz w:val="15"/>
          <w:szCs w:val="15"/>
          <w:color w:val="auto"/>
        </w:rPr>
        <w:t>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jc w:val="center"/>
              <w:ind w:left="31"/>
              <w:spacing w:after="0"/>
              <w:rPr>
                <w:sz w:val="20"/>
                <w:szCs w:val="20"/>
                <w:color w:val="auto"/>
              </w:rPr>
            </w:pPr>
            <w:r>
              <w:rPr>
                <w:rFonts w:ascii="Arial" w:cs="Arial" w:eastAsia="Arial" w:hAnsi="Arial"/>
                <w:sz w:val="11"/>
                <w:szCs w:val="11"/>
                <w:b w:val="1"/>
                <w:bCs w:val="1"/>
                <w:color w:val="auto"/>
              </w:rPr>
              <w:t>Interest Rate</w:t>
            </w:r>
          </w:p>
        </w:tc>
        <w:tc>
          <w:tcPr>
            <w:tcW w:w="17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159"/>
        </w:trPr>
        <w:tc>
          <w:tcPr>
            <w:tcW w:w="1480" w:type="dxa"/>
            <w:vAlign w:val="bottom"/>
          </w:tcPr>
          <w:p>
            <w:pPr>
              <w:spacing w:after="0"/>
              <w:rPr>
                <w:sz w:val="13"/>
                <w:szCs w:val="13"/>
                <w:color w:val="auto"/>
              </w:rPr>
            </w:pPr>
          </w:p>
        </w:tc>
        <w:tc>
          <w:tcPr>
            <w:tcW w:w="2020" w:type="dxa"/>
            <w:vAlign w:val="bottom"/>
          </w:tcPr>
          <w:p>
            <w:pPr>
              <w:jc w:val="center"/>
              <w:ind w:left="109"/>
              <w:spacing w:after="0"/>
              <w:rPr>
                <w:sz w:val="20"/>
                <w:szCs w:val="20"/>
                <w:color w:val="auto"/>
              </w:rPr>
            </w:pPr>
            <w:r>
              <w:rPr>
                <w:rFonts w:ascii="Arial" w:cs="Arial" w:eastAsia="Arial" w:hAnsi="Arial"/>
                <w:sz w:val="11"/>
                <w:szCs w:val="11"/>
                <w:b w:val="1"/>
                <w:bCs w:val="1"/>
                <w:color w:val="auto"/>
              </w:rPr>
              <w:t>Notional Amount</w:t>
            </w:r>
          </w:p>
        </w:tc>
        <w:tc>
          <w:tcPr>
            <w:tcW w:w="1840" w:type="dxa"/>
            <w:vAlign w:val="bottom"/>
          </w:tcPr>
          <w:p>
            <w:pPr>
              <w:jc w:val="center"/>
              <w:ind w:left="31"/>
              <w:spacing w:after="0"/>
              <w:rPr>
                <w:sz w:val="20"/>
                <w:szCs w:val="20"/>
                <w:color w:val="auto"/>
              </w:rPr>
            </w:pPr>
            <w:r>
              <w:rPr>
                <w:rFonts w:ascii="Arial" w:cs="Arial" w:eastAsia="Arial" w:hAnsi="Arial"/>
                <w:sz w:val="11"/>
                <w:szCs w:val="11"/>
                <w:b w:val="1"/>
                <w:bCs w:val="1"/>
                <w:color w:val="auto"/>
              </w:rPr>
              <w:t>Received</w:t>
            </w: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rPr>
              <w:t>Interest Rate Paid</w:t>
            </w:r>
          </w:p>
        </w:tc>
        <w:tc>
          <w:tcPr>
            <w:tcW w:w="2160" w:type="dxa"/>
            <w:vAlign w:val="bottom"/>
          </w:tcPr>
          <w:p>
            <w:pPr>
              <w:jc w:val="center"/>
              <w:ind w:right="49"/>
              <w:spacing w:after="0"/>
              <w:rPr>
                <w:sz w:val="20"/>
                <w:szCs w:val="20"/>
                <w:color w:val="auto"/>
              </w:rPr>
            </w:pPr>
            <w:r>
              <w:rPr>
                <w:rFonts w:ascii="Arial" w:cs="Arial" w:eastAsia="Arial" w:hAnsi="Arial"/>
                <w:sz w:val="11"/>
                <w:szCs w:val="11"/>
                <w:b w:val="1"/>
                <w:bCs w:val="1"/>
                <w:color w:val="auto"/>
              </w:rPr>
              <w:t>Effective Date</w:t>
            </w:r>
          </w:p>
        </w:tc>
        <w:tc>
          <w:tcPr>
            <w:tcW w:w="2220" w:type="dxa"/>
            <w:vAlign w:val="bottom"/>
          </w:tcPr>
          <w:p>
            <w:pPr>
              <w:jc w:val="center"/>
              <w:spacing w:after="0"/>
              <w:rPr>
                <w:sz w:val="20"/>
                <w:szCs w:val="20"/>
                <w:color w:val="auto"/>
              </w:rPr>
            </w:pPr>
            <w:r>
              <w:rPr>
                <w:rFonts w:ascii="Arial" w:cs="Arial" w:eastAsia="Arial" w:hAnsi="Arial"/>
                <w:sz w:val="11"/>
                <w:szCs w:val="11"/>
                <w:b w:val="1"/>
                <w:bCs w:val="1"/>
                <w:color w:val="auto"/>
              </w:rPr>
              <w:t>Maturity Date</w:t>
            </w:r>
          </w:p>
        </w:tc>
      </w:tr>
      <w:tr>
        <w:trPr>
          <w:trHeight w:val="233"/>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w:t>
            </w:r>
          </w:p>
        </w:tc>
        <w:tc>
          <w:tcPr>
            <w:tcW w:w="2020" w:type="dxa"/>
            <w:vAlign w:val="bottom"/>
            <w:tcBorders>
              <w:bottom w:val="single" w:sz="8" w:color="CCEEFF"/>
            </w:tcBorders>
            <w:shd w:val="clear" w:color="auto" w:fill="CCEEFF"/>
          </w:tcPr>
          <w:p>
            <w:pPr>
              <w:jc w:val="center"/>
              <w:ind w:left="89"/>
              <w:spacing w:after="0"/>
              <w:rPr>
                <w:sz w:val="20"/>
                <w:szCs w:val="20"/>
                <w:color w:val="auto"/>
              </w:rPr>
            </w:pPr>
            <w:r>
              <w:rPr>
                <w:rFonts w:ascii="Arial" w:cs="Arial" w:eastAsia="Arial" w:hAnsi="Arial"/>
                <w:sz w:val="15"/>
                <w:szCs w:val="15"/>
                <w:color w:val="auto"/>
                <w:w w:val="97"/>
              </w:rPr>
              <w:t>$750 million</w:t>
            </w:r>
          </w:p>
        </w:tc>
        <w:tc>
          <w:tcPr>
            <w:tcW w:w="18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5"/>
                <w:szCs w:val="15"/>
                <w:color w:val="auto"/>
                <w:w w:val="98"/>
              </w:rPr>
              <w:t>1 month LIBOR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8"/>
              </w:rPr>
              <w:t>2.19%</w:t>
            </w:r>
          </w:p>
        </w:tc>
        <w:tc>
          <w:tcPr>
            <w:tcW w:w="2160" w:type="dxa"/>
            <w:vAlign w:val="bottom"/>
            <w:tcBorders>
              <w:bottom w:val="single" w:sz="8" w:color="CCEEFF"/>
            </w:tcBorders>
            <w:shd w:val="clear" w:color="auto" w:fill="CCEEFF"/>
          </w:tcPr>
          <w:p>
            <w:pPr>
              <w:jc w:val="center"/>
              <w:ind w:right="49"/>
              <w:spacing w:after="0"/>
              <w:rPr>
                <w:sz w:val="20"/>
                <w:szCs w:val="20"/>
                <w:color w:val="auto"/>
              </w:rPr>
            </w:pPr>
            <w:r>
              <w:rPr>
                <w:rFonts w:ascii="Arial" w:cs="Arial" w:eastAsia="Arial" w:hAnsi="Arial"/>
                <w:sz w:val="15"/>
                <w:szCs w:val="15"/>
                <w:color w:val="auto"/>
                <w:w w:val="97"/>
              </w:rPr>
              <w:t>December 30, 2016</w:t>
            </w:r>
          </w:p>
        </w:tc>
        <w:tc>
          <w:tcPr>
            <w:tcW w:w="2220" w:type="dxa"/>
            <w:vAlign w:val="bottom"/>
            <w:tcBorders>
              <w:bottom w:val="single" w:sz="8" w:color="CCEEFF"/>
            </w:tcBorders>
            <w:shd w:val="clear" w:color="auto" w:fill="CCEEFF"/>
          </w:tcPr>
          <w:p>
            <w:pPr>
              <w:jc w:val="center"/>
              <w:ind w:left="9"/>
              <w:spacing w:after="0"/>
              <w:rPr>
                <w:sz w:val="20"/>
                <w:szCs w:val="20"/>
                <w:color w:val="auto"/>
              </w:rPr>
            </w:pPr>
            <w:r>
              <w:rPr>
                <w:rFonts w:ascii="Arial" w:cs="Arial" w:eastAsia="Arial" w:hAnsi="Arial"/>
                <w:sz w:val="15"/>
                <w:szCs w:val="15"/>
                <w:color w:val="auto"/>
                <w:w w:val="98"/>
              </w:rPr>
              <w:t>December 29, 2017</w:t>
            </w:r>
          </w:p>
        </w:tc>
      </w:tr>
      <w:tr>
        <w:trPr>
          <w:trHeight w:val="203"/>
        </w:trPr>
        <w:tc>
          <w:tcPr>
            <w:tcW w:w="1480" w:type="dxa"/>
            <w:vAlign w:val="bottom"/>
          </w:tcPr>
          <w:p>
            <w:pPr>
              <w:spacing w:after="0"/>
              <w:rPr>
                <w:sz w:val="17"/>
                <w:szCs w:val="17"/>
                <w:color w:val="auto"/>
              </w:rPr>
            </w:pPr>
          </w:p>
        </w:tc>
        <w:tc>
          <w:tcPr>
            <w:tcW w:w="2020" w:type="dxa"/>
            <w:vAlign w:val="bottom"/>
          </w:tcPr>
          <w:p>
            <w:pPr>
              <w:jc w:val="center"/>
              <w:ind w:left="89"/>
              <w:spacing w:after="0"/>
              <w:rPr>
                <w:sz w:val="20"/>
                <w:szCs w:val="20"/>
                <w:color w:val="auto"/>
              </w:rPr>
            </w:pPr>
            <w:r>
              <w:rPr>
                <w:rFonts w:ascii="Arial" w:cs="Arial" w:eastAsia="Arial" w:hAnsi="Arial"/>
                <w:sz w:val="15"/>
                <w:szCs w:val="15"/>
                <w:color w:val="auto"/>
                <w:w w:val="97"/>
              </w:rPr>
              <w:t>$750 million</w:t>
            </w:r>
          </w:p>
        </w:tc>
        <w:tc>
          <w:tcPr>
            <w:tcW w:w="1840" w:type="dxa"/>
            <w:vAlign w:val="bottom"/>
          </w:tcPr>
          <w:p>
            <w:pPr>
              <w:jc w:val="center"/>
              <w:ind w:left="31"/>
              <w:spacing w:after="0"/>
              <w:rPr>
                <w:sz w:val="20"/>
                <w:szCs w:val="20"/>
                <w:color w:val="auto"/>
              </w:rPr>
            </w:pPr>
            <w:r>
              <w:rPr>
                <w:rFonts w:ascii="Arial" w:cs="Arial" w:eastAsia="Arial" w:hAnsi="Arial"/>
                <w:sz w:val="15"/>
                <w:szCs w:val="15"/>
                <w:color w:val="auto"/>
                <w:w w:val="98"/>
              </w:rPr>
              <w:t>1 month LIBOR</w:t>
            </w:r>
          </w:p>
        </w:tc>
        <w:tc>
          <w:tcPr>
            <w:tcW w:w="1700" w:type="dxa"/>
            <w:vAlign w:val="bottom"/>
          </w:tcPr>
          <w:p>
            <w:pPr>
              <w:jc w:val="center"/>
              <w:spacing w:after="0"/>
              <w:rPr>
                <w:sz w:val="20"/>
                <w:szCs w:val="20"/>
                <w:color w:val="auto"/>
              </w:rPr>
            </w:pPr>
            <w:r>
              <w:rPr>
                <w:rFonts w:ascii="Arial" w:cs="Arial" w:eastAsia="Arial" w:hAnsi="Arial"/>
                <w:sz w:val="15"/>
                <w:szCs w:val="15"/>
                <w:color w:val="auto"/>
                <w:w w:val="98"/>
              </w:rPr>
              <w:t>2.61%</w:t>
            </w:r>
          </w:p>
        </w:tc>
        <w:tc>
          <w:tcPr>
            <w:tcW w:w="2160" w:type="dxa"/>
            <w:vAlign w:val="bottom"/>
          </w:tcPr>
          <w:p>
            <w:pPr>
              <w:jc w:val="center"/>
              <w:ind w:right="49"/>
              <w:spacing w:after="0"/>
              <w:rPr>
                <w:sz w:val="20"/>
                <w:szCs w:val="20"/>
                <w:color w:val="auto"/>
              </w:rPr>
            </w:pPr>
            <w:r>
              <w:rPr>
                <w:rFonts w:ascii="Arial" w:cs="Arial" w:eastAsia="Arial" w:hAnsi="Arial"/>
                <w:sz w:val="15"/>
                <w:szCs w:val="15"/>
                <w:color w:val="auto"/>
                <w:w w:val="97"/>
              </w:rPr>
              <w:t>December 29, 2017</w:t>
            </w:r>
          </w:p>
        </w:tc>
        <w:tc>
          <w:tcPr>
            <w:tcW w:w="2220" w:type="dxa"/>
            <w:vAlign w:val="bottom"/>
          </w:tcPr>
          <w:p>
            <w:pPr>
              <w:jc w:val="center"/>
              <w:ind w:left="9"/>
              <w:spacing w:after="0"/>
              <w:rPr>
                <w:sz w:val="20"/>
                <w:szCs w:val="20"/>
                <w:color w:val="auto"/>
              </w:rPr>
            </w:pPr>
            <w:r>
              <w:rPr>
                <w:rFonts w:ascii="Arial" w:cs="Arial" w:eastAsia="Arial" w:hAnsi="Arial"/>
                <w:sz w:val="15"/>
                <w:szCs w:val="15"/>
                <w:color w:val="auto"/>
                <w:w w:val="98"/>
              </w:rPr>
              <w:t>December 31, 2018</w:t>
            </w:r>
          </w:p>
        </w:tc>
      </w:tr>
      <w:tr>
        <w:trPr>
          <w:trHeight w:val="42"/>
        </w:trPr>
        <w:tc>
          <w:tcPr>
            <w:tcW w:w="14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25"/>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Matured:</w:t>
            </w:r>
          </w:p>
        </w:tc>
        <w:tc>
          <w:tcPr>
            <w:tcW w:w="2020" w:type="dxa"/>
            <w:vAlign w:val="bottom"/>
            <w:tcBorders>
              <w:bottom w:val="single" w:sz="8" w:color="CCEEFF"/>
            </w:tcBorders>
            <w:shd w:val="clear" w:color="auto" w:fill="CCEEFF"/>
          </w:tcPr>
          <w:p>
            <w:pPr>
              <w:jc w:val="center"/>
              <w:ind w:left="89"/>
              <w:spacing w:after="0"/>
              <w:rPr>
                <w:sz w:val="20"/>
                <w:szCs w:val="20"/>
                <w:color w:val="auto"/>
              </w:rPr>
            </w:pPr>
            <w:r>
              <w:rPr>
                <w:rFonts w:ascii="Arial" w:cs="Arial" w:eastAsia="Arial" w:hAnsi="Arial"/>
                <w:sz w:val="15"/>
                <w:szCs w:val="15"/>
                <w:color w:val="auto"/>
                <w:w w:val="97"/>
              </w:rPr>
              <w:t>$400 million</w:t>
            </w:r>
          </w:p>
        </w:tc>
        <w:tc>
          <w:tcPr>
            <w:tcW w:w="184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5"/>
                <w:szCs w:val="15"/>
                <w:color w:val="auto"/>
                <w:w w:val="98"/>
              </w:rPr>
              <w:t>1 month LIBOR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8"/>
              </w:rPr>
              <w:t>2.03%</w:t>
            </w:r>
          </w:p>
        </w:tc>
        <w:tc>
          <w:tcPr>
            <w:tcW w:w="2160" w:type="dxa"/>
            <w:vAlign w:val="bottom"/>
            <w:tcBorders>
              <w:bottom w:val="single" w:sz="8" w:color="CCEEFF"/>
            </w:tcBorders>
            <w:shd w:val="clear" w:color="auto" w:fill="CCEEFF"/>
          </w:tcPr>
          <w:p>
            <w:pPr>
              <w:jc w:val="center"/>
              <w:ind w:right="49"/>
              <w:spacing w:after="0"/>
              <w:rPr>
                <w:sz w:val="20"/>
                <w:szCs w:val="20"/>
                <w:color w:val="auto"/>
              </w:rPr>
            </w:pPr>
            <w:r>
              <w:rPr>
                <w:rFonts w:ascii="Arial" w:cs="Arial" w:eastAsia="Arial" w:hAnsi="Arial"/>
                <w:sz w:val="15"/>
                <w:szCs w:val="15"/>
                <w:color w:val="auto"/>
                <w:w w:val="98"/>
              </w:rPr>
              <w:t>July 29, 2011</w:t>
            </w:r>
          </w:p>
        </w:tc>
        <w:tc>
          <w:tcPr>
            <w:tcW w:w="2220" w:type="dxa"/>
            <w:vAlign w:val="bottom"/>
            <w:tcBorders>
              <w:bottom w:val="single" w:sz="8" w:color="CCEEFF"/>
            </w:tcBorders>
            <w:shd w:val="clear" w:color="auto" w:fill="CCEEFF"/>
          </w:tcPr>
          <w:p>
            <w:pPr>
              <w:jc w:val="center"/>
              <w:ind w:left="9"/>
              <w:spacing w:after="0"/>
              <w:rPr>
                <w:sz w:val="20"/>
                <w:szCs w:val="20"/>
                <w:color w:val="auto"/>
              </w:rPr>
            </w:pPr>
            <w:r>
              <w:rPr>
                <w:rFonts w:ascii="Arial" w:cs="Arial" w:eastAsia="Arial" w:hAnsi="Arial"/>
                <w:sz w:val="15"/>
                <w:szCs w:val="15"/>
                <w:color w:val="auto"/>
                <w:w w:val="98"/>
              </w:rPr>
              <w:t>September 30, 2014</w:t>
            </w:r>
          </w:p>
        </w:tc>
      </w:tr>
      <w:tr>
        <w:trPr>
          <w:trHeight w:val="203"/>
        </w:trPr>
        <w:tc>
          <w:tcPr>
            <w:tcW w:w="1480" w:type="dxa"/>
            <w:vAlign w:val="bottom"/>
          </w:tcPr>
          <w:p>
            <w:pPr>
              <w:spacing w:after="0"/>
              <w:rPr>
                <w:sz w:val="17"/>
                <w:szCs w:val="17"/>
                <w:color w:val="auto"/>
              </w:rPr>
            </w:pPr>
          </w:p>
        </w:tc>
        <w:tc>
          <w:tcPr>
            <w:tcW w:w="2020" w:type="dxa"/>
            <w:vAlign w:val="bottom"/>
          </w:tcPr>
          <w:p>
            <w:pPr>
              <w:jc w:val="center"/>
              <w:ind w:left="89"/>
              <w:spacing w:after="0"/>
              <w:rPr>
                <w:sz w:val="20"/>
                <w:szCs w:val="20"/>
                <w:color w:val="auto"/>
              </w:rPr>
            </w:pPr>
            <w:r>
              <w:rPr>
                <w:rFonts w:ascii="Arial" w:cs="Arial" w:eastAsia="Arial" w:hAnsi="Arial"/>
                <w:sz w:val="15"/>
                <w:szCs w:val="15"/>
                <w:color w:val="auto"/>
                <w:w w:val="97"/>
              </w:rPr>
              <w:t>$350 million</w:t>
            </w:r>
          </w:p>
        </w:tc>
        <w:tc>
          <w:tcPr>
            <w:tcW w:w="1840" w:type="dxa"/>
            <w:vAlign w:val="bottom"/>
          </w:tcPr>
          <w:p>
            <w:pPr>
              <w:jc w:val="center"/>
              <w:ind w:left="31"/>
              <w:spacing w:after="0"/>
              <w:rPr>
                <w:sz w:val="20"/>
                <w:szCs w:val="20"/>
                <w:color w:val="auto"/>
              </w:rPr>
            </w:pPr>
            <w:r>
              <w:rPr>
                <w:rFonts w:ascii="Arial" w:cs="Arial" w:eastAsia="Arial" w:hAnsi="Arial"/>
                <w:sz w:val="15"/>
                <w:szCs w:val="15"/>
                <w:color w:val="auto"/>
                <w:w w:val="98"/>
              </w:rPr>
              <w:t>1 month LIBOR</w:t>
            </w:r>
          </w:p>
        </w:tc>
        <w:tc>
          <w:tcPr>
            <w:tcW w:w="1700" w:type="dxa"/>
            <w:vAlign w:val="bottom"/>
          </w:tcPr>
          <w:p>
            <w:pPr>
              <w:jc w:val="center"/>
              <w:spacing w:after="0"/>
              <w:rPr>
                <w:sz w:val="20"/>
                <w:szCs w:val="20"/>
                <w:color w:val="auto"/>
              </w:rPr>
            </w:pPr>
            <w:r>
              <w:rPr>
                <w:rFonts w:ascii="Arial" w:cs="Arial" w:eastAsia="Arial" w:hAnsi="Arial"/>
                <w:sz w:val="15"/>
                <w:szCs w:val="15"/>
                <w:color w:val="auto"/>
                <w:w w:val="98"/>
              </w:rPr>
              <w:t>2.51%</w:t>
            </w:r>
          </w:p>
        </w:tc>
        <w:tc>
          <w:tcPr>
            <w:tcW w:w="2160" w:type="dxa"/>
            <w:vAlign w:val="bottom"/>
          </w:tcPr>
          <w:p>
            <w:pPr>
              <w:jc w:val="center"/>
              <w:ind w:right="49"/>
              <w:spacing w:after="0"/>
              <w:rPr>
                <w:sz w:val="20"/>
                <w:szCs w:val="20"/>
                <w:color w:val="auto"/>
              </w:rPr>
            </w:pPr>
            <w:r>
              <w:rPr>
                <w:rFonts w:ascii="Arial" w:cs="Arial" w:eastAsia="Arial" w:hAnsi="Arial"/>
                <w:sz w:val="15"/>
                <w:szCs w:val="15"/>
                <w:color w:val="auto"/>
                <w:w w:val="99"/>
              </w:rPr>
              <w:t>April 30, 2012</w:t>
            </w:r>
          </w:p>
        </w:tc>
        <w:tc>
          <w:tcPr>
            <w:tcW w:w="2220" w:type="dxa"/>
            <w:vAlign w:val="bottom"/>
          </w:tcPr>
          <w:p>
            <w:pPr>
              <w:jc w:val="center"/>
              <w:ind w:left="9"/>
              <w:spacing w:after="0"/>
              <w:rPr>
                <w:sz w:val="20"/>
                <w:szCs w:val="20"/>
                <w:color w:val="auto"/>
              </w:rPr>
            </w:pPr>
            <w:r>
              <w:rPr>
                <w:rFonts w:ascii="Arial" w:cs="Arial" w:eastAsia="Arial" w:hAnsi="Arial"/>
                <w:sz w:val="15"/>
                <w:szCs w:val="15"/>
                <w:color w:val="auto"/>
                <w:w w:val="98"/>
              </w:rPr>
              <w:t>September 30, 2014</w:t>
            </w:r>
          </w:p>
        </w:tc>
      </w:tr>
      <w:tr>
        <w:trPr>
          <w:trHeight w:val="42"/>
        </w:trPr>
        <w:tc>
          <w:tcPr>
            <w:tcW w:w="14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03"/>
        </w:trPr>
        <w:tc>
          <w:tcPr>
            <w:tcW w:w="1480" w:type="dxa"/>
            <w:vAlign w:val="bottom"/>
            <w:shd w:val="clear" w:color="auto" w:fill="CCEEFF"/>
          </w:tcPr>
          <w:p>
            <w:pPr>
              <w:spacing w:after="0"/>
              <w:rPr>
                <w:sz w:val="17"/>
                <w:szCs w:val="17"/>
                <w:color w:val="auto"/>
              </w:rPr>
            </w:pPr>
          </w:p>
        </w:tc>
        <w:tc>
          <w:tcPr>
            <w:tcW w:w="2020" w:type="dxa"/>
            <w:vAlign w:val="bottom"/>
            <w:shd w:val="clear" w:color="auto" w:fill="CCEEFF"/>
          </w:tcPr>
          <w:p>
            <w:pPr>
              <w:jc w:val="center"/>
              <w:ind w:left="89"/>
              <w:spacing w:after="0"/>
              <w:rPr>
                <w:sz w:val="20"/>
                <w:szCs w:val="20"/>
                <w:color w:val="auto"/>
              </w:rPr>
            </w:pPr>
            <w:r>
              <w:rPr>
                <w:rFonts w:ascii="Arial" w:cs="Arial" w:eastAsia="Arial" w:hAnsi="Arial"/>
                <w:sz w:val="15"/>
                <w:szCs w:val="15"/>
                <w:color w:val="auto"/>
                <w:w w:val="97"/>
              </w:rPr>
              <w:t>$750 million</w:t>
            </w:r>
          </w:p>
        </w:tc>
        <w:tc>
          <w:tcPr>
            <w:tcW w:w="1840" w:type="dxa"/>
            <w:vAlign w:val="bottom"/>
            <w:shd w:val="clear" w:color="auto" w:fill="CCEEFF"/>
          </w:tcPr>
          <w:p>
            <w:pPr>
              <w:jc w:val="center"/>
              <w:ind w:left="31"/>
              <w:spacing w:after="0"/>
              <w:rPr>
                <w:sz w:val="20"/>
                <w:szCs w:val="20"/>
                <w:color w:val="auto"/>
              </w:rPr>
            </w:pPr>
            <w:r>
              <w:rPr>
                <w:rFonts w:ascii="Arial" w:cs="Arial" w:eastAsia="Arial" w:hAnsi="Arial"/>
                <w:sz w:val="15"/>
                <w:szCs w:val="15"/>
                <w:color w:val="auto"/>
                <w:w w:val="98"/>
              </w:rPr>
              <w:t>1 month LIBOR</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1.48%</w:t>
            </w:r>
          </w:p>
        </w:tc>
        <w:tc>
          <w:tcPr>
            <w:tcW w:w="2160" w:type="dxa"/>
            <w:vAlign w:val="bottom"/>
            <w:shd w:val="clear" w:color="auto" w:fill="CCEEFF"/>
          </w:tcPr>
          <w:p>
            <w:pPr>
              <w:jc w:val="center"/>
              <w:ind w:right="49"/>
              <w:spacing w:after="0"/>
              <w:rPr>
                <w:sz w:val="20"/>
                <w:szCs w:val="20"/>
                <w:color w:val="auto"/>
              </w:rPr>
            </w:pPr>
            <w:r>
              <w:rPr>
                <w:rFonts w:ascii="Arial" w:cs="Arial" w:eastAsia="Arial" w:hAnsi="Arial"/>
                <w:sz w:val="15"/>
                <w:szCs w:val="15"/>
                <w:color w:val="auto"/>
                <w:w w:val="97"/>
              </w:rPr>
              <w:t>December 31, 2015</w:t>
            </w:r>
          </w:p>
        </w:tc>
        <w:tc>
          <w:tcPr>
            <w:tcW w:w="2220" w:type="dxa"/>
            <w:vAlign w:val="bottom"/>
            <w:shd w:val="clear" w:color="auto" w:fill="CCEEFF"/>
          </w:tcPr>
          <w:p>
            <w:pPr>
              <w:jc w:val="center"/>
              <w:ind w:left="9"/>
              <w:spacing w:after="0"/>
              <w:rPr>
                <w:sz w:val="20"/>
                <w:szCs w:val="20"/>
                <w:color w:val="auto"/>
              </w:rPr>
            </w:pPr>
            <w:r>
              <w:rPr>
                <w:rFonts w:ascii="Arial" w:cs="Arial" w:eastAsia="Arial" w:hAnsi="Arial"/>
                <w:sz w:val="15"/>
                <w:szCs w:val="15"/>
                <w:color w:val="auto"/>
                <w:w w:val="98"/>
              </w:rPr>
              <w:t>December 30, 2016</w:t>
            </w:r>
          </w:p>
        </w:tc>
      </w:tr>
      <w:tr>
        <w:trPr>
          <w:trHeight w:val="42"/>
        </w:trPr>
        <w:tc>
          <w:tcPr>
            <w:tcW w:w="148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In December 2014, we entered into forward starting interest rate swaps to hedge interest payments associated with $750 million of floating-rate liabilities on the notional amounts of a portion of our senior secured debt. We have designated these interest rate swaps as cash flow hedges. The total notional amount outstanding is $750 million in each of 2016, 2017 and 2018. There was no material hedge ineffectiveness for the year ended December 31, 2016. The effective portion of changes in the fair value of the interest rate swaps is reported as a component of other comprehensive income (loss) and reclassified into earnings in the same line item associated with the forecasted transaction and in the same period or periods during which the hedged transaction affects earnings. The fair value of these interest rate swaps is a $16 million liability at December 31, 2016, of which $8 million is included in other current liabilities and $8 million is included in other noncurrent liabilities in our consolidated balance sheet.</w:t>
      </w:r>
    </w:p>
    <w:p>
      <w:pPr>
        <w:spacing w:after="0" w:line="18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In January 2013, our then outstanding swaps, which matured on September 30, 2014, were not designated in a cash flow hedging relationship because we no longer qualified for hedge accounting treatment following the amendment and restatement of our senior secured credit facility in February 2013. Derivatives not designated as hedging instruments are carried at fair value with changes in fair value recognized in the consolidated statements of operations. The adjustments to fair value of our matured interest rate swaps for the year ended December 31, 2014 were not material to our results of operations. For the year ended December 31, 2014, we reclassified losses of $11 million ($7 million, net of tax) from OCI to interest expense related to the derivatives that no longer qualified for hedge accounting. No such adjustments were made during the years ended December 31, 2016 and 2015.</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estimated fair values of our derivatives designated as hedging instruments as of December 31, 2016 and 2015 are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1"/>
                <w:szCs w:val="11"/>
                <w:b w:val="1"/>
                <w:bCs w:val="1"/>
                <w:color w:val="auto"/>
              </w:rPr>
              <w:t>Derivative Liabilities</w:t>
            </w: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1"/>
                <w:szCs w:val="11"/>
                <w:b w:val="1"/>
                <w:bCs w:val="1"/>
                <w:color w:val="auto"/>
              </w:rPr>
              <w:t>Fair Value as of December 31,</w:t>
            </w:r>
          </w:p>
        </w:tc>
        <w:tc>
          <w:tcPr>
            <w:tcW w:w="0" w:type="dxa"/>
            <w:vAlign w:val="bottom"/>
          </w:tcPr>
          <w:p>
            <w:pPr>
              <w:spacing w:after="0"/>
              <w:rPr>
                <w:sz w:val="1"/>
                <w:szCs w:val="1"/>
                <w:color w:val="auto"/>
              </w:rPr>
            </w:pPr>
          </w:p>
        </w:tc>
      </w:tr>
      <w:tr>
        <w:trPr>
          <w:trHeight w:val="144"/>
        </w:trPr>
        <w:tc>
          <w:tcPr>
            <w:tcW w:w="44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Derivatives Designated as Hedging Instruments</w:t>
            </w:r>
          </w:p>
        </w:tc>
        <w:tc>
          <w:tcPr>
            <w:tcW w:w="2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Consolidated Balance Sheet Location</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vMerge w:val="restart"/>
          </w:tcPr>
          <w:p>
            <w:pPr>
              <w:jc w:val="right"/>
              <w:ind w:right="530"/>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93"/>
        </w:trPr>
        <w:tc>
          <w:tcPr>
            <w:tcW w:w="43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500" w:type="dxa"/>
            <w:vAlign w:val="bottom"/>
            <w:tcBorders>
              <w:bottom w:val="single" w:sz="8" w:color="auto"/>
            </w:tcBorders>
            <w:vMerge w:val="continue"/>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exchange contracts</w:t>
            </w:r>
          </w:p>
        </w:tc>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accrued liabilities</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7,360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1,759</w:t>
            </w:r>
          </w:p>
        </w:tc>
        <w:tc>
          <w:tcPr>
            <w:tcW w:w="0" w:type="dxa"/>
            <w:vAlign w:val="bottom"/>
          </w:tcPr>
          <w:p>
            <w:pPr>
              <w:spacing w:after="0"/>
              <w:rPr>
                <w:sz w:val="1"/>
                <w:szCs w:val="1"/>
                <w:color w:val="auto"/>
              </w:rPr>
            </w:pP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5"/>
                <w:szCs w:val="15"/>
                <w:color w:val="auto"/>
              </w:rPr>
              <w:t>Interest rate swaps</w:t>
            </w:r>
          </w:p>
        </w:tc>
        <w:tc>
          <w:tcPr>
            <w:tcW w:w="2500" w:type="dxa"/>
            <w:vAlign w:val="bottom"/>
          </w:tcPr>
          <w:p>
            <w:pPr>
              <w:ind w:left="20"/>
              <w:spacing w:after="0"/>
              <w:rPr>
                <w:sz w:val="20"/>
                <w:szCs w:val="20"/>
                <w:color w:val="auto"/>
              </w:rPr>
            </w:pPr>
            <w:r>
              <w:rPr>
                <w:rFonts w:ascii="Arial" w:cs="Arial" w:eastAsia="Arial" w:hAnsi="Arial"/>
                <w:sz w:val="15"/>
                <w:szCs w:val="15"/>
                <w:color w:val="auto"/>
              </w:rPr>
              <w:t>Other accrued liabilities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5"/>
                <w:szCs w:val="15"/>
                <w:color w:val="auto"/>
              </w:rPr>
              <w:t>8,345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5"/>
                <w:szCs w:val="15"/>
                <w:color w:val="auto"/>
              </w:rPr>
              <w:t>3,912</w:t>
            </w:r>
          </w:p>
        </w:tc>
        <w:tc>
          <w:tcPr>
            <w:tcW w:w="0" w:type="dxa"/>
            <w:vAlign w:val="bottom"/>
          </w:tcPr>
          <w:p>
            <w:pPr>
              <w:spacing w:after="0"/>
              <w:rPr>
                <w:sz w:val="1"/>
                <w:szCs w:val="1"/>
                <w:color w:val="auto"/>
              </w:rPr>
            </w:pPr>
          </w:p>
        </w:tc>
      </w:tr>
      <w:tr>
        <w:trPr>
          <w:trHeight w:val="24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5"/>
                <w:szCs w:val="15"/>
                <w:color w:val="auto"/>
              </w:rPr>
              <w:t>7,339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9,822</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2"/>
              <w:spacing w:after="0"/>
              <w:rPr>
                <w:sz w:val="20"/>
                <w:szCs w:val="20"/>
                <w:color w:val="auto"/>
              </w:rPr>
            </w:pPr>
            <w:r>
              <w:rPr>
                <w:rFonts w:ascii="Arial" w:cs="Arial" w:eastAsia="Arial" w:hAnsi="Arial"/>
                <w:sz w:val="15"/>
                <w:szCs w:val="15"/>
                <w:color w:val="auto"/>
              </w:rPr>
              <w:t>23,044</w:t>
            </w:r>
          </w:p>
        </w:tc>
        <w:tc>
          <w:tcPr>
            <w:tcW w:w="120" w:type="dxa"/>
            <w:vAlign w:val="bottom"/>
          </w:tcPr>
          <w:p>
            <w:pPr>
              <w:spacing w:after="0"/>
              <w:rPr>
                <w:sz w:val="18"/>
                <w:szCs w:val="18"/>
                <w:color w:val="auto"/>
              </w:rPr>
            </w:pPr>
          </w:p>
        </w:tc>
        <w:tc>
          <w:tcPr>
            <w:tcW w:w="360" w:type="dxa"/>
            <w:vAlign w:val="bottom"/>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0"/>
              <w:spacing w:after="0"/>
              <w:rPr>
                <w:sz w:val="20"/>
                <w:szCs w:val="20"/>
                <w:color w:val="auto"/>
              </w:rPr>
            </w:pPr>
            <w:r>
              <w:rPr>
                <w:rFonts w:ascii="Arial" w:cs="Arial" w:eastAsia="Arial" w:hAnsi="Arial"/>
                <w:sz w:val="15"/>
                <w:szCs w:val="15"/>
                <w:color w:val="auto"/>
              </w:rPr>
              <w:t>15,493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effects of derivative instruments, net of taxes, on OCI for the years ended December 31, 2016, 2015 and 2014 are as follows (in thousands):</w:t>
      </w:r>
    </w:p>
    <w:p>
      <w:pPr>
        <w:spacing w:after="0" w:line="223" w:lineRule="exact"/>
        <w:rPr>
          <w:sz w:val="20"/>
          <w:szCs w:val="20"/>
          <w:color w:val="auto"/>
        </w:rPr>
      </w:pPr>
    </w:p>
    <w:p>
      <w:pPr>
        <w:jc w:val="center"/>
        <w:ind w:left="7020"/>
        <w:spacing w:after="0"/>
        <w:rPr>
          <w:sz w:val="20"/>
          <w:szCs w:val="20"/>
          <w:color w:val="auto"/>
        </w:rPr>
      </w:pPr>
      <w:r>
        <w:rPr>
          <w:rFonts w:ascii="Arial" w:cs="Arial" w:eastAsia="Arial" w:hAnsi="Arial"/>
          <w:sz w:val="11"/>
          <w:szCs w:val="11"/>
          <w:b w:val="1"/>
          <w:bCs w:val="1"/>
          <w:color w:val="auto"/>
        </w:rPr>
        <w:t>Amount of (Loss) Gain</w:t>
      </w:r>
    </w:p>
    <w:p>
      <w:pPr>
        <w:spacing w:after="0" w:line="10" w:lineRule="exact"/>
        <w:rPr>
          <w:sz w:val="20"/>
          <w:szCs w:val="20"/>
          <w:color w:val="auto"/>
        </w:rPr>
      </w:pPr>
    </w:p>
    <w:p>
      <w:pPr>
        <w:jc w:val="center"/>
        <w:ind w:left="7020"/>
        <w:spacing w:after="0"/>
        <w:rPr>
          <w:sz w:val="20"/>
          <w:szCs w:val="20"/>
          <w:color w:val="auto"/>
        </w:rPr>
      </w:pPr>
      <w:r>
        <w:rPr>
          <w:rFonts w:ascii="Arial" w:cs="Arial" w:eastAsia="Arial" w:hAnsi="Arial"/>
          <w:sz w:val="11"/>
          <w:szCs w:val="11"/>
          <w:b w:val="1"/>
          <w:bCs w:val="1"/>
          <w:color w:val="auto"/>
        </w:rPr>
        <w:t>Recognized in OCI on Derivative,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16510</wp:posOffset>
            </wp:positionV>
            <wp:extent cx="28194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19400" cy="762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Derivatives in Cash Flow Hedging Relationships</w:t>
            </w:r>
          </w:p>
        </w:tc>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2016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vMerge w:val="restart"/>
          </w:tcPr>
          <w:p>
            <w:pPr>
              <w:jc w:val="right"/>
              <w:ind w:right="530"/>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93"/>
        </w:trPr>
        <w:tc>
          <w:tcPr>
            <w:tcW w:w="4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exchange contracts</w:t>
            </w:r>
          </w:p>
        </w:tc>
        <w:tc>
          <w:tcPr>
            <w:tcW w:w="2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83"/>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(6,413)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(7,836)</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0"/>
              <w:spacing w:after="0"/>
              <w:rPr>
                <w:sz w:val="20"/>
                <w:szCs w:val="20"/>
                <w:color w:val="auto"/>
              </w:rPr>
            </w:pPr>
            <w:r>
              <w:rPr>
                <w:rFonts w:ascii="Arial" w:cs="Arial" w:eastAsia="Arial" w:hAnsi="Arial"/>
                <w:sz w:val="15"/>
                <w:szCs w:val="15"/>
                <w:color w:val="auto"/>
              </w:rPr>
              <w:t>Interest rate swaps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6"/>
              </w:rPr>
              <w:t>(3,446)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(961)</w:t>
            </w:r>
          </w:p>
        </w:tc>
        <w:tc>
          <w:tcPr>
            <w:tcW w:w="0" w:type="dxa"/>
            <w:vAlign w:val="bottom"/>
          </w:tcPr>
          <w:p>
            <w:pPr>
              <w:spacing w:after="0"/>
              <w:rPr>
                <w:sz w:val="1"/>
                <w:szCs w:val="1"/>
                <w:color w:val="auto"/>
              </w:rPr>
            </w:pPr>
          </w:p>
        </w:tc>
      </w:tr>
      <w:tr>
        <w:trPr>
          <w:trHeight w:val="30"/>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loss</w:t>
            </w:r>
          </w:p>
        </w:tc>
        <w:tc>
          <w:tcPr>
            <w:tcW w:w="2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68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(9,859)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(13,444)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(8,797)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8"/>
          </w:tcPr>
          <w:p>
            <w:pPr>
              <w:jc w:val="right"/>
              <w:ind w:right="630"/>
              <w:spacing w:after="0"/>
              <w:rPr>
                <w:sz w:val="20"/>
                <w:szCs w:val="20"/>
                <w:color w:val="auto"/>
              </w:rPr>
            </w:pPr>
            <w:r>
              <w:rPr>
                <w:rFonts w:ascii="Arial" w:cs="Arial" w:eastAsia="Arial" w:hAnsi="Arial"/>
                <w:sz w:val="11"/>
                <w:szCs w:val="11"/>
                <w:b w:val="1"/>
                <w:bCs w:val="1"/>
                <w:color w:val="auto"/>
              </w:rPr>
              <w:t>Amount of Loss (Gain) Reclassified from Accumulated</w:t>
            </w:r>
          </w:p>
        </w:tc>
        <w:tc>
          <w:tcPr>
            <w:tcW w:w="0" w:type="dxa"/>
            <w:vAlign w:val="bottom"/>
          </w:tcPr>
          <w:p>
            <w:pPr>
              <w:spacing w:after="0"/>
              <w:rPr>
                <w:sz w:val="1"/>
                <w:szCs w:val="1"/>
                <w:color w:val="auto"/>
              </w:rPr>
            </w:pPr>
          </w:p>
        </w:tc>
      </w:tr>
      <w:tr>
        <w:trPr>
          <w:trHeight w:val="159"/>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126"/>
              <w:spacing w:after="0"/>
              <w:rPr>
                <w:sz w:val="20"/>
                <w:szCs w:val="20"/>
                <w:color w:val="auto"/>
              </w:rPr>
            </w:pPr>
            <w:r>
              <w:rPr>
                <w:rFonts w:ascii="Arial" w:cs="Arial" w:eastAsia="Arial" w:hAnsi="Arial"/>
                <w:sz w:val="11"/>
                <w:szCs w:val="11"/>
                <w:b w:val="1"/>
                <w:bCs w:val="1"/>
                <w:color w:val="auto"/>
              </w:rPr>
              <w:t>OCI into Income, Effective Portion</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45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Derivatives in Cash Flow Hedging Relationships</w:t>
            </w:r>
          </w:p>
        </w:tc>
        <w:tc>
          <w:tcPr>
            <w:tcW w:w="23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Income Statement Location</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2016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1"/>
                <w:szCs w:val="11"/>
                <w:b w:val="1"/>
                <w:bCs w:val="1"/>
                <w:color w:val="auto"/>
              </w:rPr>
              <w:t>2015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vMerge w:val="restart"/>
          </w:tcPr>
          <w:p>
            <w:pPr>
              <w:jc w:val="right"/>
              <w:ind w:right="530"/>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93"/>
        </w:trPr>
        <w:tc>
          <w:tcPr>
            <w:tcW w:w="44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30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exchange contracts</w:t>
            </w:r>
          </w:p>
        </w:tc>
        <w:tc>
          <w:tcPr>
            <w:tcW w:w="2400" w:type="dxa"/>
            <w:vAlign w:val="bottom"/>
            <w:gridSpan w:val="3"/>
            <w:shd w:val="clear" w:color="auto" w:fill="CCEEFF"/>
          </w:tcPr>
          <w:p>
            <w:pPr>
              <w:jc w:val="center"/>
              <w:ind w:right="80"/>
              <w:spacing w:after="0"/>
              <w:rPr>
                <w:sz w:val="20"/>
                <w:szCs w:val="20"/>
                <w:color w:val="auto"/>
              </w:rPr>
            </w:pPr>
            <w:r>
              <w:rPr>
                <w:rFonts w:ascii="Arial" w:cs="Arial" w:eastAsia="Arial" w:hAnsi="Arial"/>
                <w:sz w:val="15"/>
                <w:szCs w:val="15"/>
                <w:color w:val="auto"/>
                <w:w w:val="98"/>
              </w:rPr>
              <w:t>Cost of revenue</w:t>
            </w:r>
          </w:p>
        </w:tc>
        <w:tc>
          <w:tcPr>
            <w:tcW w:w="860" w:type="dxa"/>
            <w:vAlign w:val="bottom"/>
            <w:gridSpan w:val="2"/>
            <w:shd w:val="clear" w:color="auto" w:fill="CCEEFF"/>
          </w:tcPr>
          <w:p>
            <w:pPr>
              <w:jc w:val="right"/>
              <w:ind w:right="683"/>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1,991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10,646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2,902</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Interest rate swaps</w:t>
            </w:r>
          </w:p>
        </w:tc>
        <w:tc>
          <w:tcPr>
            <w:tcW w:w="2400" w:type="dxa"/>
            <w:vAlign w:val="bottom"/>
            <w:tcBorders>
              <w:bottom w:val="single" w:sz="8" w:color="CCEEFF"/>
            </w:tcBorders>
            <w:gridSpan w:val="3"/>
          </w:tcPr>
          <w:p>
            <w:pPr>
              <w:jc w:val="center"/>
              <w:ind w:right="100"/>
              <w:spacing w:after="0"/>
              <w:rPr>
                <w:sz w:val="20"/>
                <w:szCs w:val="20"/>
                <w:color w:val="auto"/>
              </w:rPr>
            </w:pPr>
            <w:r>
              <w:rPr>
                <w:rFonts w:ascii="Arial" w:cs="Arial" w:eastAsia="Arial" w:hAnsi="Arial"/>
                <w:sz w:val="15"/>
                <w:szCs w:val="15"/>
                <w:color w:val="auto"/>
                <w:w w:val="97"/>
              </w:rPr>
              <w:t>Interest Expense</w:t>
            </w:r>
          </w:p>
        </w:tc>
        <w:tc>
          <w:tcPr>
            <w:tcW w:w="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2,336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7,750</w:t>
            </w:r>
          </w:p>
        </w:tc>
        <w:tc>
          <w:tcPr>
            <w:tcW w:w="0" w:type="dxa"/>
            <w:vAlign w:val="bottom"/>
          </w:tcPr>
          <w:p>
            <w:pPr>
              <w:spacing w:after="0"/>
              <w:rPr>
                <w:sz w:val="1"/>
                <w:szCs w:val="1"/>
                <w:color w:val="auto"/>
              </w:rPr>
            </w:pPr>
          </w:p>
        </w:tc>
      </w:tr>
      <w:tr>
        <w:trPr>
          <w:trHeight w:val="21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83"/>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4,327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10,646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10,652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5"/>
                <w:szCs w:val="15"/>
                <w:color w:val="auto"/>
                <w:w w:val="95"/>
              </w:rPr>
              <w:t>87</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9" w:right="239" w:bottom="1440" w:gutter="0" w:footer="0" w:header="0"/>
        </w:sectPr>
      </w:pPr>
    </w:p>
    <w:bookmarkStart w:id="89" w:name="page90"/>
    <w:bookmarkEnd w:id="89"/>
    <w:p>
      <w:pPr>
        <w:spacing w:after="0"/>
        <w:rPr>
          <w:sz w:val="20"/>
          <w:szCs w:val="20"/>
          <w:color w:val="auto"/>
        </w:rPr>
      </w:pPr>
      <w:r>
        <w:rPr>
          <w:rFonts w:ascii="Arial" w:cs="Arial" w:eastAsia="Arial" w:hAnsi="Arial"/>
          <w:sz w:val="15"/>
          <w:szCs w:val="15"/>
          <w:b w:val="1"/>
          <w:bCs w:val="1"/>
          <w:color w:val="auto"/>
        </w:rPr>
        <w:t>9. Fair Value Measurements</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Fair value is defined as the price that would be received to sell an asset or paid to transfer a liability in an orderly transaction between market participants at the measurement date in the principal or most advantageous market for that asset or liability. Guidance on fair value measurements and disclosures establishes a valuation hierarchy for disclosure of inputs used in measuring fair value defined as follows: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Level 1—Inputs are unadjusted quoted prices that are available in active markets for identical assets or liabilities.</w:t>
      </w:r>
    </w:p>
    <w:p>
      <w:pPr>
        <w:spacing w:after="0" w:line="97"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Level 3—Inputs that are unobservable and are supported by little or no market activity and reflect the use of significant management judgment.</w:t>
      </w:r>
    </w:p>
    <w:p>
      <w:pPr>
        <w:spacing w:after="0" w:line="19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classification of a financial asset or liability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Assets and Liabilities that are Measured at Fair Value on a Recurring Basis</w:t>
      </w:r>
    </w:p>
    <w:p>
      <w:pPr>
        <w:spacing w:after="0" w:line="9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5"/>
          <w:szCs w:val="15"/>
          <w:i w:val="1"/>
          <w:iCs w:val="1"/>
          <w:color w:val="auto"/>
        </w:rPr>
        <w:t>Available-for-sale Securities</w:t>
      </w:r>
      <w:r>
        <w:rPr>
          <w:rFonts w:ascii="Arial" w:cs="Arial" w:eastAsia="Arial" w:hAnsi="Arial"/>
          <w:sz w:val="15"/>
          <w:szCs w:val="15"/>
          <w:color w:val="auto"/>
        </w:rPr>
        <w:t>—Our available-for-sale securities include securities of a publicly-traded non-U.S. entity. The fair value of these securities is obtained from</w:t>
      </w:r>
      <w:r>
        <w:rPr>
          <w:rFonts w:ascii="Arial" w:cs="Arial" w:eastAsia="Arial" w:hAnsi="Arial"/>
          <w:sz w:val="15"/>
          <w:szCs w:val="15"/>
          <w:i w:val="1"/>
          <w:iCs w:val="1"/>
          <w:color w:val="auto"/>
        </w:rPr>
        <w:t xml:space="preserve"> </w:t>
      </w:r>
      <w:r>
        <w:rPr>
          <w:rFonts w:ascii="Arial" w:cs="Arial" w:eastAsia="Arial" w:hAnsi="Arial"/>
          <w:sz w:val="15"/>
          <w:szCs w:val="15"/>
          <w:color w:val="auto"/>
        </w:rPr>
        <w:t>market quotes as of the last day of the period. We substantially completed the sale of our available-for-sale securities and the gain recognized, net of tax, was not material to our consolidated results of operations for the year ended December 31, 2016.</w:t>
      </w:r>
    </w:p>
    <w:p>
      <w:pPr>
        <w:spacing w:after="0" w:line="166"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5"/>
          <w:szCs w:val="15"/>
          <w:i w:val="1"/>
          <w:iCs w:val="1"/>
          <w:color w:val="auto"/>
        </w:rPr>
        <w:t>Foreign Currency Forward Contracts</w:t>
      </w:r>
      <w:r>
        <w:rPr>
          <w:rFonts w:ascii="Arial" w:cs="Arial" w:eastAsia="Arial" w:hAnsi="Arial"/>
          <w:sz w:val="15"/>
          <w:szCs w:val="15"/>
          <w:color w:val="auto"/>
        </w:rPr>
        <w:t>—The fair value of the foreign currency forward contracts was estimated based upon pricing models that utilize Level 2 inputs</w:t>
      </w:r>
      <w:r>
        <w:rPr>
          <w:rFonts w:ascii="Arial" w:cs="Arial" w:eastAsia="Arial" w:hAnsi="Arial"/>
          <w:sz w:val="15"/>
          <w:szCs w:val="15"/>
          <w:i w:val="1"/>
          <w:iCs w:val="1"/>
          <w:color w:val="auto"/>
        </w:rPr>
        <w:t xml:space="preserve"> </w:t>
      </w:r>
      <w:r>
        <w:rPr>
          <w:rFonts w:ascii="Arial" w:cs="Arial" w:eastAsia="Arial" w:hAnsi="Arial"/>
          <w:sz w:val="15"/>
          <w:szCs w:val="15"/>
          <w:color w:val="auto"/>
        </w:rPr>
        <w:t>derived from or corroborated by observable market data such as currency spot and forward rates.</w:t>
      </w:r>
    </w:p>
    <w:p>
      <w:pPr>
        <w:spacing w:after="0" w:line="156"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5"/>
          <w:szCs w:val="15"/>
          <w:i w:val="1"/>
          <w:iCs w:val="1"/>
          <w:color w:val="auto"/>
        </w:rPr>
        <w:t>Interest Rate Swaps—</w:t>
      </w:r>
      <w:r>
        <w:rPr>
          <w:rFonts w:ascii="Arial" w:cs="Arial" w:eastAsia="Arial" w:hAnsi="Arial"/>
          <w:sz w:val="15"/>
          <w:szCs w:val="15"/>
          <w:color w:val="auto"/>
        </w:rPr>
        <w:t>The fair value of our interest rate swaps are estimated using a combined income and market-based valuation methodology based upon Level 2</w:t>
      </w:r>
      <w:r>
        <w:rPr>
          <w:rFonts w:ascii="Arial" w:cs="Arial" w:eastAsia="Arial" w:hAnsi="Arial"/>
          <w:sz w:val="15"/>
          <w:szCs w:val="15"/>
          <w:i w:val="1"/>
          <w:iCs w:val="1"/>
          <w:color w:val="auto"/>
        </w:rPr>
        <w:t xml:space="preserve"> </w:t>
      </w:r>
      <w:r>
        <w:rPr>
          <w:rFonts w:ascii="Arial" w:cs="Arial" w:eastAsia="Arial" w:hAnsi="Arial"/>
          <w:sz w:val="15"/>
          <w:szCs w:val="15"/>
          <w:color w:val="auto"/>
        </w:rPr>
        <w:t>inputs including credit ratings and forward interest rate yield curves obtained from independent pricing services reflecting broker market quotes.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Pension Plan Assets</w:t>
      </w:r>
      <w:r>
        <w:rPr>
          <w:rFonts w:ascii="Arial" w:cs="Arial" w:eastAsia="Arial" w:hAnsi="Arial"/>
          <w:sz w:val="15"/>
          <w:szCs w:val="15"/>
          <w:color w:val="auto"/>
        </w:rPr>
        <w:t>—See Note 13, Pension and Other Postretirement Benefit Plans, for fair value information on our pension plan assets.</w:t>
      </w:r>
    </w:p>
    <w:p>
      <w:pPr>
        <w:spacing w:after="0" w:line="211"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following tables present the fair value of our assets (liabilities) that are required to be measured at fair value on a recurring basis as of December 31, 2016 and 2015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1"/>
                <w:szCs w:val="11"/>
                <w:b w:val="1"/>
                <w:bCs w:val="1"/>
                <w:color w:val="auto"/>
              </w:rPr>
              <w:t>Fair Value at Reporting Date Using</w:t>
            </w:r>
          </w:p>
        </w:tc>
        <w:tc>
          <w:tcPr>
            <w:tcW w:w="920" w:type="dxa"/>
            <w:vAlign w:val="bottom"/>
            <w:tcBorders>
              <w:bottom w:val="single" w:sz="8" w:color="auto"/>
            </w:tcBorders>
          </w:tcPr>
          <w:p>
            <w:pPr>
              <w:spacing w:after="0"/>
              <w:rPr>
                <w:sz w:val="13"/>
                <w:szCs w:val="13"/>
                <w:color w:val="auto"/>
              </w:rPr>
            </w:pPr>
          </w:p>
        </w:tc>
      </w:tr>
      <w:tr>
        <w:trPr>
          <w:trHeight w:val="238"/>
        </w:trPr>
        <w:tc>
          <w:tcPr>
            <w:tcW w:w="5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2016</w:t>
            </w: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Level 1</w:t>
            </w:r>
          </w:p>
        </w:tc>
        <w:tc>
          <w:tcPr>
            <w:tcW w:w="2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Level 2</w:t>
            </w:r>
          </w:p>
        </w:tc>
        <w:tc>
          <w:tcPr>
            <w:tcW w:w="300" w:type="dxa"/>
            <w:vAlign w:val="bottom"/>
          </w:tcPr>
          <w:p>
            <w:pPr>
              <w:spacing w:after="0"/>
              <w:rPr>
                <w:sz w:val="20"/>
                <w:szCs w:val="20"/>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Level 3</w:t>
            </w:r>
          </w:p>
        </w:tc>
      </w:tr>
      <w:tr>
        <w:trPr>
          <w:trHeight w:val="23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Derivatives: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720" w:type="dxa"/>
            <w:vAlign w:val="bottom"/>
          </w:tcPr>
          <w:p>
            <w:pPr>
              <w:ind w:left="240"/>
              <w:spacing w:after="0"/>
              <w:rPr>
                <w:sz w:val="20"/>
                <w:szCs w:val="20"/>
                <w:color w:val="auto"/>
              </w:rPr>
            </w:pPr>
            <w:r>
              <w:rPr>
                <w:rFonts w:ascii="Arial" w:cs="Arial" w:eastAsia="Arial" w:hAnsi="Arial"/>
                <w:sz w:val="15"/>
                <w:szCs w:val="15"/>
                <w:color w:val="auto"/>
              </w:rPr>
              <w:t>Foreign currency forward contracts</w:t>
            </w:r>
          </w:p>
        </w:tc>
        <w:tc>
          <w:tcPr>
            <w:tcW w:w="2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(7,360)</w:t>
            </w:r>
          </w:p>
        </w:tc>
        <w:tc>
          <w:tcPr>
            <w:tcW w:w="120" w:type="dxa"/>
            <w:vAlign w:val="bottom"/>
          </w:tcPr>
          <w:p>
            <w:pPr>
              <w:spacing w:after="0"/>
              <w:rPr>
                <w:sz w:val="20"/>
                <w:szCs w:val="20"/>
                <w:color w:val="auto"/>
              </w:rPr>
            </w:pPr>
          </w:p>
        </w:tc>
        <w:tc>
          <w:tcPr>
            <w:tcW w:w="2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(7,360)</w:t>
            </w:r>
          </w:p>
        </w:tc>
        <w:tc>
          <w:tcPr>
            <w:tcW w:w="120" w:type="dxa"/>
            <w:vAlign w:val="bottom"/>
          </w:tcPr>
          <w:p>
            <w:pPr>
              <w:spacing w:after="0"/>
              <w:rPr>
                <w:sz w:val="20"/>
                <w:szCs w:val="20"/>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920" w:type="dxa"/>
            <w:vAlign w:val="bottom"/>
          </w:tcPr>
          <w:p>
            <w:pPr>
              <w:ind w:left="680"/>
              <w:spacing w:after="0"/>
              <w:rPr>
                <w:sz w:val="20"/>
                <w:szCs w:val="20"/>
                <w:color w:val="auto"/>
              </w:rPr>
            </w:pPr>
            <w:r>
              <w:rPr>
                <w:rFonts w:ascii="Arial" w:cs="Arial" w:eastAsia="Arial" w:hAnsi="Arial"/>
                <w:sz w:val="15"/>
                <w:szCs w:val="15"/>
                <w:color w:val="auto"/>
              </w:rPr>
              <w:t>—</w:t>
            </w:r>
          </w:p>
        </w:tc>
      </w:tr>
      <w:tr>
        <w:trPr>
          <w:trHeight w:val="254"/>
        </w:trPr>
        <w:tc>
          <w:tcPr>
            <w:tcW w:w="57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Interest rate swap contracts</w:t>
            </w:r>
          </w:p>
        </w:tc>
        <w:tc>
          <w:tcPr>
            <w:tcW w:w="2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(15,684)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(15,684)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w:t>
            </w:r>
          </w:p>
        </w:tc>
      </w:tr>
      <w:tr>
        <w:trPr>
          <w:trHeight w:val="205"/>
        </w:trPr>
        <w:tc>
          <w:tcPr>
            <w:tcW w:w="5720" w:type="dxa"/>
            <w:vAlign w:val="bottom"/>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(23,044)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(23,044)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3"/>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1"/>
                <w:szCs w:val="11"/>
                <w:b w:val="1"/>
                <w:bCs w:val="1"/>
                <w:color w:val="auto"/>
              </w:rPr>
              <w:t>Fair Value at Reporting Date Using</w:t>
            </w:r>
          </w:p>
        </w:tc>
        <w:tc>
          <w:tcPr>
            <w:tcW w:w="920" w:type="dxa"/>
            <w:vAlign w:val="bottom"/>
            <w:tcBorders>
              <w:bottom w:val="single" w:sz="8" w:color="auto"/>
            </w:tcBorders>
          </w:tcPr>
          <w:p>
            <w:pPr>
              <w:spacing w:after="0"/>
              <w:rPr>
                <w:sz w:val="24"/>
                <w:szCs w:val="24"/>
                <w:color w:val="auto"/>
              </w:rPr>
            </w:pPr>
          </w:p>
        </w:tc>
      </w:tr>
      <w:tr>
        <w:trPr>
          <w:trHeight w:val="238"/>
        </w:trPr>
        <w:tc>
          <w:tcPr>
            <w:tcW w:w="57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December 31, 2015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Level 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90"/>
              <w:spacing w:after="0"/>
              <w:rPr>
                <w:sz w:val="20"/>
                <w:szCs w:val="20"/>
                <w:color w:val="auto"/>
              </w:rPr>
            </w:pPr>
            <w:r>
              <w:rPr>
                <w:rFonts w:ascii="Arial" w:cs="Arial" w:eastAsia="Arial" w:hAnsi="Arial"/>
                <w:sz w:val="11"/>
                <w:szCs w:val="11"/>
                <w:b w:val="1"/>
                <w:bCs w:val="1"/>
                <w:color w:val="auto"/>
              </w:rPr>
              <w:t>Level 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Level 3</w:t>
            </w: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Available-for-sale securities</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36,711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36,711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w:t>
            </w:r>
          </w:p>
        </w:tc>
      </w:tr>
      <w:tr>
        <w:trPr>
          <w:trHeight w:val="203"/>
        </w:trPr>
        <w:tc>
          <w:tcPr>
            <w:tcW w:w="5720" w:type="dxa"/>
            <w:vAlign w:val="bottom"/>
          </w:tcPr>
          <w:p>
            <w:pPr>
              <w:ind w:left="20"/>
              <w:spacing w:after="0"/>
              <w:rPr>
                <w:sz w:val="20"/>
                <w:szCs w:val="20"/>
                <w:color w:val="auto"/>
              </w:rPr>
            </w:pPr>
            <w:r>
              <w:rPr>
                <w:rFonts w:ascii="Arial" w:cs="Arial" w:eastAsia="Arial" w:hAnsi="Arial"/>
                <w:sz w:val="15"/>
                <w:szCs w:val="15"/>
                <w:color w:val="auto"/>
              </w:rPr>
              <w:t>Derivatives: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2"/>
        </w:trPr>
        <w:tc>
          <w:tcPr>
            <w:tcW w:w="5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5"/>
        </w:trPr>
        <w:tc>
          <w:tcPr>
            <w:tcW w:w="57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Foreign currency forward contracts</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w:t>
            </w:r>
          </w:p>
        </w:tc>
      </w:tr>
      <w:tr>
        <w:trPr>
          <w:trHeight w:val="238"/>
        </w:trPr>
        <w:tc>
          <w:tcPr>
            <w:tcW w:w="5720" w:type="dxa"/>
            <w:vAlign w:val="bottom"/>
          </w:tcPr>
          <w:p>
            <w:pPr>
              <w:ind w:left="240"/>
              <w:spacing w:after="0"/>
              <w:rPr>
                <w:sz w:val="20"/>
                <w:szCs w:val="20"/>
                <w:color w:val="auto"/>
              </w:rPr>
            </w:pPr>
            <w:r>
              <w:rPr>
                <w:rFonts w:ascii="Arial" w:cs="Arial" w:eastAsia="Arial" w:hAnsi="Arial"/>
                <w:sz w:val="15"/>
                <w:szCs w:val="15"/>
                <w:color w:val="auto"/>
              </w:rPr>
              <w:t>Interest rate swap contracts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(13,734)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(13,734)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Arial" w:cs="Arial" w:eastAsia="Arial" w:hAnsi="Arial"/>
                <w:sz w:val="15"/>
                <w:szCs w:val="15"/>
                <w:color w:val="auto"/>
              </w:rPr>
              <w:t>—</w:t>
            </w:r>
          </w:p>
        </w:tc>
      </w:tr>
      <w:tr>
        <w:trPr>
          <w:trHeight w:val="213"/>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rPr>
              <w:t>21,218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36,711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5"/>
                <w:szCs w:val="15"/>
                <w:color w:val="auto"/>
              </w:rPr>
              <w:t>—</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transfers between Levels 1 and 2 within the fair value hierarchy for the years ended December 31, 2016 and 2015.</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1420"/>
          </w:cols>
          <w:pgMar w:left="240" w:top="835"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5"/>
          <w:szCs w:val="15"/>
          <w:b w:val="1"/>
          <w:bCs w:val="1"/>
          <w:i w:val="1"/>
          <w:iCs w:val="1"/>
          <w:color w:val="auto"/>
        </w:rPr>
        <w:t>Assets that are Measured at Fair Value on a Nonrecurring Basis</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As described in Note 1, Summary of Business and Significant Accounting Policies, our impairment review of goodwill is performed annually, as of October 1 of each year. In addition, goodwill, property and equipment and intangible assets are reviewed for impairment if events and circumstances indicate that their carrying amounts may not be recoverable.</w:t>
      </w:r>
    </w:p>
    <w:p>
      <w:pPr>
        <w:spacing w:after="0" w:line="190"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We perform our annual assessment of possible impairment of goodwill as of October 1 of each year. We begin with the qualitative assessment of whether it is more likely than not that a reporting unit’s fair value is less than its carrying value before applying the two step goodwill impairment model. If it is determined through the qualitative assessment that a reporting unit’s fair value is more likely than not greater than its carrying value, the remaining impairment steps are unnecessary. If it is determined that a reporting unit’s fair value is less than its carrying value, the fair values used in our goodwill impairment analysis are estimated using a combined approach based upon discounted future cash flow projections and observed market multiples for comparable businesses. The cash flow projections are based upon Level 3 inputs, including risk adjusted discount rates, future booking and transaction volume levels, future price levels, rates of growth in our consumer and corporate direct booking businesses, rates of increase in operating expenses, cost of revenue and taxes. Additionally, in accordance with authoritative guidance on fair value measurements, we make a number of assumptions including market participants, the principal markets and highest and best use of the reporting units.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Other Financial Instruments</w:t>
      </w:r>
    </w:p>
    <w:p>
      <w:pPr>
        <w:spacing w:after="0" w:line="115" w:lineRule="exact"/>
        <w:rPr>
          <w:sz w:val="20"/>
          <w:szCs w:val="20"/>
          <w:color w:val="auto"/>
        </w:rPr>
      </w:pPr>
    </w:p>
    <w:p>
      <w:pPr>
        <w:jc w:val="both"/>
        <w:ind w:firstLine="454"/>
        <w:spacing w:after="0" w:line="264" w:lineRule="auto"/>
        <w:rPr>
          <w:sz w:val="20"/>
          <w:szCs w:val="20"/>
          <w:color w:val="auto"/>
        </w:rPr>
      </w:pPr>
      <w:r>
        <w:rPr>
          <w:rFonts w:ascii="Arial" w:cs="Arial" w:eastAsia="Arial" w:hAnsi="Arial"/>
          <w:sz w:val="14"/>
          <w:szCs w:val="14"/>
          <w:color w:val="auto"/>
        </w:rPr>
        <w:t>The carrying value of our financial instruments including cash and cash equivalents, and accounts receivable approximates their fair values. The fair values of our senior unsecured notes due 2016, senior secured notes due 2023 and term loans under our Amended and Restated Credit Agreement are determined based on quoted market prices for a similar liability when traded as an asset in an active market, a Level 2 input. The outstanding principal balance of our mortgage facility approximated its fair value as of December 31, 2016 and 2015. The fair values of the mortgage facility were determined based on estimates of current interest rates for similar debt, a Level 2 input.</w:t>
      </w:r>
    </w:p>
    <w:p>
      <w:pPr>
        <w:spacing w:after="0" w:line="175" w:lineRule="exact"/>
        <w:rPr>
          <w:sz w:val="20"/>
          <w:szCs w:val="20"/>
          <w:color w:val="auto"/>
        </w:rPr>
      </w:pPr>
    </w:p>
    <w:p>
      <w:pPr>
        <w:ind w:firstLine="454"/>
        <w:spacing w:after="0" w:line="245" w:lineRule="auto"/>
        <w:rPr>
          <w:sz w:val="20"/>
          <w:szCs w:val="20"/>
          <w:color w:val="auto"/>
        </w:rPr>
      </w:pPr>
      <w:r>
        <w:rPr>
          <w:rFonts w:ascii="Arial" w:cs="Arial" w:eastAsia="Arial" w:hAnsi="Arial"/>
          <w:sz w:val="15"/>
          <w:szCs w:val="15"/>
          <w:color w:val="auto"/>
        </w:rPr>
        <w:t>The following table presents the fair value and carrying value of all our notes and term loans under our Amended and Restated Credit Agreement as of December 31, 2016 and 2015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ind w:left="380"/>
              <w:spacing w:after="0"/>
              <w:rPr>
                <w:sz w:val="20"/>
                <w:szCs w:val="20"/>
                <w:color w:val="auto"/>
              </w:rPr>
            </w:pPr>
            <w:r>
              <w:rPr>
                <w:rFonts w:ascii="Arial" w:cs="Arial" w:eastAsia="Arial" w:hAnsi="Arial"/>
                <w:sz w:val="11"/>
                <w:szCs w:val="11"/>
                <w:b w:val="1"/>
                <w:bCs w:val="1"/>
                <w:color w:val="auto"/>
              </w:rPr>
              <w:t>Fair Value at December 31,</w:t>
            </w:r>
          </w:p>
        </w:tc>
        <w:tc>
          <w:tcPr>
            <w:tcW w:w="23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1"/>
                <w:szCs w:val="11"/>
                <w:b w:val="1"/>
                <w:bCs w:val="1"/>
                <w:color w:val="auto"/>
              </w:rPr>
              <w:t>Carrying Value at December 31,</w:t>
            </w:r>
          </w:p>
        </w:tc>
        <w:tc>
          <w:tcPr>
            <w:tcW w:w="0" w:type="dxa"/>
            <w:vAlign w:val="bottom"/>
          </w:tcPr>
          <w:p>
            <w:pPr>
              <w:spacing w:after="0"/>
              <w:rPr>
                <w:sz w:val="1"/>
                <w:szCs w:val="1"/>
                <w:color w:val="auto"/>
              </w:rPr>
            </w:pPr>
          </w:p>
        </w:tc>
      </w:tr>
      <w:tr>
        <w:trPr>
          <w:trHeight w:val="144"/>
        </w:trPr>
        <w:tc>
          <w:tcPr>
            <w:tcW w:w="5960" w:type="dxa"/>
            <w:vAlign w:val="bottom"/>
            <w:gridSpan w:val="2"/>
          </w:tcPr>
          <w:p>
            <w:pPr>
              <w:ind w:left="20"/>
              <w:spacing w:after="0"/>
              <w:rPr>
                <w:sz w:val="20"/>
                <w:szCs w:val="20"/>
                <w:color w:val="auto"/>
              </w:rPr>
            </w:pPr>
            <w:r>
              <w:rPr>
                <w:rFonts w:ascii="Arial" w:cs="Arial" w:eastAsia="Arial" w:hAnsi="Arial"/>
                <w:sz w:val="11"/>
                <w:szCs w:val="11"/>
                <w:b w:val="1"/>
                <w:bCs w:val="1"/>
                <w:color w:val="auto"/>
              </w:rPr>
              <w:t>Financial Instrument</w:t>
            </w:r>
          </w:p>
        </w:tc>
        <w:tc>
          <w:tcPr>
            <w:tcW w:w="300" w:type="dxa"/>
            <w:vAlign w:val="bottom"/>
          </w:tcPr>
          <w:p>
            <w:pPr>
              <w:spacing w:after="0"/>
              <w:rPr>
                <w:sz w:val="12"/>
                <w:szCs w:val="12"/>
                <w:color w:val="auto"/>
              </w:rPr>
            </w:pPr>
          </w:p>
        </w:tc>
        <w:tc>
          <w:tcPr>
            <w:tcW w:w="980" w:type="dxa"/>
            <w:vAlign w:val="bottom"/>
            <w:vMerge w:val="restart"/>
          </w:tcPr>
          <w:p>
            <w:pPr>
              <w:jc w:val="right"/>
              <w:ind w:right="450"/>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488"/>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430"/>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408"/>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93"/>
        </w:trPr>
        <w:tc>
          <w:tcPr>
            <w:tcW w:w="58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Term Loan A</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583,538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420" w:type="dxa"/>
            <w:vAlign w:val="bottom"/>
            <w:gridSpan w:val="3"/>
            <w:shd w:val="clear" w:color="auto" w:fill="CCEEFF"/>
          </w:tcPr>
          <w:p>
            <w:pPr>
              <w:ind w:left="780"/>
              <w:spacing w:after="0"/>
              <w:rPr>
                <w:sz w:val="20"/>
                <w:szCs w:val="20"/>
                <w:color w:val="auto"/>
              </w:rPr>
            </w:pPr>
            <w:r>
              <w:rPr>
                <w:rFonts w:ascii="Arial" w:cs="Arial" w:eastAsia="Arial" w:hAnsi="Arial"/>
                <w:sz w:val="15"/>
                <w:szCs w:val="15"/>
                <w:color w:val="auto"/>
              </w:rPr>
              <w:t>—   $</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582,595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5960" w:type="dxa"/>
            <w:vAlign w:val="bottom"/>
            <w:gridSpan w:val="2"/>
          </w:tcPr>
          <w:p>
            <w:pPr>
              <w:ind w:left="20"/>
              <w:spacing w:after="0"/>
              <w:rPr>
                <w:sz w:val="20"/>
                <w:szCs w:val="20"/>
                <w:color w:val="auto"/>
              </w:rPr>
            </w:pPr>
            <w:r>
              <w:rPr>
                <w:rFonts w:ascii="Arial" w:cs="Arial" w:eastAsia="Arial" w:hAnsi="Arial"/>
                <w:sz w:val="15"/>
                <w:szCs w:val="15"/>
                <w:color w:val="auto"/>
              </w:rPr>
              <w:t>Term Loan B</w:t>
            </w:r>
          </w:p>
        </w:tc>
        <w:tc>
          <w:tcPr>
            <w:tcW w:w="3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5"/>
                <w:szCs w:val="15"/>
                <w:color w:val="auto"/>
              </w:rPr>
              <w:t>1,435,993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1,705,609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5"/>
                <w:szCs w:val="15"/>
                <w:color w:val="auto"/>
              </w:rPr>
              <w:t>1,417,616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5"/>
                <w:szCs w:val="15"/>
                <w:color w:val="auto"/>
              </w:rPr>
              <w:t>1,716,048</w:t>
            </w:r>
          </w:p>
        </w:tc>
        <w:tc>
          <w:tcPr>
            <w:tcW w:w="0" w:type="dxa"/>
            <w:vAlign w:val="bottom"/>
          </w:tcPr>
          <w:p>
            <w:pPr>
              <w:spacing w:after="0"/>
              <w:rPr>
                <w:sz w:val="1"/>
                <w:szCs w:val="1"/>
                <w:color w:val="auto"/>
              </w:rPr>
            </w:pPr>
          </w:p>
        </w:tc>
      </w:tr>
      <w:tr>
        <w:trPr>
          <w:trHeight w:val="254"/>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Incremental Term Loan Facility - Term Loan B</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283,413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339,559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282,354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342,125</w:t>
            </w:r>
          </w:p>
        </w:tc>
        <w:tc>
          <w:tcPr>
            <w:tcW w:w="0" w:type="dxa"/>
            <w:vAlign w:val="bottom"/>
          </w:tcPr>
          <w:p>
            <w:pPr>
              <w:spacing w:after="0"/>
              <w:rPr>
                <w:sz w:val="1"/>
                <w:szCs w:val="1"/>
                <w:color w:val="auto"/>
              </w:rPr>
            </w:pPr>
          </w:p>
        </w:tc>
      </w:tr>
      <w:tr>
        <w:trPr>
          <w:trHeight w:val="237"/>
        </w:trPr>
        <w:tc>
          <w:tcPr>
            <w:tcW w:w="5960" w:type="dxa"/>
            <w:vAlign w:val="bottom"/>
            <w:gridSpan w:val="2"/>
          </w:tcPr>
          <w:p>
            <w:pPr>
              <w:ind w:left="20"/>
              <w:spacing w:after="0"/>
              <w:rPr>
                <w:sz w:val="20"/>
                <w:szCs w:val="20"/>
                <w:color w:val="auto"/>
              </w:rPr>
            </w:pPr>
            <w:r>
              <w:rPr>
                <w:rFonts w:ascii="Arial" w:cs="Arial" w:eastAsia="Arial" w:hAnsi="Arial"/>
                <w:sz w:val="15"/>
                <w:szCs w:val="15"/>
                <w:color w:val="auto"/>
              </w:rPr>
              <w:t>Term Loan C</w:t>
            </w:r>
          </w:p>
        </w:tc>
        <w:tc>
          <w:tcPr>
            <w:tcW w:w="3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5"/>
                <w:szCs w:val="15"/>
                <w:color w:val="auto"/>
              </w:rPr>
              <w:t>49,436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49,251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5"/>
                <w:szCs w:val="15"/>
                <w:color w:val="auto"/>
              </w:rPr>
              <w:t>49,237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5"/>
                <w:szCs w:val="15"/>
                <w:color w:val="auto"/>
              </w:rPr>
              <w:t>49,157</w:t>
            </w:r>
          </w:p>
        </w:tc>
        <w:tc>
          <w:tcPr>
            <w:tcW w:w="0" w:type="dxa"/>
            <w:vAlign w:val="bottom"/>
          </w:tcPr>
          <w:p>
            <w:pPr>
              <w:spacing w:after="0"/>
              <w:rPr>
                <w:sz w:val="1"/>
                <w:szCs w:val="1"/>
                <w:color w:val="auto"/>
              </w:rPr>
            </w:pPr>
          </w:p>
        </w:tc>
      </w:tr>
      <w:tr>
        <w:trPr>
          <w:trHeight w:val="254"/>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Revolver, $400M</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5960" w:type="dxa"/>
            <w:vAlign w:val="bottom"/>
            <w:gridSpan w:val="2"/>
          </w:tcPr>
          <w:p>
            <w:pPr>
              <w:ind w:left="20"/>
              <w:spacing w:after="0"/>
              <w:rPr>
                <w:sz w:val="20"/>
                <w:szCs w:val="20"/>
                <w:color w:val="auto"/>
              </w:rPr>
            </w:pPr>
            <w:r>
              <w:rPr>
                <w:rFonts w:ascii="Arial" w:cs="Arial" w:eastAsia="Arial" w:hAnsi="Arial"/>
                <w:sz w:val="15"/>
                <w:szCs w:val="15"/>
                <w:color w:val="auto"/>
              </w:rPr>
              <w:t>Senior Unsecured Notes Due 2016</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165,804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5"/>
                <w:szCs w:val="15"/>
                <w:color w:val="auto"/>
              </w:rPr>
              <w:t>164,628</w:t>
            </w:r>
          </w:p>
        </w:tc>
        <w:tc>
          <w:tcPr>
            <w:tcW w:w="0" w:type="dxa"/>
            <w:vAlign w:val="bottom"/>
          </w:tcPr>
          <w:p>
            <w:pPr>
              <w:spacing w:after="0"/>
              <w:rPr>
                <w:sz w:val="1"/>
                <w:szCs w:val="1"/>
                <w:color w:val="auto"/>
              </w:rPr>
            </w:pPr>
          </w:p>
        </w:tc>
      </w:tr>
      <w:tr>
        <w:trPr>
          <w:trHeight w:val="254"/>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Secured Notes Due 2023</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542,919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528,013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530,000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530,000</w:t>
            </w:r>
          </w:p>
        </w:tc>
        <w:tc>
          <w:tcPr>
            <w:tcW w:w="0" w:type="dxa"/>
            <w:vAlign w:val="bottom"/>
          </w:tcPr>
          <w:p>
            <w:pPr>
              <w:spacing w:after="0"/>
              <w:rPr>
                <w:sz w:val="1"/>
                <w:szCs w:val="1"/>
                <w:color w:val="auto"/>
              </w:rPr>
            </w:pPr>
          </w:p>
        </w:tc>
      </w:tr>
      <w:tr>
        <w:trPr>
          <w:trHeight w:val="228"/>
        </w:trPr>
        <w:tc>
          <w:tcPr>
            <w:tcW w:w="5960" w:type="dxa"/>
            <w:vAlign w:val="bottom"/>
            <w:gridSpan w:val="2"/>
          </w:tcPr>
          <w:p>
            <w:pPr>
              <w:ind w:left="20"/>
              <w:spacing w:after="0"/>
              <w:rPr>
                <w:sz w:val="20"/>
                <w:szCs w:val="20"/>
                <w:color w:val="auto"/>
              </w:rPr>
            </w:pPr>
            <w:r>
              <w:rPr>
                <w:rFonts w:ascii="Arial" w:cs="Arial" w:eastAsia="Arial" w:hAnsi="Arial"/>
                <w:sz w:val="15"/>
                <w:szCs w:val="15"/>
                <w:color w:val="auto"/>
              </w:rPr>
              <w:t>Senior Secured Notes Due 2023</w:t>
            </w:r>
          </w:p>
        </w:tc>
        <w:tc>
          <w:tcPr>
            <w:tcW w:w="3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5"/>
                <w:szCs w:val="15"/>
                <w:color w:val="auto"/>
              </w:rPr>
              <w:t>515,000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494,375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5"/>
                <w:szCs w:val="15"/>
                <w:color w:val="auto"/>
              </w:rPr>
              <w:t>500,000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Redeemable Preferred Stock and Stockholders’ Equity</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Initial and Secondary Public Offerings</w:t>
      </w:r>
    </w:p>
    <w:p>
      <w:pPr>
        <w:spacing w:after="0" w:line="115" w:lineRule="exact"/>
        <w:rPr>
          <w:sz w:val="20"/>
          <w:szCs w:val="20"/>
          <w:color w:val="auto"/>
        </w:rPr>
      </w:pPr>
    </w:p>
    <w:p>
      <w:pPr>
        <w:jc w:val="both"/>
        <w:ind w:firstLine="454"/>
        <w:spacing w:after="0" w:line="268" w:lineRule="auto"/>
        <w:rPr>
          <w:sz w:val="20"/>
          <w:szCs w:val="20"/>
          <w:color w:val="auto"/>
        </w:rPr>
      </w:pPr>
      <w:r>
        <w:rPr>
          <w:rFonts w:ascii="Arial" w:cs="Arial" w:eastAsia="Arial" w:hAnsi="Arial"/>
          <w:sz w:val="14"/>
          <w:szCs w:val="14"/>
          <w:color w:val="auto"/>
        </w:rPr>
        <w:t>On April 23, 2014, we closed our initial public offering of our common stock in which we sold 39,200,000 shares, and on April 25, 2014, the underwriters exercised in full their overallotment option which resulted in the sale of an additional 5,880,000 shares of our common stock. Our shares of common stock were sold at an initial public offering price of $16.00 per share, which generated $672 million of net proceeds from the offering after deducting underwriting discounts and commissions and offering expenses.</w:t>
      </w:r>
    </w:p>
    <w:p>
      <w:pPr>
        <w:spacing w:after="0" w:line="172"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used the net proceeds from this offering to repay (i) $296 million aggregate principal amount of our term loans and (ii) $320 million aggregate principal amount of our senior secured notes due in 2019 at a redemption price of 108.5% of the principal amount. We also used the net proceeds from our offering to pay the $27 million redemption premium and $13 million in accrued but unpaid interest on the senior secured notes due in 2019. We used the remaining portion of the net proceeds from our offering to pay a $21 million fee, in the aggregate, to TPG Global, LLC (“TPG”) and Silver Lake Management Company (“Silver Lake”) pursuant to a management services agreement (the “MSA”), which was thereafter terminated.</w:t>
      </w:r>
    </w:p>
    <w:p>
      <w:pPr>
        <w:spacing w:after="0" w:line="192"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During the year ended December 31, 2016 and 2015, certain of our stockholders sold an aggregate of 20,000,000 and 103,970,000 shares, respectively, of our common stock through secondary public offerings. In connection with one of these offerings, we repurchased 3,400,000 shares totaling $99 million from the underwriter of the offering during the year ended December 31, 2015. We did not receive any proceeds from the secondary public offerings.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1420"/>
          </w:cols>
          <w:pgMar w:left="240" w:top="835" w:right="239" w:bottom="1440" w:gutter="0" w:footer="0" w:header="0"/>
        </w:sectPr>
      </w:pPr>
    </w:p>
    <w:bookmarkStart w:id="91" w:name="page92"/>
    <w:bookmarkEnd w:id="91"/>
    <w:p>
      <w:pPr>
        <w:ind w:left="460"/>
        <w:spacing w:after="0"/>
        <w:rPr>
          <w:sz w:val="20"/>
          <w:szCs w:val="20"/>
          <w:color w:val="auto"/>
        </w:rPr>
      </w:pPr>
      <w:r>
        <w:rPr>
          <w:rFonts w:ascii="Arial" w:cs="Arial" w:eastAsia="Arial" w:hAnsi="Arial"/>
          <w:sz w:val="15"/>
          <w:szCs w:val="15"/>
          <w:color w:val="auto"/>
        </w:rPr>
        <w:t>During the year ended December 31, 2016, we repurchased 3,980,672 shares totaling $100 million of our common stock under the share repurchase program.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Redeemable Preferred Stock</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Prior to the closing of our initial public offering, we amended our Certificate of Incorporation and exercised our right to redeem all of our Series A Cumulative Preferred Stock. The amendment to our Certificate of Incorporation modified the redemption feature of the Series A Cumulative Preferred Stock to allow for settlement using cash, shares of our common stock or a mix of cash and shares of our common stock. Upon the closing of our initial public offering, we redeemed all of our outstanding shares of Series A Cumulative Preferred Stock, including accumulated but unpaid dividends, in exchange for 40,343,529 shares of our common stock, which were delivered pro rata to the holders thereof. Each share of Series A Preferred Stock accumulated dividends at an annual rate of 6%. No cash dividends were paid since the inception of the Series A Preferred Shares.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Common Stock Dividends</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We paid a quarterly cash dividend on our common stock of $0.13 per share, totaling $144 million, and $0.09 per share, totaling $99 million, during the year ended December 31, 2016 and 2015, respectively. In the six months ended December 31, 2014, we paid a quarterly cash dividend of $0.09 per share of our common stock totaling $48 million. No dividends were declared or paid in the six months ended June 30, 2014.</w:t>
      </w:r>
    </w:p>
    <w:p>
      <w:pPr>
        <w:spacing w:after="0" w:line="9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Our board of directors has declared a cash dividend of $0.14 per share of our common stock, which will be paid on March 30, 2017 to stockholders of record as of March 21, 2017.</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Equity-Based Awards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As of December 31, 2016, our outstanding equity-based compensation plans and agreements include the Sovereign Holdings, Inc. Management Equity Incentive Plan (“Sovereign MEIP”), the Sovereign Holdings, Inc. 2012 Management Equity Incentive Plan (“Sovereign 2012 MEIP”), the Sabre Corporation 2014 Omnibus Incentive Compensation Plan (the “2014 Omnibus Plan”), and the Sabre Corporation 2016 Omnibus Incentive Compensation Plan (the “2016 Omnibus Plan”). Our 2016 Omnibus Plan serves as successor to the 2014 Omnibus Plan, the Sovereign MEIP and Sovereign 2012 MEIP and provide for the issuance of stock options, restricted shares, restricted stock units (“RSUs”), performance-based RSU awards (“PSUs”), cash incentive compensation and other stock-based awards. Outstanding awards under the 2014 Omnibus Plan, the Sovereign MEIP and Sovereign 2012 MEIP continue to be subject to the terms and conditions of their respective plan.</w:t>
      </w:r>
    </w:p>
    <w:p>
      <w:pPr>
        <w:spacing w:after="0" w:line="192"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We initially reserved 10,000,000 shares and 13,500,000 shares of our common stock for issuance under our 2016 and 2014 Omnibus Plans, respectively. In addition, we added 2,956,465 shares that were reserved but not issued under the Sovereign MEIP and Sovereign 2012 MEIP plans to the 2014 Omnibus Plan reserves, for a total of 16,456,465 authorized shares of common stock for issuance. Time-based options granted under the 2016 and 2014 Omnibus Plans generally vest over a four year period with 25% vesting at the end of year one and the remaining vest quarterly thereafter. RSUs generally vest over a four year period with 25% vesting annually. PSUs generally vest over a four year period with 25% vesting annually dependent upon the achievement of certain company-based performance measures. Each reporting period, we assess the probability assumption and, if there is an adjustment, record the cumulative effect of the adjustment in the current reporting period. Options granted are exercisable up to 10 years. Stock-based compensation expense totaled $49 million, $30 million and $20 million for the years ended December 31, 2016, 2015 and 2014, respectively.</w:t>
      </w:r>
    </w:p>
    <w:p>
      <w:pPr>
        <w:spacing w:after="0" w:line="177"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Long-term cash incentive compensation is provided through the Long-Term Stretch Program (“LTSP”), which was initially adopted under the 2014 Omnibus Plan, for certain senior executives and key employees. The LTSP provides for cash incentive compensation if certain company-based performance measures are achieved over the three-year period ending December 31, 2017. If these performance measures are achieved, the cash incentive to be received by the participants is determined in part by the average closing price of our common stock in January 2018. As of December 31, 2016, we do not consider the achievement of the performance measures to be probable and therefore have not accrued any amounts associated with the LTSP.</w:t>
      </w:r>
    </w:p>
    <w:p>
      <w:pPr>
        <w:spacing w:after="0" w:line="19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fair value of the stock options granted was estimated at the date of grant using the Black-Scholes option pricing model with the following weighted-average assumptions: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238"/>
        </w:trPr>
        <w:tc>
          <w:tcPr>
            <w:tcW w:w="380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1"/>
                <w:szCs w:val="11"/>
                <w:b w:val="1"/>
                <w:bCs w:val="1"/>
                <w:color w:val="auto"/>
              </w:rPr>
              <w:t>2014</w:t>
            </w: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price</w:t>
            </w:r>
          </w:p>
        </w:tc>
        <w:tc>
          <w:tcPr>
            <w:tcW w:w="4040" w:type="dxa"/>
            <w:vAlign w:val="bottom"/>
            <w:gridSpan w:val="2"/>
            <w:shd w:val="clear" w:color="auto" w:fill="CCEEFF"/>
          </w:tcPr>
          <w:p>
            <w:pPr>
              <w:jc w:val="right"/>
              <w:ind w:right="703"/>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27.12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22.64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16.82</w:t>
            </w:r>
          </w:p>
        </w:tc>
      </w:tr>
      <w:tr>
        <w:trPr>
          <w:trHeight w:val="237"/>
        </w:trPr>
        <w:tc>
          <w:tcPr>
            <w:tcW w:w="3800" w:type="dxa"/>
            <w:vAlign w:val="bottom"/>
          </w:tcPr>
          <w:p>
            <w:pPr>
              <w:ind w:left="20"/>
              <w:spacing w:after="0"/>
              <w:rPr>
                <w:sz w:val="20"/>
                <w:szCs w:val="20"/>
                <w:color w:val="auto"/>
              </w:rPr>
            </w:pPr>
            <w:r>
              <w:rPr>
                <w:rFonts w:ascii="Arial" w:cs="Arial" w:eastAsia="Arial" w:hAnsi="Arial"/>
                <w:sz w:val="15"/>
                <w:szCs w:val="15"/>
                <w:color w:val="auto"/>
              </w:rPr>
              <w:t>Average risk-free interest rate</w:t>
            </w:r>
          </w:p>
        </w:tc>
        <w:tc>
          <w:tcPr>
            <w:tcW w:w="3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1.96%</w:t>
            </w:r>
          </w:p>
        </w:tc>
      </w:tr>
      <w:tr>
        <w:trPr>
          <w:trHeight w:val="254"/>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life (in years)</w:t>
            </w:r>
          </w:p>
        </w:tc>
        <w:tc>
          <w:tcPr>
            <w:tcW w:w="3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6.11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6.11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6.11</w:t>
            </w:r>
          </w:p>
        </w:tc>
      </w:tr>
      <w:tr>
        <w:trPr>
          <w:trHeight w:val="237"/>
        </w:trPr>
        <w:tc>
          <w:tcPr>
            <w:tcW w:w="3800" w:type="dxa"/>
            <w:vAlign w:val="bottom"/>
          </w:tcPr>
          <w:p>
            <w:pPr>
              <w:ind w:left="20"/>
              <w:spacing w:after="0"/>
              <w:rPr>
                <w:sz w:val="20"/>
                <w:szCs w:val="20"/>
                <w:color w:val="auto"/>
              </w:rPr>
            </w:pPr>
            <w:r>
              <w:rPr>
                <w:rFonts w:ascii="Arial" w:cs="Arial" w:eastAsia="Arial" w:hAnsi="Arial"/>
                <w:sz w:val="15"/>
                <w:szCs w:val="15"/>
                <w:color w:val="auto"/>
              </w:rPr>
              <w:t>Implied volatility</w:t>
            </w:r>
          </w:p>
        </w:tc>
        <w:tc>
          <w:tcPr>
            <w:tcW w:w="3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8"/>
              </w:rPr>
              <w:t>23.44%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33.28%</w:t>
            </w:r>
          </w:p>
        </w:tc>
      </w:tr>
      <w:tr>
        <w:trPr>
          <w:trHeight w:val="254"/>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 yield</w:t>
            </w:r>
          </w:p>
        </w:tc>
        <w:tc>
          <w:tcPr>
            <w:tcW w:w="3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r>
      <w:tr>
        <w:trPr>
          <w:trHeight w:val="400"/>
        </w:trPr>
        <w:tc>
          <w:tcPr>
            <w:tcW w:w="3800" w:type="dxa"/>
            <w:vAlign w:val="bottom"/>
          </w:tcPr>
          <w:p>
            <w:pPr>
              <w:spacing w:after="0"/>
              <w:rPr>
                <w:sz w:val="24"/>
                <w:szCs w:val="24"/>
                <w:color w:val="auto"/>
              </w:rPr>
            </w:pPr>
          </w:p>
        </w:tc>
        <w:tc>
          <w:tcPr>
            <w:tcW w:w="3180" w:type="dxa"/>
            <w:vAlign w:val="bottom"/>
          </w:tcPr>
          <w:p>
            <w:pPr>
              <w:jc w:val="right"/>
              <w:ind w:right="1106"/>
              <w:spacing w:after="0"/>
              <w:rPr>
                <w:sz w:val="20"/>
                <w:szCs w:val="20"/>
                <w:color w:val="auto"/>
              </w:rPr>
            </w:pPr>
            <w:r>
              <w:rPr>
                <w:rFonts w:ascii="Arial" w:cs="Arial" w:eastAsia="Arial" w:hAnsi="Arial"/>
                <w:sz w:val="15"/>
                <w:szCs w:val="15"/>
                <w:color w:val="auto"/>
              </w:rPr>
              <w:t>90</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754" w:right="239" w:bottom="1440" w:gutter="0" w:footer="0" w:header="0"/>
        </w:sectPr>
      </w:pPr>
    </w:p>
    <w:bookmarkStart w:id="92" w:name="page93"/>
    <w:bookmarkEnd w:id="92"/>
    <w:p>
      <w:pPr>
        <w:ind w:left="2" w:firstLine="454"/>
        <w:spacing w:after="0" w:line="245" w:lineRule="auto"/>
        <w:rPr>
          <w:sz w:val="20"/>
          <w:szCs w:val="20"/>
          <w:color w:val="auto"/>
        </w:rPr>
      </w:pPr>
      <w:r>
        <w:rPr>
          <w:rFonts w:ascii="Arial" w:cs="Arial" w:eastAsia="Arial" w:hAnsi="Arial"/>
          <w:sz w:val="15"/>
          <w:szCs w:val="15"/>
          <w:color w:val="auto"/>
        </w:rPr>
        <w:t>The following table summarizes the stock option award activities under our outstanding equity based compensation plans and agreements for the year ended December 31, 2016.</w:t>
      </w:r>
    </w:p>
    <w:p>
      <w:pPr>
        <w:spacing w:after="0" w:line="289"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5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640"/>
              <w:spacing w:after="0"/>
              <w:rPr>
                <w:sz w:val="20"/>
                <w:szCs w:val="20"/>
                <w:color w:val="auto"/>
              </w:rPr>
            </w:pPr>
            <w:r>
              <w:rPr>
                <w:rFonts w:ascii="Arial" w:cs="Arial" w:eastAsia="Arial" w:hAnsi="Arial"/>
                <w:sz w:val="11"/>
                <w:szCs w:val="11"/>
                <w:b w:val="1"/>
                <w:bCs w:val="1"/>
                <w:color w:val="auto"/>
              </w:rPr>
              <w:t>Weighted-Average</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203"/>
              <w:spacing w:after="0"/>
              <w:rPr>
                <w:sz w:val="20"/>
                <w:szCs w:val="20"/>
                <w:color w:val="auto"/>
              </w:rPr>
            </w:pPr>
            <w:r>
              <w:rPr>
                <w:rFonts w:ascii="Arial" w:cs="Arial" w:eastAsia="Arial" w:hAnsi="Arial"/>
                <w:sz w:val="11"/>
                <w:szCs w:val="11"/>
                <w:b w:val="1"/>
                <w:bCs w:val="1"/>
                <w:color w:val="auto"/>
              </w:rPr>
              <w:t>Remaining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35"/>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3"/>
        </w:trPr>
        <w:tc>
          <w:tcPr>
            <w:tcW w:w="5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203"/>
              <w:spacing w:after="0" w:line="123" w:lineRule="exact"/>
              <w:rPr>
                <w:sz w:val="20"/>
                <w:szCs w:val="20"/>
                <w:color w:val="auto"/>
              </w:rPr>
            </w:pPr>
            <w:r>
              <w:rPr>
                <w:rFonts w:ascii="Arial" w:cs="Arial" w:eastAsia="Arial" w:hAnsi="Arial"/>
                <w:sz w:val="11"/>
                <w:szCs w:val="11"/>
                <w:b w:val="1"/>
                <w:bCs w:val="1"/>
                <w:color w:val="auto"/>
              </w:rPr>
              <w:t>Contractual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35"/>
              <w:spacing w:after="0" w:line="123" w:lineRule="exact"/>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59"/>
        </w:trPr>
        <w:tc>
          <w:tcPr>
            <w:tcW w:w="5720" w:type="dxa"/>
            <w:vAlign w:val="bottom"/>
          </w:tcPr>
          <w:p>
            <w:pPr>
              <w:spacing w:after="0"/>
              <w:rPr>
                <w:sz w:val="13"/>
                <w:szCs w:val="13"/>
                <w:color w:val="auto"/>
              </w:rPr>
            </w:pPr>
          </w:p>
        </w:tc>
        <w:tc>
          <w:tcPr>
            <w:tcW w:w="1400" w:type="dxa"/>
            <w:vAlign w:val="bottom"/>
            <w:gridSpan w:val="2"/>
          </w:tcPr>
          <w:p>
            <w:pPr>
              <w:ind w:left="420"/>
              <w:spacing w:after="0"/>
              <w:rPr>
                <w:sz w:val="20"/>
                <w:szCs w:val="20"/>
                <w:color w:val="auto"/>
              </w:rPr>
            </w:pPr>
            <w:r>
              <w:rPr>
                <w:rFonts w:ascii="Arial" w:cs="Arial" w:eastAsia="Arial" w:hAnsi="Arial"/>
                <w:sz w:val="11"/>
                <w:szCs w:val="11"/>
                <w:b w:val="1"/>
                <w:bCs w:val="1"/>
                <w:color w:val="auto"/>
              </w:rPr>
              <w:t>Quantity</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Exercise Price</w:t>
            </w:r>
          </w:p>
        </w:tc>
        <w:tc>
          <w:tcPr>
            <w:tcW w:w="1000" w:type="dxa"/>
            <w:vAlign w:val="bottom"/>
          </w:tcPr>
          <w:p>
            <w:pPr>
              <w:jc w:val="center"/>
              <w:ind w:left="223"/>
              <w:spacing w:after="0"/>
              <w:rPr>
                <w:sz w:val="20"/>
                <w:szCs w:val="20"/>
                <w:color w:val="auto"/>
              </w:rPr>
            </w:pPr>
            <w:r>
              <w:rPr>
                <w:rFonts w:ascii="Arial" w:cs="Arial" w:eastAsia="Arial" w:hAnsi="Arial"/>
                <w:sz w:val="11"/>
                <w:szCs w:val="11"/>
                <w:b w:val="1"/>
                <w:bCs w:val="1"/>
                <w:color w:val="auto"/>
              </w:rPr>
              <w:t>Term (years)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35"/>
              <w:spacing w:after="0"/>
              <w:rPr>
                <w:sz w:val="20"/>
                <w:szCs w:val="20"/>
                <w:color w:val="auto"/>
              </w:rPr>
            </w:pPr>
            <w:r>
              <w:rPr>
                <w:rFonts w:ascii="Arial" w:cs="Arial" w:eastAsia="Arial" w:hAnsi="Arial"/>
                <w:sz w:val="11"/>
                <w:szCs w:val="11"/>
                <w:b w:val="1"/>
                <w:bCs w:val="1"/>
                <w:color w:val="auto"/>
              </w:rPr>
              <w:t xml:space="preserve">(in thousands)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5"/>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2015</w:t>
            </w:r>
            <w:r>
              <w:rPr>
                <w:rFonts w:ascii="Arial" w:cs="Arial" w:eastAsia="Arial" w:hAnsi="Arial"/>
                <w:sz w:val="19"/>
                <w:szCs w:val="19"/>
                <w:color w:val="auto"/>
                <w:vertAlign w:val="superscript"/>
              </w:rPr>
              <w:t>(2)</w:t>
            </w:r>
          </w:p>
        </w:tc>
        <w:tc>
          <w:tcPr>
            <w:tcW w:w="12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9,965,532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rPr>
              <w:t>11.19</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3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color w:val="auto"/>
              </w:rPr>
              <w:t>167,279</w:t>
            </w:r>
          </w:p>
        </w:tc>
        <w:tc>
          <w:tcPr>
            <w:tcW w:w="0" w:type="dxa"/>
            <w:vAlign w:val="bottom"/>
          </w:tcPr>
          <w:p>
            <w:pPr>
              <w:spacing w:after="0"/>
              <w:rPr>
                <w:sz w:val="1"/>
                <w:szCs w:val="1"/>
                <w:color w:val="auto"/>
              </w:rPr>
            </w:pPr>
          </w:p>
        </w:tc>
      </w:tr>
      <w:tr>
        <w:trPr>
          <w:trHeight w:val="237"/>
        </w:trPr>
        <w:tc>
          <w:tcPr>
            <w:tcW w:w="5720" w:type="dxa"/>
            <w:vAlign w:val="bottom"/>
          </w:tcPr>
          <w:p>
            <w:pPr>
              <w:ind w:left="140"/>
              <w:spacing w:after="0"/>
              <w:rPr>
                <w:sz w:val="20"/>
                <w:szCs w:val="20"/>
                <w:color w:val="auto"/>
              </w:rPr>
            </w:pPr>
            <w:r>
              <w:rPr>
                <w:rFonts w:ascii="Arial" w:cs="Arial" w:eastAsia="Arial" w:hAnsi="Arial"/>
                <w:sz w:val="15"/>
                <w:szCs w:val="15"/>
                <w:color w:val="auto"/>
              </w:rPr>
              <w:t>Granted</w:t>
            </w:r>
          </w:p>
        </w:tc>
        <w:tc>
          <w:tcPr>
            <w:tcW w:w="1280" w:type="dxa"/>
            <w:vAlign w:val="bottom"/>
          </w:tcPr>
          <w:p>
            <w:pPr>
              <w:jc w:val="right"/>
              <w:ind w:right="49"/>
              <w:spacing w:after="0"/>
              <w:rPr>
                <w:sz w:val="20"/>
                <w:szCs w:val="20"/>
                <w:color w:val="auto"/>
              </w:rPr>
            </w:pPr>
            <w:r>
              <w:rPr>
                <w:rFonts w:ascii="Arial" w:cs="Arial" w:eastAsia="Arial" w:hAnsi="Arial"/>
                <w:sz w:val="15"/>
                <w:szCs w:val="15"/>
                <w:color w:val="auto"/>
              </w:rPr>
              <w:t>1,175,764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5"/>
                <w:szCs w:val="15"/>
                <w:color w:val="auto"/>
              </w:rPr>
              <w:t>27.12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Exercised</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(5,044,409)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7.69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Cancelled</w:t>
            </w: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(281,008)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17.66</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December 31, 2016</w:t>
            </w:r>
            <w:r>
              <w:rPr>
                <w:rFonts w:ascii="Arial" w:cs="Arial" w:eastAsia="Arial" w:hAnsi="Arial"/>
                <w:sz w:val="19"/>
                <w:szCs w:val="19"/>
                <w:color w:val="auto"/>
                <w:vertAlign w:val="superscript"/>
              </w:rPr>
              <w:t>(2)</w:t>
            </w:r>
          </w:p>
        </w:tc>
        <w:tc>
          <w:tcPr>
            <w:tcW w:w="12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5,815,879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5"/>
                <w:szCs w:val="15"/>
                <w:color w:val="auto"/>
              </w:rPr>
              <w:t>45,199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20" w:type="dxa"/>
            <w:vAlign w:val="bottom"/>
          </w:tcPr>
          <w:p>
            <w:pPr>
              <w:ind w:left="20"/>
              <w:spacing w:after="0"/>
              <w:rPr>
                <w:sz w:val="20"/>
                <w:szCs w:val="20"/>
                <w:color w:val="auto"/>
              </w:rPr>
            </w:pPr>
            <w:r>
              <w:rPr>
                <w:rFonts w:ascii="Arial" w:cs="Arial" w:eastAsia="Arial" w:hAnsi="Arial"/>
                <w:sz w:val="15"/>
                <w:szCs w:val="15"/>
                <w:color w:val="auto"/>
              </w:rPr>
              <w:t>Vested and exercisable at December 31, 2016</w:t>
            </w:r>
          </w:p>
        </w:tc>
        <w:tc>
          <w:tcPr>
            <w:tcW w:w="128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3,100,324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13.00</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5"/>
                <w:szCs w:val="15"/>
                <w:color w:val="auto"/>
              </w:rPr>
              <w:t>37,046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0"/>
                <w:szCs w:val="10"/>
                <w:color w:val="auto"/>
              </w:rPr>
              <w:t>______________________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572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02" w:right="240" w:hanging="302"/>
        <w:spacing w:after="0" w:line="238" w:lineRule="auto"/>
        <w:tabs>
          <w:tab w:leader="none" w:pos="302" w:val="left"/>
        </w:tabs>
        <w:numPr>
          <w:ilvl w:val="0"/>
          <w:numId w:val="34"/>
        </w:numPr>
        <w:rPr>
          <w:rFonts w:ascii="Arial" w:cs="Arial" w:eastAsia="Arial" w:hAnsi="Arial"/>
          <w:sz w:val="15"/>
          <w:szCs w:val="15"/>
          <w:color w:val="auto"/>
        </w:rPr>
      </w:pPr>
      <w:r>
        <w:rPr>
          <w:rFonts w:ascii="Arial" w:cs="Arial" w:eastAsia="Arial" w:hAnsi="Arial"/>
          <w:sz w:val="15"/>
          <w:szCs w:val="15"/>
          <w:color w:val="auto"/>
        </w:rPr>
        <w:t>Aggregate intrinsic value is calculated as the difference between the exercise price of the underlying stock options awards and the closing price of our common stock of $24.95 on December 31, 2016.</w:t>
      </w:r>
    </w:p>
    <w:p>
      <w:pPr>
        <w:spacing w:after="0" w:line="1" w:lineRule="exact"/>
        <w:rPr>
          <w:rFonts w:ascii="Arial" w:cs="Arial" w:eastAsia="Arial" w:hAnsi="Arial"/>
          <w:sz w:val="15"/>
          <w:szCs w:val="15"/>
          <w:color w:val="auto"/>
        </w:rPr>
      </w:pPr>
    </w:p>
    <w:p>
      <w:pPr>
        <w:ind w:left="302" w:hanging="302"/>
        <w:spacing w:after="0" w:line="280" w:lineRule="auto"/>
        <w:tabs>
          <w:tab w:leader="none" w:pos="302"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performance-based stock options granted in 2008 under the Sovereign MEIP. The vesting of these performance-based stock options was contingent upon a liquidity event which occurred in the first quarter of 2015. As a result of the liquidity event, we recognized expense of $3 million during the year ended December 31, 2015.</w:t>
      </w:r>
    </w:p>
    <w:p>
      <w:pPr>
        <w:spacing w:after="0" w:line="164" w:lineRule="exact"/>
        <w:rPr>
          <w:sz w:val="20"/>
          <w:szCs w:val="20"/>
          <w:color w:val="auto"/>
        </w:rPr>
      </w:pPr>
    </w:p>
    <w:p>
      <w:pPr>
        <w:jc w:val="both"/>
        <w:ind w:left="2" w:firstLine="454"/>
        <w:spacing w:after="0" w:line="241" w:lineRule="auto"/>
        <w:rPr>
          <w:sz w:val="20"/>
          <w:szCs w:val="20"/>
          <w:color w:val="auto"/>
        </w:rPr>
      </w:pPr>
      <w:r>
        <w:rPr>
          <w:rFonts w:ascii="Arial" w:cs="Arial" w:eastAsia="Arial" w:hAnsi="Arial"/>
          <w:sz w:val="15"/>
          <w:szCs w:val="15"/>
          <w:color w:val="auto"/>
        </w:rPr>
        <w:t>For the years ended December 31, 2016, 2015 and 2014, the total intrinsic value of stock options exercised totaled $97 million, $199 million and $53 million, respectively. The weighted-average fair values of options grants were $5.45, $5.50, and $4.65 during the years ended December 31, 2016, 2015 and 2014, respectively. As of December 31, 2016, we have $12 million in unrecognized compensation expense associated with stock options that will be recognized over a weighted-average period of 2.4 years.</w:t>
      </w:r>
    </w:p>
    <w:p>
      <w:pPr>
        <w:spacing w:after="0" w:line="203" w:lineRule="exact"/>
        <w:rPr>
          <w:sz w:val="20"/>
          <w:szCs w:val="20"/>
          <w:color w:val="auto"/>
        </w:rPr>
      </w:pPr>
    </w:p>
    <w:p>
      <w:pPr>
        <w:ind w:left="462"/>
        <w:spacing w:after="0"/>
        <w:rPr>
          <w:sz w:val="20"/>
          <w:szCs w:val="20"/>
          <w:color w:val="auto"/>
        </w:rPr>
      </w:pPr>
      <w:r>
        <w:rPr>
          <w:rFonts w:ascii="Arial" w:cs="Arial" w:eastAsia="Arial" w:hAnsi="Arial"/>
          <w:sz w:val="15"/>
          <w:szCs w:val="15"/>
          <w:color w:val="auto"/>
        </w:rPr>
        <w:t>The following table summarizes the activities for our RSUs for the year ended December 31, 2016.</w:t>
      </w:r>
    </w:p>
    <w:p>
      <w:pPr>
        <w:spacing w:after="0" w:line="232"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80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center"/>
              <w:ind w:right="153"/>
              <w:spacing w:after="0"/>
              <w:rPr>
                <w:sz w:val="20"/>
                <w:szCs w:val="20"/>
                <w:color w:val="auto"/>
              </w:rPr>
            </w:pPr>
            <w:r>
              <w:rPr>
                <w:rFonts w:ascii="Arial" w:cs="Arial" w:eastAsia="Arial" w:hAnsi="Arial"/>
                <w:sz w:val="11"/>
                <w:szCs w:val="11"/>
                <w:b w:val="1"/>
                <w:bCs w:val="1"/>
                <w:color w:val="auto"/>
              </w:rPr>
              <w:t>Weighted-Average</w:t>
            </w:r>
          </w:p>
        </w:tc>
      </w:tr>
      <w:tr>
        <w:trPr>
          <w:trHeight w:val="123"/>
        </w:trPr>
        <w:tc>
          <w:tcPr>
            <w:tcW w:w="80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center"/>
              <w:ind w:right="173"/>
              <w:spacing w:after="0" w:line="123" w:lineRule="exact"/>
              <w:rPr>
                <w:sz w:val="20"/>
                <w:szCs w:val="20"/>
                <w:color w:val="auto"/>
              </w:rPr>
            </w:pPr>
            <w:r>
              <w:rPr>
                <w:rFonts w:ascii="Arial" w:cs="Arial" w:eastAsia="Arial" w:hAnsi="Arial"/>
                <w:sz w:val="11"/>
                <w:szCs w:val="11"/>
                <w:b w:val="1"/>
                <w:bCs w:val="1"/>
                <w:color w:val="auto"/>
              </w:rPr>
              <w:t>Grant Date</w:t>
            </w:r>
          </w:p>
        </w:tc>
      </w:tr>
      <w:tr>
        <w:trPr>
          <w:trHeight w:val="159"/>
        </w:trPr>
        <w:tc>
          <w:tcPr>
            <w:tcW w:w="8000" w:type="dxa"/>
            <w:vAlign w:val="bottom"/>
          </w:tcPr>
          <w:p>
            <w:pPr>
              <w:spacing w:after="0"/>
              <w:rPr>
                <w:sz w:val="13"/>
                <w:szCs w:val="13"/>
                <w:color w:val="auto"/>
              </w:rPr>
            </w:pPr>
          </w:p>
        </w:tc>
        <w:tc>
          <w:tcPr>
            <w:tcW w:w="1720" w:type="dxa"/>
            <w:vAlign w:val="bottom"/>
            <w:gridSpan w:val="2"/>
          </w:tcPr>
          <w:p>
            <w:pPr>
              <w:ind w:left="580"/>
              <w:spacing w:after="0"/>
              <w:rPr>
                <w:sz w:val="20"/>
                <w:szCs w:val="20"/>
                <w:color w:val="auto"/>
              </w:rPr>
            </w:pPr>
            <w:r>
              <w:rPr>
                <w:rFonts w:ascii="Arial" w:cs="Arial" w:eastAsia="Arial" w:hAnsi="Arial"/>
                <w:sz w:val="11"/>
                <w:szCs w:val="11"/>
                <w:b w:val="1"/>
                <w:bCs w:val="1"/>
                <w:color w:val="auto"/>
              </w:rPr>
              <w:t>Quantity</w:t>
            </w:r>
          </w:p>
        </w:tc>
        <w:tc>
          <w:tcPr>
            <w:tcW w:w="240" w:type="dxa"/>
            <w:vAlign w:val="bottom"/>
          </w:tcPr>
          <w:p>
            <w:pPr>
              <w:spacing w:after="0"/>
              <w:rPr>
                <w:sz w:val="13"/>
                <w:szCs w:val="13"/>
                <w:color w:val="auto"/>
              </w:rPr>
            </w:pPr>
          </w:p>
        </w:tc>
        <w:tc>
          <w:tcPr>
            <w:tcW w:w="1460" w:type="dxa"/>
            <w:vAlign w:val="bottom"/>
          </w:tcPr>
          <w:p>
            <w:pPr>
              <w:jc w:val="center"/>
              <w:ind w:right="173"/>
              <w:spacing w:after="0"/>
              <w:rPr>
                <w:sz w:val="20"/>
                <w:szCs w:val="20"/>
                <w:color w:val="auto"/>
              </w:rPr>
            </w:pPr>
            <w:r>
              <w:rPr>
                <w:rFonts w:ascii="Arial" w:cs="Arial" w:eastAsia="Arial" w:hAnsi="Arial"/>
                <w:sz w:val="11"/>
                <w:szCs w:val="11"/>
                <w:b w:val="1"/>
                <w:bCs w:val="1"/>
                <w:color w:val="auto"/>
              </w:rPr>
              <w:t>Fair Value</w:t>
            </w:r>
          </w:p>
        </w:tc>
      </w:tr>
      <w:tr>
        <w:trPr>
          <w:trHeight w:val="23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at December 31, 2015</w:t>
            </w:r>
          </w:p>
        </w:tc>
        <w:tc>
          <w:tcPr>
            <w:tcW w:w="16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1,897,951</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4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rPr>
              <w:t>19.58</w:t>
            </w:r>
          </w:p>
        </w:tc>
      </w:tr>
      <w:tr>
        <w:trPr>
          <w:trHeight w:val="237"/>
        </w:trPr>
        <w:tc>
          <w:tcPr>
            <w:tcW w:w="8000" w:type="dxa"/>
            <w:vAlign w:val="bottom"/>
          </w:tcPr>
          <w:p>
            <w:pPr>
              <w:ind w:left="140"/>
              <w:spacing w:after="0"/>
              <w:rPr>
                <w:sz w:val="20"/>
                <w:szCs w:val="20"/>
                <w:color w:val="auto"/>
              </w:rPr>
            </w:pPr>
            <w:r>
              <w:rPr>
                <w:rFonts w:ascii="Arial" w:cs="Arial" w:eastAsia="Arial" w:hAnsi="Arial"/>
                <w:sz w:val="15"/>
                <w:szCs w:val="15"/>
                <w:color w:val="auto"/>
              </w:rPr>
              <w:t>Granted</w:t>
            </w:r>
          </w:p>
        </w:tc>
        <w:tc>
          <w:tcPr>
            <w:tcW w:w="1620" w:type="dxa"/>
            <w:vAlign w:val="bottom"/>
          </w:tcPr>
          <w:p>
            <w:pPr>
              <w:jc w:val="right"/>
              <w:ind w:right="49"/>
              <w:spacing w:after="0"/>
              <w:rPr>
                <w:sz w:val="20"/>
                <w:szCs w:val="20"/>
                <w:color w:val="auto"/>
              </w:rPr>
            </w:pPr>
            <w:r>
              <w:rPr>
                <w:rFonts w:ascii="Arial" w:cs="Arial" w:eastAsia="Arial" w:hAnsi="Arial"/>
                <w:sz w:val="15"/>
                <w:szCs w:val="15"/>
                <w:color w:val="auto"/>
              </w:rPr>
              <w:t>2,775,567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5"/>
                <w:szCs w:val="15"/>
                <w:color w:val="auto"/>
              </w:rPr>
              <w:t>27.28</w:t>
            </w:r>
          </w:p>
        </w:tc>
      </w:tr>
      <w:tr>
        <w:trPr>
          <w:trHeight w:val="254"/>
        </w:trPr>
        <w:tc>
          <w:tcPr>
            <w:tcW w:w="8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(609,802)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19.16</w:t>
            </w:r>
          </w:p>
        </w:tc>
      </w:tr>
      <w:tr>
        <w:trPr>
          <w:trHeight w:val="238"/>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Cancelled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(217,385)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22.35</w:t>
            </w:r>
          </w:p>
        </w:tc>
      </w:tr>
      <w:tr>
        <w:trPr>
          <w:trHeight w:val="21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at December 31, 2016</w:t>
            </w:r>
          </w:p>
        </w:tc>
        <w:tc>
          <w:tcPr>
            <w:tcW w:w="1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3,846,331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rPr>
              <w:t>25.05</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2" w:firstLine="454"/>
        <w:spacing w:after="0" w:line="242" w:lineRule="auto"/>
        <w:rPr>
          <w:sz w:val="20"/>
          <w:szCs w:val="20"/>
          <w:color w:val="auto"/>
        </w:rPr>
      </w:pPr>
      <w:r>
        <w:rPr>
          <w:rFonts w:ascii="Arial" w:cs="Arial" w:eastAsia="Arial" w:hAnsi="Arial"/>
          <w:sz w:val="15"/>
          <w:szCs w:val="15"/>
          <w:color w:val="auto"/>
        </w:rPr>
        <w:t>The total fair value of RSUs vested, as of their respective vesting dates, was $17 million, $10 million, and $3 million during the years ended December 31, 2016, 2015 and 2014, respectively. As of December 31, 2016, we have approximately $77 million in unrecognized compensation expense associated with RSUs that will be recognized over a weighted average period of 3.0 years.</w:t>
      </w:r>
    </w:p>
    <w:p>
      <w:pPr>
        <w:spacing w:after="0" w:line="202" w:lineRule="exact"/>
        <w:rPr>
          <w:sz w:val="20"/>
          <w:szCs w:val="20"/>
          <w:color w:val="auto"/>
        </w:rPr>
      </w:pPr>
    </w:p>
    <w:p>
      <w:pPr>
        <w:ind w:left="462"/>
        <w:spacing w:after="0"/>
        <w:rPr>
          <w:sz w:val="20"/>
          <w:szCs w:val="20"/>
          <w:color w:val="auto"/>
        </w:rPr>
      </w:pPr>
      <w:r>
        <w:rPr>
          <w:rFonts w:ascii="Arial" w:cs="Arial" w:eastAsia="Arial" w:hAnsi="Arial"/>
          <w:sz w:val="15"/>
          <w:szCs w:val="15"/>
          <w:color w:val="auto"/>
        </w:rPr>
        <w:t>The following table summarizes the activities for our PSUs for the year ended December 31, 2016.</w:t>
      </w:r>
    </w:p>
    <w:p>
      <w:pPr>
        <w:spacing w:after="0" w:line="232"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80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center"/>
              <w:ind w:right="153"/>
              <w:spacing w:after="0"/>
              <w:rPr>
                <w:sz w:val="20"/>
                <w:szCs w:val="20"/>
                <w:color w:val="auto"/>
              </w:rPr>
            </w:pPr>
            <w:r>
              <w:rPr>
                <w:rFonts w:ascii="Arial" w:cs="Arial" w:eastAsia="Arial" w:hAnsi="Arial"/>
                <w:sz w:val="11"/>
                <w:szCs w:val="11"/>
                <w:b w:val="1"/>
                <w:bCs w:val="1"/>
                <w:color w:val="auto"/>
              </w:rPr>
              <w:t>Weighted-Average</w:t>
            </w:r>
          </w:p>
        </w:tc>
      </w:tr>
      <w:tr>
        <w:trPr>
          <w:trHeight w:val="123"/>
        </w:trPr>
        <w:tc>
          <w:tcPr>
            <w:tcW w:w="80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center"/>
              <w:ind w:right="173"/>
              <w:spacing w:after="0" w:line="123" w:lineRule="exact"/>
              <w:rPr>
                <w:sz w:val="20"/>
                <w:szCs w:val="20"/>
                <w:color w:val="auto"/>
              </w:rPr>
            </w:pPr>
            <w:r>
              <w:rPr>
                <w:rFonts w:ascii="Arial" w:cs="Arial" w:eastAsia="Arial" w:hAnsi="Arial"/>
                <w:sz w:val="11"/>
                <w:szCs w:val="11"/>
                <w:b w:val="1"/>
                <w:bCs w:val="1"/>
                <w:color w:val="auto"/>
              </w:rPr>
              <w:t>Grant Date</w:t>
            </w:r>
          </w:p>
        </w:tc>
      </w:tr>
      <w:tr>
        <w:trPr>
          <w:trHeight w:val="159"/>
        </w:trPr>
        <w:tc>
          <w:tcPr>
            <w:tcW w:w="8000" w:type="dxa"/>
            <w:vAlign w:val="bottom"/>
          </w:tcPr>
          <w:p>
            <w:pPr>
              <w:spacing w:after="0"/>
              <w:rPr>
                <w:sz w:val="13"/>
                <w:szCs w:val="13"/>
                <w:color w:val="auto"/>
              </w:rPr>
            </w:pPr>
          </w:p>
        </w:tc>
        <w:tc>
          <w:tcPr>
            <w:tcW w:w="1720" w:type="dxa"/>
            <w:vAlign w:val="bottom"/>
            <w:gridSpan w:val="2"/>
          </w:tcPr>
          <w:p>
            <w:pPr>
              <w:ind w:left="580"/>
              <w:spacing w:after="0"/>
              <w:rPr>
                <w:sz w:val="20"/>
                <w:szCs w:val="20"/>
                <w:color w:val="auto"/>
              </w:rPr>
            </w:pPr>
            <w:r>
              <w:rPr>
                <w:rFonts w:ascii="Arial" w:cs="Arial" w:eastAsia="Arial" w:hAnsi="Arial"/>
                <w:sz w:val="11"/>
                <w:szCs w:val="11"/>
                <w:b w:val="1"/>
                <w:bCs w:val="1"/>
                <w:color w:val="auto"/>
              </w:rPr>
              <w:t>Quantity</w:t>
            </w:r>
          </w:p>
        </w:tc>
        <w:tc>
          <w:tcPr>
            <w:tcW w:w="240" w:type="dxa"/>
            <w:vAlign w:val="bottom"/>
          </w:tcPr>
          <w:p>
            <w:pPr>
              <w:spacing w:after="0"/>
              <w:rPr>
                <w:sz w:val="13"/>
                <w:szCs w:val="13"/>
                <w:color w:val="auto"/>
              </w:rPr>
            </w:pPr>
          </w:p>
        </w:tc>
        <w:tc>
          <w:tcPr>
            <w:tcW w:w="1460" w:type="dxa"/>
            <w:vAlign w:val="bottom"/>
          </w:tcPr>
          <w:p>
            <w:pPr>
              <w:jc w:val="center"/>
              <w:ind w:right="173"/>
              <w:spacing w:after="0"/>
              <w:rPr>
                <w:sz w:val="20"/>
                <w:szCs w:val="20"/>
                <w:color w:val="auto"/>
              </w:rPr>
            </w:pPr>
            <w:r>
              <w:rPr>
                <w:rFonts w:ascii="Arial" w:cs="Arial" w:eastAsia="Arial" w:hAnsi="Arial"/>
                <w:sz w:val="11"/>
                <w:szCs w:val="11"/>
                <w:b w:val="1"/>
                <w:bCs w:val="1"/>
                <w:color w:val="auto"/>
              </w:rPr>
              <w:t>Fair Value</w:t>
            </w:r>
          </w:p>
        </w:tc>
      </w:tr>
      <w:tr>
        <w:trPr>
          <w:trHeight w:val="23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at December 31, 2015</w:t>
            </w:r>
          </w:p>
        </w:tc>
        <w:tc>
          <w:tcPr>
            <w:tcW w:w="16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2,119,916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4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rPr>
              <w:t>17.63</w:t>
            </w:r>
          </w:p>
        </w:tc>
      </w:tr>
      <w:tr>
        <w:trPr>
          <w:trHeight w:val="237"/>
        </w:trPr>
        <w:tc>
          <w:tcPr>
            <w:tcW w:w="8000" w:type="dxa"/>
            <w:vAlign w:val="bottom"/>
          </w:tcPr>
          <w:p>
            <w:pPr>
              <w:ind w:left="140"/>
              <w:spacing w:after="0"/>
              <w:rPr>
                <w:sz w:val="20"/>
                <w:szCs w:val="20"/>
                <w:color w:val="auto"/>
              </w:rPr>
            </w:pPr>
            <w:r>
              <w:rPr>
                <w:rFonts w:ascii="Arial" w:cs="Arial" w:eastAsia="Arial" w:hAnsi="Arial"/>
                <w:sz w:val="15"/>
                <w:szCs w:val="15"/>
                <w:color w:val="auto"/>
              </w:rPr>
              <w:t>Granted</w:t>
            </w:r>
          </w:p>
        </w:tc>
        <w:tc>
          <w:tcPr>
            <w:tcW w:w="1620" w:type="dxa"/>
            <w:vAlign w:val="bottom"/>
          </w:tcPr>
          <w:p>
            <w:pPr>
              <w:jc w:val="right"/>
              <w:ind w:right="49"/>
              <w:spacing w:after="0"/>
              <w:rPr>
                <w:sz w:val="20"/>
                <w:szCs w:val="20"/>
                <w:color w:val="auto"/>
              </w:rPr>
            </w:pPr>
            <w:r>
              <w:rPr>
                <w:rFonts w:ascii="Arial" w:cs="Arial" w:eastAsia="Arial" w:hAnsi="Arial"/>
                <w:sz w:val="15"/>
                <w:szCs w:val="15"/>
                <w:color w:val="auto"/>
              </w:rPr>
              <w:t>826,478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5"/>
                <w:szCs w:val="15"/>
                <w:color w:val="auto"/>
              </w:rPr>
              <w:t>27.79</w:t>
            </w:r>
          </w:p>
        </w:tc>
      </w:tr>
      <w:tr>
        <w:trPr>
          <w:trHeight w:val="254"/>
        </w:trPr>
        <w:tc>
          <w:tcPr>
            <w:tcW w:w="8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(724,741)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16.23</w:t>
            </w:r>
          </w:p>
        </w:tc>
      </w:tr>
      <w:tr>
        <w:trPr>
          <w:trHeight w:val="238"/>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Cancelled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(129,498)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5"/>
                <w:szCs w:val="15"/>
                <w:color w:val="auto"/>
              </w:rPr>
              <w:t>20.50</w:t>
            </w:r>
          </w:p>
        </w:tc>
      </w:tr>
      <w:tr>
        <w:trPr>
          <w:trHeight w:val="21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at December 31, 2016</w:t>
            </w:r>
          </w:p>
        </w:tc>
        <w:tc>
          <w:tcPr>
            <w:tcW w:w="1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2,092,155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rPr>
              <w:t>21.94</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2" w:firstLine="454"/>
        <w:spacing w:after="0" w:line="241" w:lineRule="auto"/>
        <w:rPr>
          <w:sz w:val="20"/>
          <w:szCs w:val="20"/>
          <w:color w:val="auto"/>
        </w:rPr>
      </w:pPr>
      <w:r>
        <w:rPr>
          <w:rFonts w:ascii="Arial" w:cs="Arial" w:eastAsia="Arial" w:hAnsi="Arial"/>
          <w:sz w:val="15"/>
          <w:szCs w:val="15"/>
          <w:color w:val="auto"/>
        </w:rPr>
        <w:t>The total fair value of PSUs vested, as of their respective vesting dates, was $20 million, $11 million and $6 million during the years ended December 31, 2016, 2015 and 2014, respectively. The recognition of compensation expense associated with PSUs is contingent upon the achievement of annual company-based performance measures. As of December 31, 2016, we had unrecognized compensation expense associated with PSUs of $13 million, $11 million and $6 million for the annual measurement periods ending December 31, 2017, 2018 and 2019, respectively.</w:t>
      </w:r>
    </w:p>
    <w:p>
      <w:pPr>
        <w:spacing w:after="0" w:line="174" w:lineRule="exact"/>
        <w:rPr>
          <w:sz w:val="20"/>
          <w:szCs w:val="20"/>
          <w:color w:val="auto"/>
        </w:rPr>
      </w:pPr>
    </w:p>
    <w:p>
      <w:pPr>
        <w:jc w:val="both"/>
        <w:ind w:left="2" w:firstLine="441"/>
        <w:spacing w:after="0" w:line="280" w:lineRule="auto"/>
        <w:rPr>
          <w:sz w:val="20"/>
          <w:szCs w:val="20"/>
          <w:color w:val="auto"/>
        </w:rPr>
      </w:pPr>
      <w:r>
        <w:rPr>
          <w:rFonts w:ascii="Arial" w:cs="Arial" w:eastAsia="Arial" w:hAnsi="Arial"/>
          <w:sz w:val="14"/>
          <w:szCs w:val="14"/>
          <w:i w:val="1"/>
          <w:iCs w:val="1"/>
          <w:color w:val="auto"/>
        </w:rPr>
        <w:t>Cancelled Travelocity Plans</w:t>
      </w:r>
      <w:r>
        <w:rPr>
          <w:rFonts w:ascii="Arial" w:cs="Arial" w:eastAsia="Arial" w:hAnsi="Arial"/>
          <w:sz w:val="14"/>
          <w:szCs w:val="14"/>
          <w:color w:val="auto"/>
        </w:rPr>
        <w:t>—During the years 2010 through 2012, we adopted various equity-based compensation plans associated with the equity of Travelocity.com</w:t>
      </w:r>
      <w:r>
        <w:rPr>
          <w:rFonts w:ascii="Arial" w:cs="Arial" w:eastAsia="Arial" w:hAnsi="Arial"/>
          <w:sz w:val="14"/>
          <w:szCs w:val="14"/>
          <w:i w:val="1"/>
          <w:iCs w:val="1"/>
          <w:color w:val="auto"/>
        </w:rPr>
        <w:t xml:space="preserve"> </w:t>
      </w:r>
      <w:r>
        <w:rPr>
          <w:rFonts w:ascii="Arial" w:cs="Arial" w:eastAsia="Arial" w:hAnsi="Arial"/>
          <w:sz w:val="14"/>
          <w:szCs w:val="14"/>
          <w:color w:val="auto"/>
        </w:rPr>
        <w:t>LLC, a subsidiary related to our discontinued Travelocity segment. Under these plans, time-based stock options and stock appreciation rights (“SARs”) were granted to certain key employees of the discontinued Travelocity segment. There were 1,484,530 and 18,119,884 of time-based stock options and SARs, respectively, outstanding under</w:t>
      </w:r>
    </w:p>
    <w:p>
      <w:pPr>
        <w:spacing w:after="0" w:line="188"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422"/>
          </w:cols>
          <w:pgMar w:left="238" w:top="754" w:right="239" w:bottom="1440" w:gutter="0" w:footer="0" w:header="0"/>
        </w:sectPr>
      </w:pPr>
    </w:p>
    <w:bookmarkStart w:id="93" w:name="page94"/>
    <w:bookmarkEnd w:id="93"/>
    <w:p>
      <w:pPr>
        <w:jc w:val="both"/>
        <w:spacing w:after="0" w:line="245" w:lineRule="auto"/>
        <w:rPr>
          <w:sz w:val="20"/>
          <w:szCs w:val="20"/>
          <w:color w:val="auto"/>
        </w:rPr>
      </w:pPr>
      <w:r>
        <w:rPr>
          <w:rFonts w:ascii="Arial" w:cs="Arial" w:eastAsia="Arial" w:hAnsi="Arial"/>
          <w:sz w:val="15"/>
          <w:szCs w:val="15"/>
          <w:color w:val="auto"/>
        </w:rPr>
        <w:t>these plans as of December 31, 2013, all of which were cancelled in the second quarter of 2014. We recognized $7 million of expense at the cancellation date, representing the remaining unrecognized compensation expense of the awards, which is included in net income (loss) from discontinued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Earnings Per Share</w:t>
      </w:r>
    </w:p>
    <w:p>
      <w:pPr>
        <w:spacing w:after="0" w:line="115" w:lineRule="exact"/>
        <w:rPr>
          <w:sz w:val="20"/>
          <w:szCs w:val="20"/>
          <w:color w:val="auto"/>
        </w:rPr>
      </w:pPr>
    </w:p>
    <w:p>
      <w:pPr>
        <w:jc w:val="both"/>
        <w:ind w:right="20" w:firstLine="454"/>
        <w:spacing w:after="0" w:line="245" w:lineRule="auto"/>
        <w:rPr>
          <w:sz w:val="20"/>
          <w:szCs w:val="20"/>
          <w:color w:val="auto"/>
        </w:rPr>
      </w:pPr>
      <w:r>
        <w:rPr>
          <w:rFonts w:ascii="Arial" w:cs="Arial" w:eastAsia="Arial" w:hAnsi="Arial"/>
          <w:sz w:val="15"/>
          <w:szCs w:val="15"/>
          <w:color w:val="auto"/>
        </w:rPr>
        <w:t>The following table reconciles the numerators and denominators used in the computations of basic and diluted earnings per share from continuing operations (in thousands, expect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Numerator:</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Income from continuing operations</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241,390</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234,555</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8"/>
              <w:spacing w:after="0"/>
              <w:rPr>
                <w:sz w:val="20"/>
                <w:szCs w:val="20"/>
                <w:color w:val="auto"/>
              </w:rPr>
            </w:pPr>
            <w:r>
              <w:rPr>
                <w:rFonts w:ascii="Arial" w:cs="Arial" w:eastAsia="Arial" w:hAnsi="Arial"/>
                <w:sz w:val="15"/>
                <w:szCs w:val="15"/>
                <w:color w:val="auto"/>
              </w:rPr>
              <w:t>110,873</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 attributable to noncontrolling interests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4,377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3,481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2,732</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Preferred stock dividends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11,381</w:t>
            </w: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 from continuing operations available to common stockholders, basic and diluted</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237,013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231,074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96,760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Denominator: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Basic weighted-average common shares outstanding</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277,546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273,139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238,633</w:t>
            </w: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Dilutive effect of stock options and restricted stock awards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5,206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6,928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8,114</w:t>
            </w: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Diluted weighted-average common shares outstanding</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282,752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280,067</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246,747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5"/>
                <w:szCs w:val="15"/>
                <w:color w:val="auto"/>
              </w:rPr>
              <w:t>Basic earnings per share</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0.85</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0.85</w:t>
            </w:r>
          </w:p>
        </w:tc>
        <w:tc>
          <w:tcPr>
            <w:tcW w:w="100" w:type="dxa"/>
            <w:vAlign w:val="bottom"/>
          </w:tcPr>
          <w:p>
            <w:pPr>
              <w:spacing w:after="0"/>
              <w:rPr>
                <w:sz w:val="18"/>
                <w:szCs w:val="18"/>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8"/>
              <w:spacing w:after="0"/>
              <w:rPr>
                <w:sz w:val="20"/>
                <w:szCs w:val="20"/>
                <w:color w:val="auto"/>
              </w:rPr>
            </w:pPr>
            <w:r>
              <w:rPr>
                <w:rFonts w:ascii="Arial" w:cs="Arial" w:eastAsia="Arial" w:hAnsi="Arial"/>
                <w:sz w:val="15"/>
                <w:szCs w:val="15"/>
                <w:color w:val="auto"/>
              </w:rPr>
              <w:t>0.41</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earnings per share</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0.84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0.83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firstLine="454"/>
        <w:spacing w:after="0" w:line="270" w:lineRule="auto"/>
        <w:rPr>
          <w:sz w:val="20"/>
          <w:szCs w:val="20"/>
          <w:color w:val="auto"/>
        </w:rPr>
      </w:pPr>
      <w:r>
        <w:rPr>
          <w:rFonts w:ascii="Arial" w:cs="Arial" w:eastAsia="Arial" w:hAnsi="Arial"/>
          <w:sz w:val="15"/>
          <w:szCs w:val="15"/>
          <w:color w:val="auto"/>
        </w:rPr>
        <w:t>Basic earnings per share are based on the weighted-average number of common shares outstanding during each period. Diluted earnings per share are based on the weighted-average number of common shares outstanding plus the effect of all dilutive common stock equivalents during each period. The calculation of diluted weighted-average shares excludes the impact of 1 million common stock equivalents for each of the years ended December 31, 2016</w:t>
      </w:r>
      <w:r>
        <w:rPr>
          <w:rFonts w:ascii="Arial" w:cs="Arial" w:eastAsia="Arial" w:hAnsi="Arial"/>
          <w:sz w:val="16"/>
          <w:szCs w:val="16"/>
          <w:color w:val="auto"/>
        </w:rPr>
        <w:t>,</w:t>
      </w:r>
      <w:r>
        <w:rPr>
          <w:rFonts w:ascii="Arial" w:cs="Arial" w:eastAsia="Arial" w:hAnsi="Arial"/>
          <w:sz w:val="15"/>
          <w:szCs w:val="15"/>
          <w:color w:val="auto"/>
        </w:rPr>
        <w:t xml:space="preserve"> 2015 and 2014.</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Pension and Other Postretirement Benefit Plans</w:t>
      </w:r>
    </w:p>
    <w:p>
      <w:pPr>
        <w:spacing w:after="0" w:line="115" w:lineRule="exact"/>
        <w:rPr>
          <w:sz w:val="20"/>
          <w:szCs w:val="20"/>
          <w:color w:val="auto"/>
        </w:rPr>
      </w:pPr>
    </w:p>
    <w:p>
      <w:pPr>
        <w:jc w:val="both"/>
        <w:ind w:right="20" w:firstLine="454"/>
        <w:spacing w:after="0" w:line="241" w:lineRule="auto"/>
        <w:rPr>
          <w:sz w:val="20"/>
          <w:szCs w:val="20"/>
          <w:color w:val="auto"/>
        </w:rPr>
      </w:pPr>
      <w:r>
        <w:rPr>
          <w:rFonts w:ascii="Arial" w:cs="Arial" w:eastAsia="Arial" w:hAnsi="Arial"/>
          <w:sz w:val="15"/>
          <w:szCs w:val="15"/>
          <w:color w:val="auto"/>
        </w:rPr>
        <w:t>We sponsor the Sabre Inc. 401(k) Savings Plan (“401(k) Plan”), which is a tax qualified defined contribution plan that allows tax deferred savings by eligible employees to provide funds for their retirement. We make a matching contribution equal to 100% of each pre-tax dollar contributed by the participant on the first 6% of eligible compensation. We recognized expenses related to the 401(k) Plan of $23 million, $20 million and $18 million for the years ended December 31, 2016, 2015 and 2014, respectively.</w:t>
      </w:r>
    </w:p>
    <w:p>
      <w:pPr>
        <w:spacing w:after="0" w:line="190"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We sponsor the Sabre Inc. Legacy Pension Plan (“LPP”), which is a tax qualified defined benefit pension plan for employees meeting certain eligibility requirements. The LPP was amended to freeze pension benefit accruals as of December 31, 2005, and as a result, no additional pension benefits have been accrued since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postretirement benefit plans for certain employees in Canada and Hong Kong.</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440"/>
          </w:cols>
          <w:pgMar w:left="240" w:top="754" w:right="219" w:bottom="1440" w:gutter="0" w:footer="0" w:header="0"/>
        </w:sectPr>
      </w:pPr>
    </w:p>
    <w:bookmarkStart w:id="94" w:name="page95"/>
    <w:bookmarkEnd w:id="94"/>
    <w:p>
      <w:pPr>
        <w:ind w:firstLine="454"/>
        <w:spacing w:after="0" w:line="245" w:lineRule="auto"/>
        <w:rPr>
          <w:sz w:val="20"/>
          <w:szCs w:val="20"/>
          <w:color w:val="auto"/>
        </w:rPr>
      </w:pPr>
      <w:r>
        <w:rPr>
          <w:rFonts w:ascii="Arial" w:cs="Arial" w:eastAsia="Arial" w:hAnsi="Arial"/>
          <w:sz w:val="15"/>
          <w:szCs w:val="15"/>
          <w:color w:val="auto"/>
        </w:rPr>
        <w:t>The following tables provide a reconciliation of the changes in the LPP’s benefit obligations and fair value of assets during the years ended December 31, 2016 and 2015, and the unfunded status as of December 31, 2016 and 2015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238"/>
        </w:trPr>
        <w:tc>
          <w:tcPr>
            <w:tcW w:w="8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09"/>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88"/>
              <w:spacing w:after="0"/>
              <w:rPr>
                <w:sz w:val="20"/>
                <w:szCs w:val="20"/>
                <w:color w:val="auto"/>
              </w:rPr>
            </w:pPr>
            <w:r>
              <w:rPr>
                <w:rFonts w:ascii="Arial" w:cs="Arial" w:eastAsia="Arial" w:hAnsi="Arial"/>
                <w:sz w:val="11"/>
                <w:szCs w:val="11"/>
                <w:b w:val="1"/>
                <w:bCs w:val="1"/>
                <w:color w:val="auto"/>
                <w:w w:val="97"/>
              </w:rPr>
              <w:t>2015</w:t>
            </w:r>
          </w:p>
        </w:tc>
      </w:tr>
      <w:tr>
        <w:trPr>
          <w:trHeight w:val="21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 in benefit obligation:</w:t>
            </w:r>
          </w:p>
        </w:tc>
        <w:tc>
          <w:tcPr>
            <w:tcW w:w="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37"/>
        </w:trPr>
        <w:tc>
          <w:tcPr>
            <w:tcW w:w="8120" w:type="dxa"/>
            <w:vAlign w:val="bottom"/>
          </w:tcPr>
          <w:p>
            <w:pPr>
              <w:ind w:left="160"/>
              <w:spacing w:after="0"/>
              <w:rPr>
                <w:sz w:val="20"/>
                <w:szCs w:val="20"/>
                <w:color w:val="auto"/>
              </w:rPr>
            </w:pPr>
            <w:r>
              <w:rPr>
                <w:rFonts w:ascii="Arial" w:cs="Arial" w:eastAsia="Arial" w:hAnsi="Arial"/>
                <w:sz w:val="15"/>
                <w:szCs w:val="15"/>
                <w:color w:val="auto"/>
              </w:rPr>
              <w:t>Benefit obligation at January 1</w:t>
            </w:r>
          </w:p>
        </w:tc>
        <w:tc>
          <w:tcPr>
            <w:tcW w:w="400" w:type="dxa"/>
            <w:vAlign w:val="bottom"/>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9"/>
              <w:spacing w:after="0"/>
              <w:rPr>
                <w:sz w:val="20"/>
                <w:szCs w:val="20"/>
                <w:color w:val="auto"/>
              </w:rPr>
            </w:pPr>
            <w:r>
              <w:rPr>
                <w:rFonts w:ascii="Arial" w:cs="Arial" w:eastAsia="Arial" w:hAnsi="Arial"/>
                <w:sz w:val="15"/>
                <w:szCs w:val="15"/>
                <w:color w:val="auto"/>
              </w:rPr>
              <w:t>(420,516)</w:t>
            </w:r>
          </w:p>
        </w:tc>
        <w:tc>
          <w:tcPr>
            <w:tcW w:w="100" w:type="dxa"/>
            <w:vAlign w:val="bottom"/>
          </w:tcPr>
          <w:p>
            <w:pPr>
              <w:spacing w:after="0"/>
              <w:rPr>
                <w:sz w:val="20"/>
                <w:szCs w:val="20"/>
                <w:color w:val="auto"/>
              </w:rPr>
            </w:pPr>
          </w:p>
        </w:tc>
        <w:tc>
          <w:tcPr>
            <w:tcW w:w="660" w:type="dxa"/>
            <w:vAlign w:val="bottom"/>
          </w:tcPr>
          <w:p>
            <w:pPr>
              <w:jc w:val="right"/>
              <w:ind w:right="46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(448,577)</w:t>
            </w:r>
          </w:p>
        </w:tc>
      </w:tr>
      <w:tr>
        <w:trPr>
          <w:trHeight w:val="254"/>
        </w:trPr>
        <w:tc>
          <w:tcPr>
            <w:tcW w:w="81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Service cost</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r>
      <w:tr>
        <w:trPr>
          <w:trHeight w:val="237"/>
        </w:trPr>
        <w:tc>
          <w:tcPr>
            <w:tcW w:w="8120" w:type="dxa"/>
            <w:vAlign w:val="bottom"/>
          </w:tcPr>
          <w:p>
            <w:pPr>
              <w:ind w:left="320"/>
              <w:spacing w:after="0"/>
              <w:rPr>
                <w:sz w:val="20"/>
                <w:szCs w:val="20"/>
                <w:color w:val="auto"/>
              </w:rPr>
            </w:pPr>
            <w:r>
              <w:rPr>
                <w:rFonts w:ascii="Arial" w:cs="Arial" w:eastAsia="Arial" w:hAnsi="Arial"/>
                <w:sz w:val="15"/>
                <w:szCs w:val="15"/>
                <w:color w:val="auto"/>
              </w:rPr>
              <w:t>Interest cost</w:t>
            </w:r>
          </w:p>
        </w:tc>
        <w:tc>
          <w:tcPr>
            <w:tcW w:w="400" w:type="dxa"/>
            <w:vAlign w:val="bottom"/>
          </w:tcPr>
          <w:p>
            <w:pPr>
              <w:spacing w:after="0"/>
              <w:rPr>
                <w:sz w:val="20"/>
                <w:szCs w:val="20"/>
                <w:color w:val="auto"/>
              </w:rPr>
            </w:pPr>
          </w:p>
        </w:tc>
        <w:tc>
          <w:tcPr>
            <w:tcW w:w="1220" w:type="dxa"/>
            <w:vAlign w:val="bottom"/>
          </w:tcPr>
          <w:p>
            <w:pPr>
              <w:jc w:val="right"/>
              <w:ind w:right="9"/>
              <w:spacing w:after="0"/>
              <w:rPr>
                <w:sz w:val="20"/>
                <w:szCs w:val="20"/>
                <w:color w:val="auto"/>
              </w:rPr>
            </w:pPr>
            <w:r>
              <w:rPr>
                <w:rFonts w:ascii="Arial" w:cs="Arial" w:eastAsia="Arial" w:hAnsi="Arial"/>
                <w:sz w:val="15"/>
                <w:szCs w:val="15"/>
                <w:color w:val="auto"/>
              </w:rPr>
              <w:t>(20,041)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(19,097)</w:t>
            </w:r>
          </w:p>
        </w:tc>
      </w:tr>
      <w:tr>
        <w:trPr>
          <w:trHeight w:val="254"/>
        </w:trPr>
        <w:tc>
          <w:tcPr>
            <w:tcW w:w="81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Actuarial gains (losses), net</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(28,350)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22,669</w:t>
            </w:r>
          </w:p>
        </w:tc>
      </w:tr>
      <w:tr>
        <w:trPr>
          <w:trHeight w:val="238"/>
        </w:trPr>
        <w:tc>
          <w:tcPr>
            <w:tcW w:w="81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Benefits paid</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24,245</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24,489</w:t>
            </w:r>
          </w:p>
        </w:tc>
      </w:tr>
      <w:tr>
        <w:trPr>
          <w:trHeight w:val="233"/>
        </w:trPr>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Benefit obligation at December 31</w:t>
            </w: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(444,662)</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(420,516)</w:t>
            </w:r>
          </w:p>
        </w:tc>
      </w:tr>
      <w:tr>
        <w:trPr>
          <w:trHeight w:val="183"/>
        </w:trPr>
        <w:tc>
          <w:tcPr>
            <w:tcW w:w="8120" w:type="dxa"/>
            <w:vAlign w:val="bottom"/>
          </w:tcPr>
          <w:p>
            <w:pPr>
              <w:ind w:left="20"/>
              <w:spacing w:after="0"/>
              <w:rPr>
                <w:sz w:val="20"/>
                <w:szCs w:val="20"/>
                <w:color w:val="auto"/>
              </w:rPr>
            </w:pPr>
            <w:r>
              <w:rPr>
                <w:rFonts w:ascii="Arial" w:cs="Arial" w:eastAsia="Arial" w:hAnsi="Arial"/>
                <w:sz w:val="15"/>
                <w:szCs w:val="15"/>
                <w:color w:val="auto"/>
              </w:rPr>
              <w:t>Change in plan assets:</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42"/>
        </w:trPr>
        <w:tc>
          <w:tcPr>
            <w:tcW w:w="8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5"/>
        </w:trPr>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Fair value of assets at January 1</w:t>
            </w: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326,586</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359,099</w:t>
            </w:r>
          </w:p>
        </w:tc>
      </w:tr>
      <w:tr>
        <w:trPr>
          <w:trHeight w:val="237"/>
        </w:trPr>
        <w:tc>
          <w:tcPr>
            <w:tcW w:w="8120" w:type="dxa"/>
            <w:vAlign w:val="bottom"/>
          </w:tcPr>
          <w:p>
            <w:pPr>
              <w:ind w:left="320"/>
              <w:spacing w:after="0"/>
              <w:rPr>
                <w:sz w:val="20"/>
                <w:szCs w:val="20"/>
                <w:color w:val="auto"/>
              </w:rPr>
            </w:pPr>
            <w:r>
              <w:rPr>
                <w:rFonts w:ascii="Arial" w:cs="Arial" w:eastAsia="Arial" w:hAnsi="Arial"/>
                <w:sz w:val="15"/>
                <w:szCs w:val="15"/>
                <w:color w:val="auto"/>
              </w:rPr>
              <w:t>Actual return on plan assets</w:t>
            </w:r>
          </w:p>
        </w:tc>
        <w:tc>
          <w:tcPr>
            <w:tcW w:w="400" w:type="dxa"/>
            <w:vAlign w:val="bottom"/>
          </w:tcPr>
          <w:p>
            <w:pPr>
              <w:spacing w:after="0"/>
              <w:rPr>
                <w:sz w:val="20"/>
                <w:szCs w:val="20"/>
                <w:color w:val="auto"/>
              </w:rPr>
            </w:pPr>
          </w:p>
        </w:tc>
        <w:tc>
          <w:tcPr>
            <w:tcW w:w="1220" w:type="dxa"/>
            <w:vAlign w:val="bottom"/>
          </w:tcPr>
          <w:p>
            <w:pPr>
              <w:jc w:val="right"/>
              <w:ind w:right="49"/>
              <w:spacing w:after="0"/>
              <w:rPr>
                <w:sz w:val="20"/>
                <w:szCs w:val="20"/>
                <w:color w:val="auto"/>
              </w:rPr>
            </w:pPr>
            <w:r>
              <w:rPr>
                <w:rFonts w:ascii="Arial" w:cs="Arial" w:eastAsia="Arial" w:hAnsi="Arial"/>
                <w:sz w:val="15"/>
                <w:szCs w:val="15"/>
                <w:color w:val="auto"/>
              </w:rPr>
              <w:t>22,130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(8,024)</w:t>
            </w:r>
          </w:p>
        </w:tc>
      </w:tr>
      <w:tr>
        <w:trPr>
          <w:trHeight w:val="254"/>
        </w:trPr>
        <w:tc>
          <w:tcPr>
            <w:tcW w:w="81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Employer contributions</w:t>
            </w:r>
          </w:p>
        </w:tc>
        <w:tc>
          <w:tcPr>
            <w:tcW w:w="4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r>
      <w:tr>
        <w:trPr>
          <w:trHeight w:val="238"/>
        </w:trPr>
        <w:tc>
          <w:tcPr>
            <w:tcW w:w="81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Benefits paid</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(24,245)</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(24,489)</w:t>
            </w:r>
          </w:p>
        </w:tc>
      </w:tr>
      <w:tr>
        <w:trPr>
          <w:trHeight w:val="225"/>
        </w:trPr>
        <w:tc>
          <w:tcPr>
            <w:tcW w:w="8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Fair value of assets at December 31</w:t>
            </w: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324,471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326,586</w:t>
            </w:r>
          </w:p>
        </w:tc>
      </w:tr>
      <w:tr>
        <w:trPr>
          <w:trHeight w:val="218"/>
        </w:trPr>
        <w:tc>
          <w:tcPr>
            <w:tcW w:w="8120" w:type="dxa"/>
            <w:vAlign w:val="bottom"/>
          </w:tcPr>
          <w:p>
            <w:pPr>
              <w:ind w:left="20"/>
              <w:spacing w:after="0"/>
              <w:rPr>
                <w:sz w:val="20"/>
                <w:szCs w:val="20"/>
                <w:color w:val="auto"/>
              </w:rPr>
            </w:pPr>
            <w:r>
              <w:rPr>
                <w:rFonts w:ascii="Arial" w:cs="Arial" w:eastAsia="Arial" w:hAnsi="Arial"/>
                <w:sz w:val="15"/>
                <w:szCs w:val="15"/>
                <w:color w:val="auto"/>
              </w:rPr>
              <w:t>Unfunded status at December 31</w:t>
            </w:r>
          </w:p>
        </w:tc>
        <w:tc>
          <w:tcPr>
            <w:tcW w:w="4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(120,191)</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(93,930)</w:t>
            </w:r>
          </w:p>
        </w:tc>
      </w:tr>
      <w:tr>
        <w:trPr>
          <w:trHeight w:val="20"/>
        </w:trPr>
        <w:tc>
          <w:tcPr>
            <w:tcW w:w="8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net benefit obligation of $120 million and $94 million as of December 31, 2016 and 2015, respectively, is included in other noncurrent liabilities in our consolidated balance sheets.</w:t>
      </w:r>
    </w:p>
    <w:p>
      <w:pPr>
        <w:spacing w:after="0" w:line="188"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amounts recognized in accumulated other comprehensive income (loss), net of deferred taxes, associated with the LPP as of December 31, 2016, and 2015 are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238"/>
        </w:trPr>
        <w:tc>
          <w:tcPr>
            <w:tcW w:w="8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2015</w:t>
            </w:r>
          </w:p>
        </w:tc>
      </w:tr>
      <w:tr>
        <w:trPr>
          <w:trHeight w:val="233"/>
        </w:trPr>
        <w:tc>
          <w:tcPr>
            <w:tcW w:w="8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actuarial loss</w:t>
            </w: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5"/>
                <w:szCs w:val="15"/>
                <w:color w:val="auto"/>
              </w:rPr>
              <w:t>(118,739)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(105,017)</w:t>
            </w:r>
          </w:p>
        </w:tc>
      </w:tr>
      <w:tr>
        <w:trPr>
          <w:trHeight w:val="23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Prior service credit</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5"/>
                <w:szCs w:val="15"/>
                <w:color w:val="auto"/>
              </w:rPr>
              <w:t>13,348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14,262</w:t>
            </w:r>
          </w:p>
        </w:tc>
      </w:tr>
      <w:tr>
        <w:trPr>
          <w:trHeight w:val="21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5"/>
                <w:szCs w:val="15"/>
                <w:color w:val="auto"/>
              </w:rPr>
              <w:t>(105,391)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(90,755)</w:t>
            </w:r>
          </w:p>
        </w:tc>
      </w:tr>
      <w:tr>
        <w:trPr>
          <w:trHeight w:val="20"/>
        </w:trPr>
        <w:tc>
          <w:tcPr>
            <w:tcW w:w="8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following table provides the components of net periodic benefit costs associated with the LPP and the principal assumptions used in the measurement of the LPP benefit obligations and net benefit costs for the three years ended December 31, 2016, 2015 and 2014 (in thousands):</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5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1"/>
                <w:szCs w:val="11"/>
                <w:b w:val="1"/>
                <w:bCs w:val="1"/>
                <w:color w:val="auto"/>
              </w:rPr>
              <w:t>2014</w:t>
            </w:r>
          </w:p>
        </w:tc>
      </w:tr>
      <w:tr>
        <w:trPr>
          <w:trHeight w:val="233"/>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cost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20,041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19,097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19,582</w:t>
            </w:r>
          </w:p>
        </w:tc>
      </w:tr>
      <w:tr>
        <w:trPr>
          <w:trHeight w:val="237"/>
        </w:trPr>
        <w:tc>
          <w:tcPr>
            <w:tcW w:w="5160" w:type="dxa"/>
            <w:vAlign w:val="bottom"/>
          </w:tcPr>
          <w:p>
            <w:pPr>
              <w:ind w:left="20"/>
              <w:spacing w:after="0"/>
              <w:rPr>
                <w:sz w:val="20"/>
                <w:szCs w:val="20"/>
                <w:color w:val="auto"/>
              </w:rPr>
            </w:pPr>
            <w:r>
              <w:rPr>
                <w:rFonts w:ascii="Arial" w:cs="Arial" w:eastAsia="Arial" w:hAnsi="Arial"/>
                <w:sz w:val="15"/>
                <w:szCs w:val="15"/>
                <w:color w:val="auto"/>
              </w:rPr>
              <w:t>Expected return on plan assets</w:t>
            </w:r>
          </w:p>
        </w:tc>
        <w:tc>
          <w:tcPr>
            <w:tcW w:w="30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(20,803)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9"/>
              <w:spacing w:after="0"/>
              <w:rPr>
                <w:sz w:val="20"/>
                <w:szCs w:val="20"/>
                <w:color w:val="auto"/>
              </w:rPr>
            </w:pPr>
            <w:r>
              <w:rPr>
                <w:rFonts w:ascii="Arial" w:cs="Arial" w:eastAsia="Arial" w:hAnsi="Arial"/>
                <w:sz w:val="15"/>
                <w:szCs w:val="15"/>
                <w:color w:val="auto"/>
              </w:rPr>
              <w:t>(21,117)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(23,945)</w:t>
            </w:r>
          </w:p>
        </w:tc>
      </w:tr>
      <w:tr>
        <w:trPr>
          <w:trHeight w:val="254"/>
        </w:trPr>
        <w:tc>
          <w:tcPr>
            <w:tcW w:w="5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prior service credit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(1,432)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(1,432)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(1,432)</w:t>
            </w:r>
          </w:p>
        </w:tc>
      </w:tr>
      <w:tr>
        <w:trPr>
          <w:trHeight w:val="23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Amortization of actuarial loss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color w:val="auto"/>
              </w:rPr>
              <w:t>5,871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color w:val="auto"/>
              </w:rPr>
              <w:t>7,045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color w:val="auto"/>
              </w:rPr>
              <w:t>4,920</w:t>
            </w:r>
          </w:p>
        </w:tc>
      </w:tr>
      <w:tr>
        <w:trPr>
          <w:trHeight w:val="213"/>
        </w:trPr>
        <w:tc>
          <w:tcPr>
            <w:tcW w:w="5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cost (credit)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3,677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rPr>
              <w:t>3,593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(875)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5220" w:type="dxa"/>
            <w:vAlign w:val="bottom"/>
          </w:tcPr>
          <w:p>
            <w:pPr>
              <w:ind w:left="20"/>
              <w:spacing w:after="0"/>
              <w:rPr>
                <w:sz w:val="20"/>
                <w:szCs w:val="20"/>
                <w:color w:val="auto"/>
              </w:rPr>
            </w:pPr>
            <w:r>
              <w:rPr>
                <w:rFonts w:ascii="Arial" w:cs="Arial" w:eastAsia="Arial" w:hAnsi="Arial"/>
                <w:sz w:val="15"/>
                <w:szCs w:val="15"/>
                <w:color w:val="auto"/>
              </w:rPr>
              <w:t>Weighted-average discount rate used to measure benefit obligations</w:t>
            </w:r>
          </w:p>
        </w:tc>
        <w:tc>
          <w:tcPr>
            <w:tcW w:w="1620" w:type="dxa"/>
            <w:vAlign w:val="bottom"/>
          </w:tcPr>
          <w:p>
            <w:pPr>
              <w:jc w:val="right"/>
              <w:ind w:right="386"/>
              <w:spacing w:after="0"/>
              <w:rPr>
                <w:sz w:val="20"/>
                <w:szCs w:val="20"/>
                <w:color w:val="auto"/>
              </w:rPr>
            </w:pPr>
            <w:r>
              <w:rPr>
                <w:rFonts w:ascii="Arial" w:cs="Arial" w:eastAsia="Arial" w:hAnsi="Arial"/>
                <w:sz w:val="15"/>
                <w:szCs w:val="15"/>
                <w:color w:val="auto"/>
              </w:rPr>
              <w:t>4.36%</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4.86%</w:t>
            </w:r>
          </w:p>
        </w:tc>
        <w:tc>
          <w:tcPr>
            <w:tcW w:w="900" w:type="dxa"/>
            <w:vAlign w:val="bottom"/>
          </w:tcPr>
          <w:p>
            <w:pPr>
              <w:jc w:val="right"/>
              <w:spacing w:after="0"/>
              <w:rPr>
                <w:sz w:val="20"/>
                <w:szCs w:val="20"/>
                <w:color w:val="auto"/>
              </w:rPr>
            </w:pPr>
            <w:r>
              <w:rPr>
                <w:rFonts w:ascii="Arial" w:cs="Arial" w:eastAsia="Arial" w:hAnsi="Arial"/>
                <w:sz w:val="15"/>
                <w:szCs w:val="15"/>
                <w:color w:val="auto"/>
              </w:rPr>
              <w:t>4.36%</w:t>
            </w:r>
          </w:p>
        </w:tc>
      </w:tr>
      <w:tr>
        <w:trPr>
          <w:trHeight w:val="23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assumptions used to determine net benefit cost:</w:t>
            </w:r>
          </w:p>
        </w:tc>
        <w:tc>
          <w:tcPr>
            <w:tcW w:w="16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5220" w:type="dxa"/>
            <w:vAlign w:val="bottom"/>
          </w:tcPr>
          <w:p>
            <w:pPr>
              <w:ind w:left="320"/>
              <w:spacing w:after="0"/>
              <w:rPr>
                <w:sz w:val="20"/>
                <w:szCs w:val="20"/>
                <w:color w:val="auto"/>
              </w:rPr>
            </w:pPr>
            <w:r>
              <w:rPr>
                <w:rFonts w:ascii="Arial" w:cs="Arial" w:eastAsia="Arial" w:hAnsi="Arial"/>
                <w:sz w:val="15"/>
                <w:szCs w:val="15"/>
                <w:color w:val="auto"/>
              </w:rPr>
              <w:t>Discount rate</w:t>
            </w:r>
          </w:p>
        </w:tc>
        <w:tc>
          <w:tcPr>
            <w:tcW w:w="1620" w:type="dxa"/>
            <w:vAlign w:val="bottom"/>
          </w:tcPr>
          <w:p>
            <w:pPr>
              <w:jc w:val="right"/>
              <w:ind w:right="386"/>
              <w:spacing w:after="0"/>
              <w:rPr>
                <w:sz w:val="20"/>
                <w:szCs w:val="20"/>
                <w:color w:val="auto"/>
              </w:rPr>
            </w:pPr>
            <w:r>
              <w:rPr>
                <w:rFonts w:ascii="Arial" w:cs="Arial" w:eastAsia="Arial" w:hAnsi="Arial"/>
                <w:sz w:val="15"/>
                <w:szCs w:val="15"/>
                <w:color w:val="auto"/>
              </w:rPr>
              <w:t>4.86%</w:t>
            </w:r>
          </w:p>
        </w:tc>
        <w:tc>
          <w:tcPr>
            <w:tcW w:w="1360" w:type="dxa"/>
            <w:vAlign w:val="bottom"/>
          </w:tcPr>
          <w:p>
            <w:pPr>
              <w:jc w:val="right"/>
              <w:ind w:right="406"/>
              <w:spacing w:after="0"/>
              <w:rPr>
                <w:sz w:val="20"/>
                <w:szCs w:val="20"/>
                <w:color w:val="auto"/>
              </w:rPr>
            </w:pPr>
            <w:r>
              <w:rPr>
                <w:rFonts w:ascii="Arial" w:cs="Arial" w:eastAsia="Arial" w:hAnsi="Arial"/>
                <w:sz w:val="15"/>
                <w:szCs w:val="15"/>
                <w:color w:val="auto"/>
              </w:rPr>
              <w:t>4.36%</w:t>
            </w:r>
          </w:p>
        </w:tc>
        <w:tc>
          <w:tcPr>
            <w:tcW w:w="900" w:type="dxa"/>
            <w:vAlign w:val="bottom"/>
          </w:tcPr>
          <w:p>
            <w:pPr>
              <w:jc w:val="right"/>
              <w:spacing w:after="0"/>
              <w:rPr>
                <w:sz w:val="20"/>
                <w:szCs w:val="20"/>
                <w:color w:val="auto"/>
              </w:rPr>
            </w:pPr>
            <w:r>
              <w:rPr>
                <w:rFonts w:ascii="Arial" w:cs="Arial" w:eastAsia="Arial" w:hAnsi="Arial"/>
                <w:sz w:val="15"/>
                <w:szCs w:val="15"/>
                <w:color w:val="auto"/>
              </w:rPr>
              <w:t>5.10%</w:t>
            </w:r>
          </w:p>
        </w:tc>
      </w:tr>
      <w:tr>
        <w:trPr>
          <w:trHeight w:val="254"/>
        </w:trPr>
        <w:tc>
          <w:tcPr>
            <w:tcW w:w="5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Expected return on plan assets</w:t>
            </w:r>
          </w:p>
        </w:tc>
        <w:tc>
          <w:tcPr>
            <w:tcW w:w="162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6.50%</w:t>
            </w:r>
          </w:p>
        </w:tc>
        <w:tc>
          <w:tcPr>
            <w:tcW w:w="13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6.50%</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r>
    </w:tbl>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As a result of the freeze of pension benefit accruals under the LPP as of December 31, 2005, no assumption for future rate of compensation increase is necessary.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420"/>
          </w:cols>
          <w:pgMar w:left="240" w:top="754" w:right="239" w:bottom="1440" w:gutter="0" w:footer="0" w:header="0"/>
        </w:sectPr>
      </w:pPr>
    </w:p>
    <w:bookmarkStart w:id="95" w:name="page96"/>
    <w:bookmarkEnd w:id="95"/>
    <w:p>
      <w:pPr>
        <w:jc w:val="both"/>
        <w:ind w:firstLine="454"/>
        <w:spacing w:after="0" w:line="245" w:lineRule="auto"/>
        <w:rPr>
          <w:sz w:val="20"/>
          <w:szCs w:val="20"/>
          <w:color w:val="auto"/>
        </w:rPr>
      </w:pPr>
      <w:r>
        <w:rPr>
          <w:rFonts w:ascii="Arial" w:cs="Arial" w:eastAsia="Arial" w:hAnsi="Arial"/>
          <w:sz w:val="15"/>
          <w:szCs w:val="15"/>
          <w:color w:val="auto"/>
        </w:rPr>
        <w:t>The following table provides the pre-tax amounts recognized in OCI, including the amortization of the actuarial loss and prior service credit, associated with the LPP for the years ended December 31, 2016, 2015 and 2014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40" w:type="dxa"/>
            <w:vAlign w:val="bottom"/>
          </w:tcPr>
          <w:p>
            <w:pPr>
              <w:ind w:left="20"/>
              <w:spacing w:after="0"/>
              <w:rPr>
                <w:sz w:val="20"/>
                <w:szCs w:val="20"/>
                <w:color w:val="auto"/>
              </w:rPr>
            </w:pPr>
            <w:r>
              <w:rPr>
                <w:rFonts w:ascii="Arial" w:cs="Arial" w:eastAsia="Arial" w:hAnsi="Arial"/>
                <w:sz w:val="11"/>
                <w:szCs w:val="11"/>
                <w:b w:val="1"/>
                <w:bCs w:val="1"/>
                <w:color w:val="auto"/>
              </w:rPr>
              <w:t>Obligations Recognized in</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23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Other Comprehensive Income</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1"/>
                <w:szCs w:val="11"/>
                <w:b w:val="1"/>
                <w:bCs w:val="1"/>
                <w:color w:val="auto"/>
              </w:rPr>
              <w:t>2015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1"/>
                <w:szCs w:val="11"/>
                <w:b w:val="1"/>
                <w:bCs w:val="1"/>
                <w:color w:val="auto"/>
              </w:rPr>
              <w:t>2014</w:t>
            </w:r>
          </w:p>
        </w:tc>
      </w:tr>
      <w:tr>
        <w:trPr>
          <w:trHeight w:val="233"/>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actuarial loss</w:t>
            </w:r>
          </w:p>
        </w:tc>
        <w:tc>
          <w:tcPr>
            <w:tcW w:w="3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27,023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6,472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44,062</w:t>
            </w:r>
          </w:p>
        </w:tc>
      </w:tr>
      <w:tr>
        <w:trPr>
          <w:trHeight w:val="237"/>
        </w:trPr>
        <w:tc>
          <w:tcPr>
            <w:tcW w:w="6740" w:type="dxa"/>
            <w:vAlign w:val="bottom"/>
          </w:tcPr>
          <w:p>
            <w:pPr>
              <w:ind w:left="20"/>
              <w:spacing w:after="0"/>
              <w:rPr>
                <w:sz w:val="20"/>
                <w:szCs w:val="20"/>
                <w:color w:val="auto"/>
              </w:rPr>
            </w:pPr>
            <w:r>
              <w:rPr>
                <w:rFonts w:ascii="Arial" w:cs="Arial" w:eastAsia="Arial" w:hAnsi="Arial"/>
                <w:sz w:val="15"/>
                <w:szCs w:val="15"/>
                <w:color w:val="auto"/>
              </w:rPr>
              <w:t>Amortization of actuarial loss</w:t>
            </w:r>
          </w:p>
        </w:tc>
        <w:tc>
          <w:tcPr>
            <w:tcW w:w="380" w:type="dxa"/>
            <w:vAlign w:val="bottom"/>
          </w:tcPr>
          <w:p>
            <w:pPr>
              <w:spacing w:after="0"/>
              <w:rPr>
                <w:sz w:val="20"/>
                <w:szCs w:val="20"/>
                <w:color w:val="auto"/>
              </w:rPr>
            </w:pPr>
          </w:p>
        </w:tc>
        <w:tc>
          <w:tcPr>
            <w:tcW w:w="1140" w:type="dxa"/>
            <w:vAlign w:val="bottom"/>
          </w:tcPr>
          <w:p>
            <w:pPr>
              <w:jc w:val="right"/>
              <w:ind w:right="9"/>
              <w:spacing w:after="0"/>
              <w:rPr>
                <w:sz w:val="20"/>
                <w:szCs w:val="20"/>
                <w:color w:val="auto"/>
              </w:rPr>
            </w:pPr>
            <w:r>
              <w:rPr>
                <w:rFonts w:ascii="Arial" w:cs="Arial" w:eastAsia="Arial" w:hAnsi="Arial"/>
                <w:sz w:val="15"/>
                <w:szCs w:val="15"/>
                <w:color w:val="auto"/>
              </w:rPr>
              <w:t>(5,871)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(4,920)</w:t>
            </w:r>
          </w:p>
        </w:tc>
      </w:tr>
      <w:tr>
        <w:trPr>
          <w:trHeight w:val="254"/>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prior service credit</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1,432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1,432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1,432</w:t>
            </w:r>
          </w:p>
        </w:tc>
      </w:tr>
      <w:tr>
        <w:trPr>
          <w:trHeight w:val="245"/>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Total loss recognized in other comprehensive income</w:t>
            </w:r>
          </w:p>
        </w:tc>
        <w:tc>
          <w:tcPr>
            <w:tcW w:w="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22,584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859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40,574</w:t>
            </w:r>
          </w:p>
        </w:tc>
      </w:tr>
      <w:tr>
        <w:trPr>
          <w:trHeight w:val="205"/>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recognized in net periodic benefit cost and other comprehensive income</w:t>
            </w:r>
          </w:p>
        </w:tc>
        <w:tc>
          <w:tcPr>
            <w:tcW w:w="3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26,261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4,452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39,699</w:t>
            </w:r>
          </w:p>
        </w:tc>
      </w:tr>
    </w:tbl>
    <w:p>
      <w:pPr>
        <w:spacing w:after="0" w:line="198"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For the LPP, we estimate that $5 million of actuarial loss, net of amortization of prior service credit, will be amortized from accumulated other comprehensive income (loss) into net periodic benefit cost in 2017.</w:t>
      </w:r>
    </w:p>
    <w:p>
      <w:pPr>
        <w:spacing w:after="0" w:line="188"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 term returns with acceptable levels of investment risk. Fair values of the applicable assets are determined as follows: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Mutual Fund</w:t>
      </w:r>
      <w:r>
        <w:rPr>
          <w:rFonts w:ascii="Arial" w:cs="Arial" w:eastAsia="Arial" w:hAnsi="Arial"/>
          <w:sz w:val="15"/>
          <w:szCs w:val="15"/>
          <w:color w:val="auto"/>
        </w:rPr>
        <w:t>—The fair value of our mutual funds are estimated by using market quotes as of the last day of the period.</w:t>
      </w:r>
    </w:p>
    <w:p>
      <w:pPr>
        <w:spacing w:after="0" w:line="195"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5"/>
          <w:szCs w:val="15"/>
          <w:i w:val="1"/>
          <w:iCs w:val="1"/>
          <w:color w:val="auto"/>
        </w:rPr>
        <w:t>Common Collective Trusts</w:t>
      </w:r>
      <w:r>
        <w:rPr>
          <w:rFonts w:ascii="Arial" w:cs="Arial" w:eastAsia="Arial" w:hAnsi="Arial"/>
          <w:sz w:val="15"/>
          <w:szCs w:val="15"/>
          <w:color w:val="auto"/>
        </w:rPr>
        <w:t>—The fair value of our common collective trusts are estimated by using market quotes as of the last day of the period, quoted prices for similar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and quoted prices in non-active markets.</w:t>
      </w:r>
    </w:p>
    <w:p>
      <w:pPr>
        <w:spacing w:after="0" w:line="156" w:lineRule="exact"/>
        <w:rPr>
          <w:sz w:val="20"/>
          <w:szCs w:val="20"/>
          <w:color w:val="auto"/>
        </w:rPr>
      </w:pPr>
    </w:p>
    <w:p>
      <w:pPr>
        <w:jc w:val="both"/>
        <w:ind w:firstLine="454"/>
        <w:spacing w:after="0" w:line="267" w:lineRule="auto"/>
        <w:rPr>
          <w:sz w:val="20"/>
          <w:szCs w:val="20"/>
          <w:color w:val="auto"/>
        </w:rPr>
      </w:pPr>
      <w:r>
        <w:rPr>
          <w:rFonts w:ascii="Arial" w:cs="Arial" w:eastAsia="Arial" w:hAnsi="Arial"/>
          <w:sz w:val="15"/>
          <w:szCs w:val="15"/>
          <w:i w:val="1"/>
          <w:iCs w:val="1"/>
          <w:color w:val="auto"/>
        </w:rPr>
        <w:t>Real Estate</w:t>
      </w:r>
      <w:r>
        <w:rPr>
          <w:rFonts w:ascii="Arial" w:cs="Arial" w:eastAsia="Arial" w:hAnsi="Arial"/>
          <w:sz w:val="15"/>
          <w:szCs w:val="15"/>
          <w:color w:val="auto"/>
        </w:rPr>
        <w:t>—The fair value of our real estate funds are derived from the fair value of the underlying real estate assets held by the funds. These assets are initially</w:t>
      </w:r>
      <w:r>
        <w:rPr>
          <w:rFonts w:ascii="Arial" w:cs="Arial" w:eastAsia="Arial" w:hAnsi="Arial"/>
          <w:sz w:val="15"/>
          <w:szCs w:val="15"/>
          <w:i w:val="1"/>
          <w:iCs w:val="1"/>
          <w:color w:val="auto"/>
        </w:rPr>
        <w:t xml:space="preserve"> </w:t>
      </w:r>
      <w:r>
        <w:rPr>
          <w:rFonts w:ascii="Arial" w:cs="Arial" w:eastAsia="Arial" w:hAnsi="Arial"/>
          <w:sz w:val="15"/>
          <w:szCs w:val="15"/>
          <w:color w:val="auto"/>
        </w:rPr>
        <w:t>valued at cost and are reviewed periodically utilizing available market data to determine if the assets held should be adjusted.</w:t>
      </w:r>
    </w:p>
    <w:p>
      <w:pPr>
        <w:spacing w:after="0" w:line="172"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38% global equities, 58% long duration fixed income, and 4% real estate. It is recognized that the investment management of the LPP assets has a direct effect on the achievement of its goal. As defined in Note 9, Fair Value Measurements, the following tables present the fair value of the LPP assets as of December 31, 2016, and 2015: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10"/>
          </w:tcPr>
          <w:p>
            <w:pPr>
              <w:ind w:left="60"/>
              <w:spacing w:after="0"/>
              <w:rPr>
                <w:sz w:val="20"/>
                <w:szCs w:val="20"/>
                <w:color w:val="auto"/>
              </w:rPr>
            </w:pPr>
            <w:r>
              <w:rPr>
                <w:rFonts w:ascii="Arial" w:cs="Arial" w:eastAsia="Arial" w:hAnsi="Arial"/>
                <w:sz w:val="11"/>
                <w:szCs w:val="11"/>
                <w:b w:val="1"/>
                <w:bCs w:val="1"/>
                <w:color w:val="auto"/>
              </w:rPr>
              <w:t>Fair Value Measurements at December 31, 2016</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rPr>
              <w:t>Quoted Prices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center"/>
              <w:ind w:right="500"/>
              <w:spacing w:after="0" w:line="123" w:lineRule="exact"/>
              <w:rPr>
                <w:sz w:val="20"/>
                <w:szCs w:val="20"/>
                <w:color w:val="auto"/>
              </w:rPr>
            </w:pPr>
            <w:r>
              <w:rPr>
                <w:rFonts w:ascii="Arial" w:cs="Arial" w:eastAsia="Arial" w:hAnsi="Arial"/>
                <w:sz w:val="11"/>
                <w:szCs w:val="11"/>
                <w:b w:val="1"/>
                <w:bCs w:val="1"/>
                <w:color w:val="auto"/>
              </w:rPr>
              <w:t>Active Markets for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540"/>
              <w:spacing w:after="0" w:line="123" w:lineRule="exact"/>
              <w:rPr>
                <w:sz w:val="20"/>
                <w:szCs w:val="20"/>
                <w:color w:val="auto"/>
              </w:rPr>
            </w:pPr>
            <w:r>
              <w:rPr>
                <w:rFonts w:ascii="Arial" w:cs="Arial" w:eastAsia="Arial" w:hAnsi="Arial"/>
                <w:sz w:val="11"/>
                <w:szCs w:val="11"/>
                <w:b w:val="1"/>
                <w:bCs w:val="1"/>
                <w:color w:val="auto"/>
              </w:rPr>
              <w:t>Observable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420"/>
              <w:spacing w:after="0" w:line="123" w:lineRule="exact"/>
              <w:rPr>
                <w:sz w:val="20"/>
                <w:szCs w:val="20"/>
                <w:color w:val="auto"/>
              </w:rPr>
            </w:pPr>
            <w:r>
              <w:rPr>
                <w:rFonts w:ascii="Arial" w:cs="Arial" w:eastAsia="Arial" w:hAnsi="Arial"/>
                <w:sz w:val="11"/>
                <w:szCs w:val="11"/>
                <w:b w:val="1"/>
                <w:bCs w:val="1"/>
                <w:color w:val="auto"/>
              </w:rPr>
              <w:t>Unobservable</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center"/>
              <w:ind w:right="500"/>
              <w:spacing w:after="0" w:line="123" w:lineRule="exact"/>
              <w:rPr>
                <w:sz w:val="20"/>
                <w:szCs w:val="20"/>
                <w:color w:val="auto"/>
              </w:rPr>
            </w:pPr>
            <w:r>
              <w:rPr>
                <w:rFonts w:ascii="Arial" w:cs="Arial" w:eastAsia="Arial" w:hAnsi="Arial"/>
                <w:sz w:val="11"/>
                <w:szCs w:val="11"/>
                <w:b w:val="1"/>
                <w:bCs w:val="1"/>
                <w:color w:val="auto"/>
              </w:rPr>
              <w:t>Identical Assets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540"/>
              <w:spacing w:after="0" w:line="123" w:lineRule="exact"/>
              <w:rPr>
                <w:sz w:val="20"/>
                <w:szCs w:val="20"/>
                <w:color w:val="auto"/>
              </w:rPr>
            </w:pPr>
            <w:r>
              <w:rPr>
                <w:rFonts w:ascii="Arial" w:cs="Arial" w:eastAsia="Arial" w:hAnsi="Arial"/>
                <w:sz w:val="11"/>
                <w:szCs w:val="11"/>
                <w:b w:val="1"/>
                <w:bCs w:val="1"/>
                <w:color w:val="auto"/>
              </w:rPr>
              <w:t>Inputs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440"/>
              <w:spacing w:after="0" w:line="123" w:lineRule="exact"/>
              <w:rPr>
                <w:sz w:val="20"/>
                <w:szCs w:val="20"/>
                <w:color w:val="auto"/>
              </w:rPr>
            </w:pPr>
            <w:r>
              <w:rPr>
                <w:rFonts w:ascii="Arial" w:cs="Arial" w:eastAsia="Arial" w:hAnsi="Arial"/>
                <w:sz w:val="11"/>
                <w:szCs w:val="11"/>
                <w:b w:val="1"/>
                <w:bCs w:val="1"/>
                <w:color w:val="auto"/>
              </w:rPr>
              <w:t>Inputs</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rPr>
              <w:t>(Level 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rPr>
              <w:t>(Level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rPr>
              <w:t>(Level 3)</w:t>
            </w:r>
          </w:p>
        </w:tc>
        <w:tc>
          <w:tcPr>
            <w:tcW w:w="320" w:type="dxa"/>
            <w:vAlign w:val="bottom"/>
          </w:tcPr>
          <w:p>
            <w:pPr>
              <w:spacing w:after="0"/>
              <w:rPr>
                <w:sz w:val="13"/>
                <w:szCs w:val="13"/>
                <w:color w:val="auto"/>
              </w:rPr>
            </w:pPr>
          </w:p>
        </w:tc>
        <w:tc>
          <w:tcPr>
            <w:tcW w:w="1020" w:type="dxa"/>
            <w:vAlign w:val="bottom"/>
          </w:tcPr>
          <w:p>
            <w:pPr>
              <w:jc w:val="right"/>
              <w:ind w:right="469"/>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Common collective trusts:</w:t>
            </w: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40"/>
              <w:spacing w:after="0"/>
              <w:rPr>
                <w:sz w:val="20"/>
                <w:szCs w:val="20"/>
                <w:color w:val="auto"/>
              </w:rPr>
            </w:pPr>
            <w:r>
              <w:rPr>
                <w:rFonts w:ascii="Arial" w:cs="Arial" w:eastAsia="Arial" w:hAnsi="Arial"/>
                <w:sz w:val="15"/>
                <w:szCs w:val="15"/>
                <w:color w:val="auto"/>
              </w:rPr>
              <w:t>Fixed income securities</w:t>
            </w:r>
          </w:p>
        </w:tc>
        <w:tc>
          <w:tcPr>
            <w:tcW w:w="2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Arial" w:cs="Arial" w:eastAsia="Arial" w:hAnsi="Arial"/>
                <w:sz w:val="15"/>
                <w:szCs w:val="15"/>
                <w:color w:val="auto"/>
              </w:rPr>
              <w:t>174,899</w:t>
            </w:r>
          </w:p>
        </w:tc>
        <w:tc>
          <w:tcPr>
            <w:tcW w:w="1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200" w:type="dxa"/>
            <w:vAlign w:val="bottom"/>
          </w:tcPr>
          <w:p>
            <w:pPr>
              <w:spacing w:after="0"/>
              <w:rPr>
                <w:sz w:val="20"/>
                <w:szCs w:val="20"/>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174,899</w:t>
            </w:r>
          </w:p>
        </w:tc>
        <w:tc>
          <w:tcPr>
            <w:tcW w:w="20" w:type="dxa"/>
            <w:vAlign w:val="bottom"/>
          </w:tcPr>
          <w:p>
            <w:pPr>
              <w:spacing w:after="0"/>
              <w:rPr>
                <w:sz w:val="20"/>
                <w:szCs w:val="20"/>
                <w:color w:val="auto"/>
              </w:rPr>
            </w:pPr>
          </w:p>
        </w:tc>
      </w:tr>
      <w:tr>
        <w:trPr>
          <w:trHeight w:val="254"/>
        </w:trPr>
        <w:tc>
          <w:tcPr>
            <w:tcW w:w="20" w:type="dxa"/>
            <w:vAlign w:val="bottom"/>
          </w:tcPr>
          <w:p>
            <w:pPr>
              <w:spacing w:after="0"/>
              <w:rPr>
                <w:sz w:val="22"/>
                <w:szCs w:val="22"/>
                <w:color w:val="auto"/>
              </w:rPr>
            </w:pPr>
          </w:p>
        </w:tc>
        <w:tc>
          <w:tcPr>
            <w:tcW w:w="4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Global equity securities</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rPr>
              <w:t>127,321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127,321</w:t>
            </w:r>
          </w:p>
        </w:tc>
        <w:tc>
          <w:tcPr>
            <w:tcW w:w="2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5"/>
                <w:szCs w:val="15"/>
                <w:color w:val="auto"/>
              </w:rPr>
              <w:t>Money market mutual fund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53"/>
              <w:spacing w:after="0"/>
              <w:rPr>
                <w:sz w:val="20"/>
                <w:szCs w:val="20"/>
                <w:color w:val="auto"/>
              </w:rPr>
            </w:pPr>
            <w:r>
              <w:rPr>
                <w:rFonts w:ascii="Arial" w:cs="Arial" w:eastAsia="Arial" w:hAnsi="Arial"/>
                <w:sz w:val="15"/>
                <w:szCs w:val="15"/>
                <w:color w:val="auto"/>
              </w:rPr>
              <w:t>3,732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0"/>
                <w:szCs w:val="20"/>
                <w:color w:val="auto"/>
              </w:rPr>
            </w:pP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3,732</w:t>
            </w:r>
          </w:p>
        </w:tc>
        <w:tc>
          <w:tcPr>
            <w:tcW w:w="20" w:type="dxa"/>
            <w:vAlign w:val="bottom"/>
          </w:tcPr>
          <w:p>
            <w:pPr>
              <w:spacing w:after="0"/>
              <w:rPr>
                <w:sz w:val="20"/>
                <w:szCs w:val="20"/>
                <w:color w:val="auto"/>
              </w:rPr>
            </w:pPr>
          </w:p>
        </w:tc>
      </w:tr>
      <w:tr>
        <w:trPr>
          <w:trHeight w:val="254"/>
        </w:trPr>
        <w:tc>
          <w:tcPr>
            <w:tcW w:w="20" w:type="dxa"/>
            <w:vAlign w:val="bottom"/>
          </w:tcPr>
          <w:p>
            <w:pPr>
              <w:spacing w:after="0"/>
              <w:rPr>
                <w:sz w:val="22"/>
                <w:szCs w:val="22"/>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Real estate</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5"/>
                <w:szCs w:val="15"/>
                <w:color w:val="auto"/>
              </w:rPr>
              <w:t>18,519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18,519</w:t>
            </w:r>
          </w:p>
        </w:tc>
        <w:tc>
          <w:tcPr>
            <w:tcW w:w="20" w:type="dxa"/>
            <w:vAlign w:val="bottom"/>
          </w:tcPr>
          <w:p>
            <w:pPr>
              <w:spacing w:after="0"/>
              <w:rPr>
                <w:sz w:val="22"/>
                <w:szCs w:val="22"/>
                <w:color w:val="auto"/>
              </w:rPr>
            </w:pPr>
          </w:p>
        </w:tc>
      </w:tr>
      <w:tr>
        <w:trPr>
          <w:trHeight w:val="205"/>
        </w:trPr>
        <w:tc>
          <w:tcPr>
            <w:tcW w:w="20" w:type="dxa"/>
            <w:vAlign w:val="bottom"/>
          </w:tcPr>
          <w:p>
            <w:pPr>
              <w:spacing w:after="0"/>
              <w:rPr>
                <w:sz w:val="17"/>
                <w:szCs w:val="17"/>
                <w:color w:val="auto"/>
              </w:rPr>
            </w:pPr>
          </w:p>
        </w:tc>
        <w:tc>
          <w:tcPr>
            <w:tcW w:w="4780" w:type="dxa"/>
            <w:vAlign w:val="bottom"/>
          </w:tcPr>
          <w:p>
            <w:pPr>
              <w:ind w:left="440"/>
              <w:spacing w:after="0"/>
              <w:rPr>
                <w:sz w:val="20"/>
                <w:szCs w:val="20"/>
                <w:color w:val="auto"/>
              </w:rPr>
            </w:pPr>
            <w:r>
              <w:rPr>
                <w:rFonts w:ascii="Arial" w:cs="Arial" w:eastAsia="Arial" w:hAnsi="Arial"/>
                <w:sz w:val="15"/>
                <w:szCs w:val="15"/>
                <w:color w:val="auto"/>
              </w:rPr>
              <w:t>Total assets at fair value</w:t>
            </w:r>
          </w:p>
        </w:tc>
        <w:tc>
          <w:tcPr>
            <w:tcW w:w="2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5"/>
                <w:szCs w:val="15"/>
                <w:color w:val="auto"/>
              </w:rPr>
              <w:t>3,732</w:t>
            </w: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5"/>
                <w:szCs w:val="15"/>
                <w:color w:val="auto"/>
              </w:rPr>
              <w:t>302,220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5"/>
                <w:szCs w:val="15"/>
                <w:color w:val="auto"/>
              </w:rPr>
              <w:t>18,519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rPr>
              <w:t>324,471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ind w:left="60"/>
              <w:spacing w:after="0"/>
              <w:rPr>
                <w:sz w:val="20"/>
                <w:szCs w:val="20"/>
                <w:color w:val="auto"/>
              </w:rPr>
            </w:pPr>
            <w:r>
              <w:rPr>
                <w:rFonts w:ascii="Arial" w:cs="Arial" w:eastAsia="Arial" w:hAnsi="Arial"/>
                <w:sz w:val="11"/>
                <w:szCs w:val="11"/>
                <w:b w:val="1"/>
                <w:bCs w:val="1"/>
                <w:color w:val="auto"/>
              </w:rPr>
              <w:t>Fair Value Measurements at December 31, 2015</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28"/>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rPr>
              <w:t>Quoted Prices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Significant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center"/>
              <w:ind w:right="20"/>
              <w:spacing w:after="0" w:line="123" w:lineRule="exact"/>
              <w:rPr>
                <w:sz w:val="20"/>
                <w:szCs w:val="20"/>
                <w:color w:val="auto"/>
              </w:rPr>
            </w:pPr>
            <w:r>
              <w:rPr>
                <w:rFonts w:ascii="Arial" w:cs="Arial" w:eastAsia="Arial" w:hAnsi="Arial"/>
                <w:sz w:val="11"/>
                <w:szCs w:val="11"/>
                <w:b w:val="1"/>
                <w:bCs w:val="1"/>
                <w:color w:val="auto"/>
              </w:rPr>
              <w:t>Active Markets for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rPr>
              <w:t>Observable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300"/>
              <w:spacing w:after="0" w:line="123" w:lineRule="exact"/>
              <w:rPr>
                <w:sz w:val="20"/>
                <w:szCs w:val="20"/>
                <w:color w:val="auto"/>
              </w:rPr>
            </w:pPr>
            <w:r>
              <w:rPr>
                <w:rFonts w:ascii="Arial" w:cs="Arial" w:eastAsia="Arial" w:hAnsi="Arial"/>
                <w:sz w:val="11"/>
                <w:szCs w:val="11"/>
                <w:b w:val="1"/>
                <w:bCs w:val="1"/>
                <w:color w:val="auto"/>
              </w:rPr>
              <w:t>Unobservable</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center"/>
              <w:ind w:right="20"/>
              <w:spacing w:after="0" w:line="123" w:lineRule="exact"/>
              <w:rPr>
                <w:sz w:val="20"/>
                <w:szCs w:val="20"/>
                <w:color w:val="auto"/>
              </w:rPr>
            </w:pPr>
            <w:r>
              <w:rPr>
                <w:rFonts w:ascii="Arial" w:cs="Arial" w:eastAsia="Arial" w:hAnsi="Arial"/>
                <w:sz w:val="11"/>
                <w:szCs w:val="11"/>
                <w:b w:val="1"/>
                <w:bCs w:val="1"/>
                <w:color w:val="auto"/>
              </w:rPr>
              <w:t>Identical Assets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rPr>
              <w:t>Inputs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280"/>
              <w:spacing w:after="0" w:line="123" w:lineRule="exact"/>
              <w:rPr>
                <w:sz w:val="20"/>
                <w:szCs w:val="20"/>
                <w:color w:val="auto"/>
              </w:rPr>
            </w:pPr>
            <w:r>
              <w:rPr>
                <w:rFonts w:ascii="Arial" w:cs="Arial" w:eastAsia="Arial" w:hAnsi="Arial"/>
                <w:sz w:val="11"/>
                <w:szCs w:val="11"/>
                <w:b w:val="1"/>
                <w:bCs w:val="1"/>
                <w:color w:val="auto"/>
              </w:rPr>
              <w:t>Inputs</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rPr>
              <w:t>(Level 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(Level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rPr>
              <w:t>(Level 3)</w:t>
            </w:r>
          </w:p>
        </w:tc>
        <w:tc>
          <w:tcPr>
            <w:tcW w:w="320" w:type="dxa"/>
            <w:vAlign w:val="bottom"/>
          </w:tcPr>
          <w:p>
            <w:pPr>
              <w:spacing w:after="0"/>
              <w:rPr>
                <w:sz w:val="13"/>
                <w:szCs w:val="13"/>
                <w:color w:val="auto"/>
              </w:rPr>
            </w:pPr>
          </w:p>
        </w:tc>
        <w:tc>
          <w:tcPr>
            <w:tcW w:w="1020" w:type="dxa"/>
            <w:vAlign w:val="bottom"/>
          </w:tcPr>
          <w:p>
            <w:pPr>
              <w:jc w:val="right"/>
              <w:ind w:right="449"/>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3"/>
                <w:szCs w:val="13"/>
                <w:color w:val="auto"/>
              </w:rPr>
            </w:pPr>
          </w:p>
        </w:tc>
      </w:tr>
      <w:tr>
        <w:trPr>
          <w:trHeight w:val="213"/>
        </w:trPr>
        <w:tc>
          <w:tcPr>
            <w:tcW w:w="4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Common collective trusts: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20"/>
              <w:spacing w:after="0"/>
              <w:rPr>
                <w:sz w:val="20"/>
                <w:szCs w:val="20"/>
                <w:color w:val="auto"/>
              </w:rPr>
            </w:pPr>
            <w:r>
              <w:rPr>
                <w:rFonts w:ascii="Arial" w:cs="Arial" w:eastAsia="Arial" w:hAnsi="Arial"/>
                <w:sz w:val="15"/>
                <w:szCs w:val="15"/>
                <w:color w:val="auto"/>
              </w:rPr>
              <w:t>Fixed income securities</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30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180,717</w:t>
            </w:r>
          </w:p>
        </w:tc>
        <w:tc>
          <w:tcPr>
            <w:tcW w:w="3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9"/>
              <w:spacing w:after="0"/>
              <w:rPr>
                <w:sz w:val="20"/>
                <w:szCs w:val="20"/>
                <w:color w:val="auto"/>
              </w:rPr>
            </w:pPr>
            <w:r>
              <w:rPr>
                <w:rFonts w:ascii="Arial" w:cs="Arial" w:eastAsia="Arial" w:hAnsi="Arial"/>
                <w:sz w:val="15"/>
                <w:szCs w:val="15"/>
                <w:color w:val="auto"/>
              </w:rPr>
              <w:t>180,717</w:t>
            </w:r>
          </w:p>
        </w:tc>
        <w:tc>
          <w:tcPr>
            <w:tcW w:w="20" w:type="dxa"/>
            <w:vAlign w:val="bottom"/>
          </w:tcPr>
          <w:p>
            <w:pPr>
              <w:spacing w:after="0"/>
              <w:rPr>
                <w:sz w:val="20"/>
                <w:szCs w:val="20"/>
                <w:color w:val="auto"/>
              </w:rPr>
            </w:pPr>
          </w:p>
        </w:tc>
      </w:tr>
      <w:tr>
        <w:trPr>
          <w:trHeight w:val="254"/>
        </w:trPr>
        <w:tc>
          <w:tcPr>
            <w:tcW w:w="20" w:type="dxa"/>
            <w:vAlign w:val="bottom"/>
            <w:shd w:val="clear" w:color="auto" w:fill="CCEEFF"/>
          </w:tcPr>
          <w:p>
            <w:pPr>
              <w:spacing w:after="0"/>
              <w:rPr>
                <w:sz w:val="22"/>
                <w:szCs w:val="22"/>
                <w:color w:val="auto"/>
              </w:rPr>
            </w:pPr>
          </w:p>
        </w:tc>
        <w:tc>
          <w:tcPr>
            <w:tcW w:w="4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Global equity securities</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123,413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123,413</w:t>
            </w:r>
          </w:p>
        </w:tc>
        <w:tc>
          <w:tcPr>
            <w:tcW w:w="20" w:type="dxa"/>
            <w:vAlign w:val="bottom"/>
            <w:shd w:val="clear" w:color="auto" w:fill="CCEEFF"/>
          </w:tcPr>
          <w:p>
            <w:pPr>
              <w:spacing w:after="0"/>
              <w:rPr>
                <w:sz w:val="22"/>
                <w:szCs w:val="22"/>
                <w:color w:val="auto"/>
              </w:rPr>
            </w:pPr>
          </w:p>
        </w:tc>
      </w:tr>
      <w:tr>
        <w:trPr>
          <w:trHeight w:val="237"/>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Money market mutual fund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5"/>
                <w:szCs w:val="15"/>
                <w:color w:val="auto"/>
              </w:rPr>
              <w:t>5,148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0"/>
                <w:szCs w:val="20"/>
                <w:color w:val="auto"/>
              </w:rPr>
            </w:pPr>
          </w:p>
        </w:tc>
        <w:tc>
          <w:tcPr>
            <w:tcW w:w="1020" w:type="dxa"/>
            <w:vAlign w:val="bottom"/>
          </w:tcPr>
          <w:p>
            <w:pPr>
              <w:jc w:val="right"/>
              <w:ind w:right="9"/>
              <w:spacing w:after="0"/>
              <w:rPr>
                <w:sz w:val="20"/>
                <w:szCs w:val="20"/>
                <w:color w:val="auto"/>
              </w:rPr>
            </w:pPr>
            <w:r>
              <w:rPr>
                <w:rFonts w:ascii="Arial" w:cs="Arial" w:eastAsia="Arial" w:hAnsi="Arial"/>
                <w:sz w:val="15"/>
                <w:szCs w:val="15"/>
                <w:color w:val="auto"/>
              </w:rPr>
              <w:t>5,148</w:t>
            </w:r>
          </w:p>
        </w:tc>
        <w:tc>
          <w:tcPr>
            <w:tcW w:w="20" w:type="dxa"/>
            <w:vAlign w:val="bottom"/>
          </w:tcPr>
          <w:p>
            <w:pPr>
              <w:spacing w:after="0"/>
              <w:rPr>
                <w:sz w:val="20"/>
                <w:szCs w:val="20"/>
                <w:color w:val="auto"/>
              </w:rPr>
            </w:pPr>
          </w:p>
        </w:tc>
      </w:tr>
      <w:tr>
        <w:trPr>
          <w:trHeight w:val="254"/>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Real estate</w:t>
            </w:r>
          </w:p>
        </w:tc>
        <w:tc>
          <w:tcPr>
            <w:tcW w:w="2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5"/>
                <w:szCs w:val="15"/>
                <w:color w:val="auto"/>
              </w:rPr>
              <w:t>17,308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17,308</w:t>
            </w:r>
          </w:p>
        </w:tc>
        <w:tc>
          <w:tcPr>
            <w:tcW w:w="20" w:type="dxa"/>
            <w:vAlign w:val="bottom"/>
            <w:tcBorders>
              <w:bottom w:val="single" w:sz="8" w:color="auto"/>
            </w:tcBorders>
            <w:shd w:val="clear" w:color="auto" w:fill="CCEEFF"/>
          </w:tcPr>
          <w:p>
            <w:pPr>
              <w:spacing w:after="0"/>
              <w:rPr>
                <w:sz w:val="22"/>
                <w:szCs w:val="22"/>
                <w:color w:val="auto"/>
              </w:rPr>
            </w:pPr>
          </w:p>
        </w:tc>
      </w:tr>
      <w:tr>
        <w:trPr>
          <w:trHeight w:val="205"/>
        </w:trPr>
        <w:tc>
          <w:tcPr>
            <w:tcW w:w="20" w:type="dxa"/>
            <w:vAlign w:val="bottom"/>
          </w:tcPr>
          <w:p>
            <w:pPr>
              <w:spacing w:after="0"/>
              <w:rPr>
                <w:sz w:val="17"/>
                <w:szCs w:val="17"/>
                <w:color w:val="auto"/>
              </w:rPr>
            </w:pPr>
          </w:p>
        </w:tc>
        <w:tc>
          <w:tcPr>
            <w:tcW w:w="4780" w:type="dxa"/>
            <w:vAlign w:val="bottom"/>
          </w:tcPr>
          <w:p>
            <w:pPr>
              <w:ind w:left="420"/>
              <w:spacing w:after="0"/>
              <w:rPr>
                <w:sz w:val="20"/>
                <w:szCs w:val="20"/>
                <w:color w:val="auto"/>
              </w:rPr>
            </w:pPr>
            <w:r>
              <w:rPr>
                <w:rFonts w:ascii="Arial" w:cs="Arial" w:eastAsia="Arial" w:hAnsi="Arial"/>
                <w:sz w:val="15"/>
                <w:szCs w:val="15"/>
                <w:color w:val="auto"/>
              </w:rPr>
              <w:t>Total assets at fair value</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5"/>
                <w:szCs w:val="15"/>
                <w:color w:val="auto"/>
              </w:rPr>
              <w:t>5,148</w:t>
            </w:r>
          </w:p>
        </w:tc>
        <w:tc>
          <w:tcPr>
            <w:tcW w:w="100" w:type="dxa"/>
            <w:vAlign w:val="bottom"/>
          </w:tcPr>
          <w:p>
            <w:pPr>
              <w:spacing w:after="0"/>
              <w:rPr>
                <w:sz w:val="17"/>
                <w:szCs w:val="17"/>
                <w:color w:val="auto"/>
              </w:rPr>
            </w:pPr>
          </w:p>
        </w:tc>
        <w:tc>
          <w:tcPr>
            <w:tcW w:w="30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304,130</w:t>
            </w:r>
          </w:p>
        </w:tc>
        <w:tc>
          <w:tcPr>
            <w:tcW w:w="3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34"/>
              <w:spacing w:after="0"/>
              <w:rPr>
                <w:sz w:val="20"/>
                <w:szCs w:val="20"/>
                <w:color w:val="auto"/>
              </w:rPr>
            </w:pPr>
            <w:r>
              <w:rPr>
                <w:rFonts w:ascii="Arial" w:cs="Arial" w:eastAsia="Arial" w:hAnsi="Arial"/>
                <w:sz w:val="15"/>
                <w:szCs w:val="15"/>
                <w:color w:val="auto"/>
              </w:rPr>
              <w:t>17,308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9"/>
              <w:spacing w:after="0"/>
              <w:rPr>
                <w:sz w:val="20"/>
                <w:szCs w:val="20"/>
                <w:color w:val="auto"/>
              </w:rPr>
            </w:pPr>
            <w:r>
              <w:rPr>
                <w:rFonts w:ascii="Arial" w:cs="Arial" w:eastAsia="Arial" w:hAnsi="Arial"/>
                <w:sz w:val="15"/>
                <w:szCs w:val="15"/>
                <w:color w:val="auto"/>
              </w:rPr>
              <w:t>326,586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673"/>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54" w:right="239" w:bottom="1440" w:gutter="0" w:footer="0" w:header="0"/>
        </w:sectPr>
      </w:pPr>
    </w:p>
    <w:bookmarkStart w:id="96" w:name="page97"/>
    <w:bookmarkEnd w:id="96"/>
    <w:p>
      <w:pPr>
        <w:ind w:left="460"/>
        <w:spacing w:after="0"/>
        <w:rPr>
          <w:sz w:val="20"/>
          <w:szCs w:val="20"/>
          <w:color w:val="auto"/>
        </w:rPr>
      </w:pPr>
      <w:r>
        <w:rPr>
          <w:rFonts w:ascii="Arial" w:cs="Arial" w:eastAsia="Arial" w:hAnsi="Arial"/>
          <w:sz w:val="15"/>
          <w:szCs w:val="15"/>
          <w:color w:val="auto"/>
        </w:rPr>
        <w:t>The following table provides a rollforward of plan assets valued using significant unobservable inputs (level 3),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07"/>
              <w:spacing w:after="0"/>
              <w:rPr>
                <w:sz w:val="20"/>
                <w:szCs w:val="20"/>
                <w:color w:val="auto"/>
              </w:rPr>
            </w:pPr>
            <w:r>
              <w:rPr>
                <w:rFonts w:ascii="Arial" w:cs="Arial" w:eastAsia="Arial" w:hAnsi="Arial"/>
                <w:sz w:val="11"/>
                <w:szCs w:val="11"/>
                <w:b w:val="1"/>
                <w:bCs w:val="1"/>
                <w:color w:val="auto"/>
              </w:rPr>
              <w:t>Real Estate</w:t>
            </w:r>
          </w:p>
        </w:tc>
      </w:tr>
      <w:tr>
        <w:trPr>
          <w:trHeight w:val="221"/>
        </w:trPr>
        <w:tc>
          <w:tcPr>
            <w:tcW w:w="9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 at December 31, 2014</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15,214</w:t>
            </w:r>
          </w:p>
        </w:tc>
      </w:tr>
      <w:tr>
        <w:trPr>
          <w:trHeight w:val="212"/>
        </w:trPr>
        <w:tc>
          <w:tcPr>
            <w:tcW w:w="9840" w:type="dxa"/>
            <w:vAlign w:val="bottom"/>
          </w:tcPr>
          <w:p>
            <w:pPr>
              <w:ind w:left="160"/>
              <w:spacing w:after="0"/>
              <w:rPr>
                <w:sz w:val="20"/>
                <w:szCs w:val="20"/>
                <w:color w:val="auto"/>
              </w:rPr>
            </w:pPr>
            <w:r>
              <w:rPr>
                <w:rFonts w:ascii="Arial" w:cs="Arial" w:eastAsia="Arial" w:hAnsi="Arial"/>
                <w:sz w:val="15"/>
                <w:szCs w:val="15"/>
                <w:color w:val="auto"/>
              </w:rPr>
              <w:t>Contributions</w:t>
            </w:r>
          </w:p>
        </w:tc>
        <w:tc>
          <w:tcPr>
            <w:tcW w:w="300" w:type="dxa"/>
            <w:vAlign w:val="bottom"/>
          </w:tcPr>
          <w:p>
            <w:pPr>
              <w:spacing w:after="0"/>
              <w:rPr>
                <w:sz w:val="18"/>
                <w:szCs w:val="18"/>
                <w:color w:val="auto"/>
              </w:rPr>
            </w:pP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608</w:t>
            </w:r>
          </w:p>
        </w:tc>
      </w:tr>
      <w:tr>
        <w:trPr>
          <w:trHeight w:val="229"/>
        </w:trPr>
        <w:tc>
          <w:tcPr>
            <w:tcW w:w="9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distributions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w:t>
            </w:r>
          </w:p>
        </w:tc>
      </w:tr>
      <w:tr>
        <w:trPr>
          <w:trHeight w:val="212"/>
        </w:trPr>
        <w:tc>
          <w:tcPr>
            <w:tcW w:w="9840" w:type="dxa"/>
            <w:vAlign w:val="bottom"/>
          </w:tcPr>
          <w:p>
            <w:pPr>
              <w:ind w:left="160"/>
              <w:spacing w:after="0"/>
              <w:rPr>
                <w:sz w:val="20"/>
                <w:szCs w:val="20"/>
                <w:color w:val="auto"/>
              </w:rPr>
            </w:pPr>
            <w:r>
              <w:rPr>
                <w:rFonts w:ascii="Arial" w:cs="Arial" w:eastAsia="Arial" w:hAnsi="Arial"/>
                <w:sz w:val="15"/>
                <w:szCs w:val="15"/>
                <w:color w:val="auto"/>
              </w:rPr>
              <w:t>Advisory fee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29"/>
        </w:trPr>
        <w:tc>
          <w:tcPr>
            <w:tcW w:w="9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investment income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393</w:t>
            </w:r>
          </w:p>
        </w:tc>
      </w:tr>
      <w:tr>
        <w:trPr>
          <w:trHeight w:val="212"/>
        </w:trPr>
        <w:tc>
          <w:tcPr>
            <w:tcW w:w="9840" w:type="dxa"/>
            <w:vAlign w:val="bottom"/>
          </w:tcPr>
          <w:p>
            <w:pPr>
              <w:ind w:left="160"/>
              <w:spacing w:after="0"/>
              <w:rPr>
                <w:sz w:val="20"/>
                <w:szCs w:val="20"/>
                <w:color w:val="auto"/>
              </w:rPr>
            </w:pPr>
            <w:r>
              <w:rPr>
                <w:rFonts w:ascii="Arial" w:cs="Arial" w:eastAsia="Arial" w:hAnsi="Arial"/>
                <w:sz w:val="15"/>
                <w:szCs w:val="15"/>
                <w:color w:val="auto"/>
              </w:rPr>
              <w:t>Unrealized gain</w:t>
            </w:r>
          </w:p>
        </w:tc>
        <w:tc>
          <w:tcPr>
            <w:tcW w:w="300" w:type="dxa"/>
            <w:vAlign w:val="bottom"/>
          </w:tcPr>
          <w:p>
            <w:pPr>
              <w:spacing w:after="0"/>
              <w:rPr>
                <w:sz w:val="18"/>
                <w:szCs w:val="18"/>
                <w:color w:val="auto"/>
              </w:rPr>
            </w:pP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1,863</w:t>
            </w:r>
          </w:p>
        </w:tc>
      </w:tr>
      <w:tr>
        <w:trPr>
          <w:trHeight w:val="229"/>
        </w:trPr>
        <w:tc>
          <w:tcPr>
            <w:tcW w:w="9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realized gain</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12</w:t>
            </w:r>
          </w:p>
        </w:tc>
      </w:tr>
      <w:tr>
        <w:trPr>
          <w:trHeight w:val="204"/>
        </w:trPr>
        <w:tc>
          <w:tcPr>
            <w:tcW w:w="9840" w:type="dxa"/>
            <w:vAlign w:val="bottom"/>
          </w:tcPr>
          <w:p>
            <w:pPr>
              <w:ind w:left="20"/>
              <w:spacing w:after="0"/>
              <w:rPr>
                <w:sz w:val="20"/>
                <w:szCs w:val="20"/>
                <w:color w:val="auto"/>
              </w:rPr>
            </w:pPr>
            <w:r>
              <w:rPr>
                <w:rFonts w:ascii="Arial" w:cs="Arial" w:eastAsia="Arial" w:hAnsi="Arial"/>
                <w:sz w:val="15"/>
                <w:szCs w:val="15"/>
                <w:color w:val="auto"/>
              </w:rPr>
              <w:t>Ending balance at December 31, 2015</w:t>
            </w:r>
          </w:p>
        </w:tc>
        <w:tc>
          <w:tcPr>
            <w:tcW w:w="300" w:type="dxa"/>
            <w:vAlign w:val="bottom"/>
          </w:tcPr>
          <w:p>
            <w:pPr>
              <w:spacing w:after="0"/>
              <w:rPr>
                <w:sz w:val="17"/>
                <w:szCs w:val="17"/>
                <w:color w:val="auto"/>
              </w:rPr>
            </w:pP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17,308</w:t>
            </w:r>
          </w:p>
        </w:tc>
      </w:tr>
      <w:tr>
        <w:trPr>
          <w:trHeight w:val="229"/>
        </w:trPr>
        <w:tc>
          <w:tcPr>
            <w:tcW w:w="9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Contributions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246</w:t>
            </w:r>
          </w:p>
        </w:tc>
      </w:tr>
      <w:tr>
        <w:trPr>
          <w:trHeight w:val="212"/>
        </w:trPr>
        <w:tc>
          <w:tcPr>
            <w:tcW w:w="9840" w:type="dxa"/>
            <w:vAlign w:val="bottom"/>
          </w:tcPr>
          <w:p>
            <w:pPr>
              <w:ind w:left="160"/>
              <w:spacing w:after="0"/>
              <w:rPr>
                <w:sz w:val="20"/>
                <w:szCs w:val="20"/>
                <w:color w:val="auto"/>
              </w:rPr>
            </w:pPr>
            <w:r>
              <w:rPr>
                <w:rFonts w:ascii="Arial" w:cs="Arial" w:eastAsia="Arial" w:hAnsi="Arial"/>
                <w:sz w:val="15"/>
                <w:szCs w:val="15"/>
                <w:color w:val="auto"/>
              </w:rPr>
              <w:t>Net distributions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(246)</w:t>
            </w:r>
          </w:p>
        </w:tc>
      </w:tr>
      <w:tr>
        <w:trPr>
          <w:trHeight w:val="229"/>
        </w:trPr>
        <w:tc>
          <w:tcPr>
            <w:tcW w:w="9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Advisory fee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r>
      <w:tr>
        <w:trPr>
          <w:trHeight w:val="212"/>
        </w:trPr>
        <w:tc>
          <w:tcPr>
            <w:tcW w:w="9840" w:type="dxa"/>
            <w:vAlign w:val="bottom"/>
          </w:tcPr>
          <w:p>
            <w:pPr>
              <w:ind w:left="160"/>
              <w:spacing w:after="0"/>
              <w:rPr>
                <w:sz w:val="20"/>
                <w:szCs w:val="20"/>
                <w:color w:val="auto"/>
              </w:rPr>
            </w:pPr>
            <w:r>
              <w:rPr>
                <w:rFonts w:ascii="Arial" w:cs="Arial" w:eastAsia="Arial" w:hAnsi="Arial"/>
                <w:sz w:val="15"/>
                <w:szCs w:val="15"/>
                <w:color w:val="auto"/>
              </w:rPr>
              <w:t>Net investment income</w:t>
            </w:r>
          </w:p>
        </w:tc>
        <w:tc>
          <w:tcPr>
            <w:tcW w:w="300" w:type="dxa"/>
            <w:vAlign w:val="bottom"/>
          </w:tcPr>
          <w:p>
            <w:pPr>
              <w:spacing w:after="0"/>
              <w:rPr>
                <w:sz w:val="18"/>
                <w:szCs w:val="18"/>
                <w:color w:val="auto"/>
              </w:rPr>
            </w:pP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813</w:t>
            </w:r>
          </w:p>
        </w:tc>
      </w:tr>
      <w:tr>
        <w:trPr>
          <w:trHeight w:val="229"/>
        </w:trPr>
        <w:tc>
          <w:tcPr>
            <w:tcW w:w="9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Unrealized gain</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593</w:t>
            </w:r>
          </w:p>
        </w:tc>
      </w:tr>
      <w:tr>
        <w:trPr>
          <w:trHeight w:val="213"/>
        </w:trPr>
        <w:tc>
          <w:tcPr>
            <w:tcW w:w="984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Net realized gain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213"/>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 at December 31, 2016</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18,519</w:t>
            </w:r>
          </w:p>
        </w:tc>
      </w:tr>
      <w:tr>
        <w:trPr>
          <w:trHeight w:val="20"/>
        </w:trPr>
        <w:tc>
          <w:tcPr>
            <w:tcW w:w="9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contributed $4 million to fund the LPP during the year ended December 31, 2014. No contributions were made during the years ended December 31, 2016 and 2015. Annual contributions to our defined benefit pension plans in the United States and Canada are based on several factors that may vary from year to year. Our funding practice with respect to the LPP is to contribute the minimum required contribution as defined by law while also maintaining an 80% funded status as defined by the Pension Protection Act of 2006. Thus, past contributions are not always indicative of future contributions. Based on current assumptions, we expect to contribute $7 million to our defined benefit pension plans in 2017.</w:t>
      </w:r>
    </w:p>
    <w:p>
      <w:pPr>
        <w:spacing w:after="0" w:line="192"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expected long term rate of return on plan assets for each measurement date was selected after giving consideration to historical returns on plan assets, assessments of expected long term inflation and market returns for each asset class and the target asset allocation strategy. We do not anticipate the return of any plan assets to us in 2017.</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expect the LPP to make the following estimated future benefit payments (in thousands):</w:t>
      </w:r>
    </w:p>
    <w:p>
      <w:pPr>
        <w:spacing w:after="0" w:line="272" w:lineRule="exact"/>
        <w:rPr>
          <w:sz w:val="20"/>
          <w:szCs w:val="20"/>
          <w:color w:val="auto"/>
        </w:rPr>
      </w:pPr>
    </w:p>
    <w:tbl>
      <w:tblPr>
        <w:tblLayout w:type="fixed"/>
        <w:tblInd w:w="1760" w:type="dxa"/>
        <w:tblCellMar>
          <w:top w:w="0" w:type="dxa"/>
          <w:left w:w="0" w:type="dxa"/>
          <w:bottom w:w="0" w:type="dxa"/>
          <w:right w:w="0" w:type="dxa"/>
        </w:tblCellMar>
      </w:tblPr>
      <w:tr>
        <w:trPr>
          <w:trHeight w:val="159"/>
        </w:trPr>
        <w:tc>
          <w:tcPr>
            <w:tcW w:w="63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29"/>
              <w:spacing w:after="0"/>
              <w:rPr>
                <w:sz w:val="20"/>
                <w:szCs w:val="20"/>
                <w:color w:val="auto"/>
              </w:rPr>
            </w:pPr>
            <w:r>
              <w:rPr>
                <w:rFonts w:ascii="Arial" w:cs="Arial" w:eastAsia="Arial" w:hAnsi="Arial"/>
                <w:sz w:val="11"/>
                <w:szCs w:val="11"/>
                <w:b w:val="1"/>
                <w:bCs w:val="1"/>
                <w:color w:val="auto"/>
              </w:rPr>
              <w:t>Amount</w:t>
            </w:r>
          </w:p>
        </w:tc>
      </w:tr>
      <w:tr>
        <w:trPr>
          <w:trHeight w:val="221"/>
        </w:trPr>
        <w:tc>
          <w:tcPr>
            <w:tcW w:w="6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2017</w:t>
            </w: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30,694</w:t>
            </w:r>
          </w:p>
        </w:tc>
      </w:tr>
      <w:tr>
        <w:trPr>
          <w:trHeight w:val="212"/>
        </w:trPr>
        <w:tc>
          <w:tcPr>
            <w:tcW w:w="6300" w:type="dxa"/>
            <w:vAlign w:val="bottom"/>
          </w:tcPr>
          <w:p>
            <w:pPr>
              <w:ind w:left="20"/>
              <w:spacing w:after="0"/>
              <w:rPr>
                <w:sz w:val="20"/>
                <w:szCs w:val="20"/>
                <w:color w:val="auto"/>
              </w:rPr>
            </w:pPr>
            <w:r>
              <w:rPr>
                <w:rFonts w:ascii="Arial" w:cs="Arial" w:eastAsia="Arial" w:hAnsi="Arial"/>
                <w:sz w:val="15"/>
                <w:szCs w:val="15"/>
                <w:color w:val="auto"/>
              </w:rPr>
              <w:t>2018</w:t>
            </w:r>
          </w:p>
        </w:tc>
        <w:tc>
          <w:tcPr>
            <w:tcW w:w="36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color w:val="auto"/>
              </w:rPr>
              <w:t>30,910</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30,491</w:t>
            </w:r>
          </w:p>
        </w:tc>
      </w:tr>
      <w:tr>
        <w:trPr>
          <w:trHeight w:val="212"/>
        </w:trPr>
        <w:tc>
          <w:tcPr>
            <w:tcW w:w="6300" w:type="dxa"/>
            <w:vAlign w:val="bottom"/>
          </w:tcPr>
          <w:p>
            <w:pPr>
              <w:ind w:left="20"/>
              <w:spacing w:after="0"/>
              <w:rPr>
                <w:sz w:val="20"/>
                <w:szCs w:val="20"/>
                <w:color w:val="auto"/>
              </w:rPr>
            </w:pPr>
            <w:r>
              <w:rPr>
                <w:rFonts w:ascii="Arial" w:cs="Arial" w:eastAsia="Arial" w:hAnsi="Arial"/>
                <w:sz w:val="15"/>
                <w:szCs w:val="15"/>
                <w:color w:val="auto"/>
              </w:rPr>
              <w:t>2020</w:t>
            </w:r>
          </w:p>
        </w:tc>
        <w:tc>
          <w:tcPr>
            <w:tcW w:w="36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color w:val="auto"/>
              </w:rPr>
              <w:t>28,470</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31,037</w:t>
            </w:r>
          </w:p>
        </w:tc>
      </w:tr>
      <w:tr>
        <w:trPr>
          <w:trHeight w:val="203"/>
        </w:trPr>
        <w:tc>
          <w:tcPr>
            <w:tcW w:w="6300" w:type="dxa"/>
            <w:vAlign w:val="bottom"/>
          </w:tcPr>
          <w:p>
            <w:pPr>
              <w:ind w:left="20"/>
              <w:spacing w:after="0"/>
              <w:rPr>
                <w:sz w:val="20"/>
                <w:szCs w:val="20"/>
                <w:color w:val="auto"/>
              </w:rPr>
            </w:pPr>
            <w:r>
              <w:rPr>
                <w:rFonts w:ascii="Arial" w:cs="Arial" w:eastAsia="Arial" w:hAnsi="Arial"/>
                <w:sz w:val="15"/>
                <w:szCs w:val="15"/>
                <w:color w:val="auto"/>
              </w:rPr>
              <w:t>2022-2026</w:t>
            </w:r>
          </w:p>
        </w:tc>
        <w:tc>
          <w:tcPr>
            <w:tcW w:w="36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color w:val="auto"/>
              </w:rPr>
              <w:t>153,245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Related Party Transactions</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On March 30, 2007, we entered into a Management Services Agreement (the “MSA”) with affiliates of TPG and Silver Lake to provide us with management services. The MSA was terminated in conjunction with our initial public offering completed in April 2014. Pursuant to the MSA, we were required to pay monitoring fees of between $5 million and $7 million each year which were dependent on our consolidated earnings before interest, taxes, depreciation and amortization for these services. In conjunction with our initial public offering, we paid TPG and Silver Lake, in the aggregate, a $21 million fee pursuant to the MSA. We recognized expenses of $2 million related to the annual monitoring fee for the years ended December 31, 2014. We also reimbursed TPG and Silver Lake for out of pocket expenses incurred by them or their affiliates in connection with services provided pursuant to the MSA. These expenses were not material for the years ended December 31,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1420"/>
          </w:cols>
          <w:pgMar w:left="240" w:top="754" w:right="239" w:bottom="1440" w:gutter="0" w:footer="0" w:header="0"/>
        </w:sectPr>
      </w:pPr>
    </w:p>
    <w:bookmarkStart w:id="97" w:name="page98"/>
    <w:bookmarkEnd w:id="97"/>
    <w:p>
      <w:pPr>
        <w:ind w:left="2" w:right="8840" w:hanging="2"/>
        <w:spacing w:after="0" w:line="407" w:lineRule="auto"/>
        <w:tabs>
          <w:tab w:leader="none" w:pos="247"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Lease Commitments</w:t>
      </w:r>
    </w:p>
    <w:p>
      <w:pPr>
        <w:spacing w:after="0" w:line="144" w:lineRule="exact"/>
        <w:rPr>
          <w:sz w:val="20"/>
          <w:szCs w:val="20"/>
          <w:color w:val="auto"/>
        </w:rPr>
      </w:pPr>
    </w:p>
    <w:p>
      <w:pPr>
        <w:ind w:left="2" w:right="60" w:firstLine="589"/>
        <w:spacing w:after="0"/>
        <w:rPr>
          <w:sz w:val="20"/>
          <w:szCs w:val="20"/>
          <w:color w:val="auto"/>
        </w:rPr>
      </w:pPr>
      <w:r>
        <w:rPr>
          <w:rFonts w:ascii="Arial" w:cs="Arial" w:eastAsia="Arial" w:hAnsi="Arial"/>
          <w:sz w:val="15"/>
          <w:szCs w:val="15"/>
          <w:color w:val="auto"/>
        </w:rPr>
        <w:t>We lease certain facilities under long term operating leases. Certain of our lease agreements contain renewal options, early termination options and/or payment escalations based on fixed annual increases, local consumer price index changes or market rental reviews. We recognize rent expense with fixed rate increases and/or fixed rent reductions on a straight line basis over the term of the lease. We lease approximately one million square feet of office space in 114 locations in 53 countries. For the years ended December 31, 2016, 2015 and 2014, we recognized rent expense of $26 million, $28 million and $31 million, respectively. Future minimum lease payments under non-cancelable operating leases are as follows (in thousands):</w:t>
      </w:r>
    </w:p>
    <w:p>
      <w:pPr>
        <w:spacing w:after="0" w:line="269" w:lineRule="exact"/>
        <w:rPr>
          <w:sz w:val="20"/>
          <w:szCs w:val="20"/>
          <w:color w:val="auto"/>
        </w:rPr>
      </w:pPr>
    </w:p>
    <w:tbl>
      <w:tblPr>
        <w:tblLayout w:type="fixed"/>
        <w:tblInd w:w="1762" w:type="dxa"/>
        <w:tblCellMar>
          <w:top w:w="0" w:type="dxa"/>
          <w:left w:w="0" w:type="dxa"/>
          <w:bottom w:w="0" w:type="dxa"/>
          <w:right w:w="0" w:type="dxa"/>
        </w:tblCellMar>
      </w:tblPr>
      <w:tr>
        <w:trPr>
          <w:trHeight w:val="159"/>
        </w:trPr>
        <w:tc>
          <w:tcPr>
            <w:tcW w:w="63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1"/>
                <w:szCs w:val="11"/>
                <w:b w:val="1"/>
                <w:bCs w:val="1"/>
                <w:color w:val="auto"/>
              </w:rPr>
              <w:t>Amount</w:t>
            </w:r>
          </w:p>
        </w:tc>
      </w:tr>
      <w:tr>
        <w:trPr>
          <w:trHeight w:val="221"/>
        </w:trPr>
        <w:tc>
          <w:tcPr>
            <w:tcW w:w="6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2017</w:t>
            </w: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29,398</w:t>
            </w:r>
          </w:p>
        </w:tc>
      </w:tr>
      <w:tr>
        <w:trPr>
          <w:trHeight w:val="212"/>
        </w:trPr>
        <w:tc>
          <w:tcPr>
            <w:tcW w:w="6300" w:type="dxa"/>
            <w:vAlign w:val="bottom"/>
          </w:tcPr>
          <w:p>
            <w:pPr>
              <w:ind w:left="20"/>
              <w:spacing w:after="0"/>
              <w:rPr>
                <w:sz w:val="20"/>
                <w:szCs w:val="20"/>
                <w:color w:val="auto"/>
              </w:rPr>
            </w:pPr>
            <w:r>
              <w:rPr>
                <w:rFonts w:ascii="Arial" w:cs="Arial" w:eastAsia="Arial" w:hAnsi="Arial"/>
                <w:sz w:val="15"/>
                <w:szCs w:val="15"/>
                <w:color w:val="auto"/>
              </w:rPr>
              <w:t>2018</w:t>
            </w:r>
          </w:p>
        </w:tc>
        <w:tc>
          <w:tcPr>
            <w:tcW w:w="3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5"/>
                <w:szCs w:val="15"/>
                <w:color w:val="auto"/>
              </w:rPr>
              <w:t>26,498</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23,037</w:t>
            </w:r>
          </w:p>
        </w:tc>
      </w:tr>
      <w:tr>
        <w:trPr>
          <w:trHeight w:val="212"/>
        </w:trPr>
        <w:tc>
          <w:tcPr>
            <w:tcW w:w="6300" w:type="dxa"/>
            <w:vAlign w:val="bottom"/>
          </w:tcPr>
          <w:p>
            <w:pPr>
              <w:ind w:left="20"/>
              <w:spacing w:after="0"/>
              <w:rPr>
                <w:sz w:val="20"/>
                <w:szCs w:val="20"/>
                <w:color w:val="auto"/>
              </w:rPr>
            </w:pPr>
            <w:r>
              <w:rPr>
                <w:rFonts w:ascii="Arial" w:cs="Arial" w:eastAsia="Arial" w:hAnsi="Arial"/>
                <w:sz w:val="15"/>
                <w:szCs w:val="15"/>
                <w:color w:val="auto"/>
              </w:rPr>
              <w:t>2020</w:t>
            </w:r>
          </w:p>
        </w:tc>
        <w:tc>
          <w:tcPr>
            <w:tcW w:w="3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5"/>
                <w:szCs w:val="15"/>
                <w:color w:val="auto"/>
              </w:rPr>
              <w:t>20,479</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17,671</w:t>
            </w:r>
          </w:p>
        </w:tc>
      </w:tr>
      <w:tr>
        <w:trPr>
          <w:trHeight w:val="21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39,927</w:t>
            </w:r>
          </w:p>
        </w:tc>
      </w:tr>
      <w:tr>
        <w:trPr>
          <w:trHeight w:val="213"/>
        </w:trPr>
        <w:tc>
          <w:tcPr>
            <w:tcW w:w="6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157,010</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Legal Proceedings</w:t>
      </w:r>
    </w:p>
    <w:p>
      <w:pPr>
        <w:spacing w:after="0" w:line="115" w:lineRule="exact"/>
        <w:rPr>
          <w:sz w:val="20"/>
          <w:szCs w:val="20"/>
          <w:color w:val="auto"/>
        </w:rPr>
      </w:pPr>
    </w:p>
    <w:p>
      <w:pPr>
        <w:jc w:val="both"/>
        <w:ind w:left="2" w:firstLine="454"/>
        <w:spacing w:after="0" w:line="262" w:lineRule="auto"/>
        <w:rPr>
          <w:sz w:val="20"/>
          <w:szCs w:val="20"/>
          <w:color w:val="auto"/>
        </w:rPr>
      </w:pPr>
      <w:r>
        <w:rPr>
          <w:rFonts w:ascii="Arial" w:cs="Arial" w:eastAsia="Arial" w:hAnsi="Arial"/>
          <w:sz w:val="14"/>
          <w:szCs w:val="14"/>
          <w:color w:val="auto"/>
        </w:rPr>
        <w:t>While certain legal proceedings and related indemnification obligations to which we are a party specify the amounts claimed, these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pacing w:after="0" w:line="293" w:lineRule="exact"/>
        <w:rPr>
          <w:sz w:val="20"/>
          <w:szCs w:val="20"/>
          <w:color w:val="auto"/>
        </w:rPr>
      </w:pPr>
    </w:p>
    <w:p>
      <w:pPr>
        <w:ind w:left="462"/>
        <w:spacing w:after="0"/>
        <w:rPr>
          <w:sz w:val="20"/>
          <w:szCs w:val="20"/>
          <w:color w:val="auto"/>
        </w:rPr>
      </w:pPr>
      <w:r>
        <w:rPr>
          <w:rFonts w:ascii="Arial" w:cs="Arial" w:eastAsia="Arial" w:hAnsi="Arial"/>
          <w:sz w:val="15"/>
          <w:szCs w:val="15"/>
          <w:b w:val="1"/>
          <w:bCs w:val="1"/>
          <w:i w:val="1"/>
          <w:iCs w:val="1"/>
          <w:color w:val="auto"/>
        </w:rPr>
        <w:t>Antitrust Litigation and DOJ Investigation</w:t>
      </w:r>
    </w:p>
    <w:p>
      <w:pPr>
        <w:spacing w:after="0" w:line="173" w:lineRule="exact"/>
        <w:rPr>
          <w:sz w:val="20"/>
          <w:szCs w:val="20"/>
          <w:color w:val="auto"/>
        </w:rPr>
      </w:pPr>
    </w:p>
    <w:p>
      <w:pPr>
        <w:ind w:left="462"/>
        <w:spacing w:after="0"/>
        <w:rPr>
          <w:sz w:val="20"/>
          <w:szCs w:val="20"/>
          <w:color w:val="auto"/>
        </w:rPr>
      </w:pPr>
      <w:r>
        <w:rPr>
          <w:rFonts w:ascii="Arial" w:cs="Arial" w:eastAsia="Arial" w:hAnsi="Arial"/>
          <w:sz w:val="15"/>
          <w:szCs w:val="15"/>
          <w:i w:val="1"/>
          <w:iCs w:val="1"/>
          <w:color w:val="auto"/>
        </w:rPr>
        <w:t>US Airways Antitrust Litigation</w:t>
      </w:r>
    </w:p>
    <w:p>
      <w:pPr>
        <w:spacing w:after="0" w:line="150" w:lineRule="exact"/>
        <w:rPr>
          <w:sz w:val="20"/>
          <w:szCs w:val="20"/>
          <w:color w:val="auto"/>
        </w:rPr>
      </w:pPr>
    </w:p>
    <w:p>
      <w:pPr>
        <w:jc w:val="both"/>
        <w:ind w:left="2" w:firstLine="441"/>
        <w:spacing w:after="0"/>
        <w:rPr>
          <w:sz w:val="20"/>
          <w:szCs w:val="20"/>
          <w:color w:val="auto"/>
        </w:rPr>
      </w:pPr>
      <w:r>
        <w:rPr>
          <w:rFonts w:ascii="Arial" w:cs="Arial" w:eastAsia="Arial" w:hAnsi="Arial"/>
          <w:sz w:val="15"/>
          <w:szCs w:val="15"/>
          <w:color w:val="auto"/>
        </w:rPr>
        <w:t>In April 2011, US Airways filed suit against us in federal court in the Southern District of New York, alleging violations of the Sherman Act Section 1 (anticompetitive agreements) and Section 2 (monopolization). The complaint was filed fewer than two months after we entered into a new distribution agreement with US Airways. In September 2011, the court dismissed all claims relating to Section 2. The claims that were not dismissed are claims brought under Section 1 of the Sherman Act, relating to our contracts with US Airways, which US Airways claims contain anticompetitive provisions, and an alleged conspiracy with the other GDSs, allegedly to maintain the industry structure and not to compete for content. We strongly deny all of the allegations made by US Airways.</w:t>
      </w:r>
    </w:p>
    <w:p>
      <w:pPr>
        <w:spacing w:after="0" w:line="192" w:lineRule="exact"/>
        <w:rPr>
          <w:sz w:val="20"/>
          <w:szCs w:val="20"/>
          <w:color w:val="auto"/>
        </w:rPr>
      </w:pPr>
    </w:p>
    <w:p>
      <w:pPr>
        <w:jc w:val="both"/>
        <w:ind w:left="2" w:firstLine="441"/>
        <w:spacing w:after="0" w:line="242" w:lineRule="auto"/>
        <w:rPr>
          <w:sz w:val="20"/>
          <w:szCs w:val="20"/>
          <w:color w:val="auto"/>
        </w:rPr>
      </w:pPr>
      <w:r>
        <w:rPr>
          <w:rFonts w:ascii="Arial" w:cs="Arial" w:eastAsia="Arial" w:hAnsi="Arial"/>
          <w:sz w:val="15"/>
          <w:szCs w:val="15"/>
          <w:color w:val="auto"/>
        </w:rPr>
        <w:t>Sabre filed summary judgment motions in April 2014. In January 2015, the court issued an order granting Sabre's summary judgment motions in part, eliminating a majority of US Airways' alleged damages and rejecting its request for injunctive relief by which US Airways sought to bar Sabre from enforcing certain provisions in our contracts. In September 2015, the court also dismissed US Airways' claim for declaratory relief. US Airways may appeal the court's rulings upon a final judgment.</w:t>
      </w:r>
    </w:p>
    <w:p>
      <w:pPr>
        <w:spacing w:after="0" w:line="190" w:lineRule="exact"/>
        <w:rPr>
          <w:sz w:val="20"/>
          <w:szCs w:val="20"/>
          <w:color w:val="auto"/>
        </w:rPr>
      </w:pPr>
    </w:p>
    <w:p>
      <w:pPr>
        <w:jc w:val="both"/>
        <w:ind w:left="2" w:firstLine="441"/>
        <w:spacing w:after="0" w:line="242" w:lineRule="auto"/>
        <w:rPr>
          <w:sz w:val="20"/>
          <w:szCs w:val="20"/>
          <w:color w:val="auto"/>
        </w:rPr>
      </w:pPr>
      <w:r>
        <w:rPr>
          <w:rFonts w:ascii="Arial" w:cs="Arial" w:eastAsia="Arial" w:hAnsi="Arial"/>
          <w:sz w:val="15"/>
          <w:szCs w:val="15"/>
          <w:color w:val="auto"/>
        </w:rPr>
        <w:t>The trial on the remaining claims commenced in October 2016. In December 2016, the jury issued a verdict in favor of US Airways with respect to its claim under Section 1 of the Sherman Act regarding Sabre's contract with US Airways and awarded it $5 million in single damages. The jury rejected US Airways' claim alleging a conspiracy with the other GDSs.</w:t>
      </w:r>
    </w:p>
    <w:p>
      <w:pPr>
        <w:spacing w:after="0" w:line="190" w:lineRule="exact"/>
        <w:rPr>
          <w:sz w:val="20"/>
          <w:szCs w:val="20"/>
          <w:color w:val="auto"/>
        </w:rPr>
      </w:pPr>
    </w:p>
    <w:p>
      <w:pPr>
        <w:jc w:val="both"/>
        <w:ind w:left="2" w:firstLine="441"/>
        <w:spacing w:after="0"/>
        <w:rPr>
          <w:sz w:val="20"/>
          <w:szCs w:val="20"/>
          <w:color w:val="auto"/>
        </w:rPr>
      </w:pPr>
      <w:r>
        <w:rPr>
          <w:rFonts w:ascii="Arial" w:cs="Arial" w:eastAsia="Arial" w:hAnsi="Arial"/>
          <w:sz w:val="15"/>
          <w:szCs w:val="15"/>
          <w:color w:val="auto"/>
        </w:rPr>
        <w:t>We continue to believe that our business practices and contract terms are lawful, and we have filed a motion seeking judgment as a matter of law in favor of Sabre on the one claim on which the jury found for US Airways. To the extent the court declines to grant this motion and enters final judgment based on the jury’s verdict, we expect to file an appeal with the United States Court of Appeals for the Second Circuit seeking a reversal of the judgment. To appeal the case, we may be required to post one or more supersedeas bonds that could equal the aggregate amount of the judgment entered plus interest. We expect to fund these bonds with cash on hand or letters of credit issued under our Revolver.</w:t>
      </w:r>
    </w:p>
    <w:p>
      <w:pPr>
        <w:spacing w:after="0" w:line="192" w:lineRule="exact"/>
        <w:rPr>
          <w:sz w:val="20"/>
          <w:szCs w:val="20"/>
          <w:color w:val="auto"/>
        </w:rPr>
      </w:pPr>
    </w:p>
    <w:p>
      <w:pPr>
        <w:jc w:val="both"/>
        <w:ind w:left="2" w:firstLine="441"/>
        <w:spacing w:after="0" w:line="241" w:lineRule="auto"/>
        <w:rPr>
          <w:sz w:val="20"/>
          <w:szCs w:val="20"/>
          <w:color w:val="auto"/>
        </w:rPr>
      </w:pPr>
      <w:r>
        <w:rPr>
          <w:rFonts w:ascii="Arial" w:cs="Arial" w:eastAsia="Arial" w:hAnsi="Arial"/>
          <w:sz w:val="15"/>
          <w:szCs w:val="15"/>
          <w:color w:val="auto"/>
        </w:rPr>
        <w:t>In light of the verdict, we have accrued a loss of $32 million as of December 31, 2016, which represents the trebling of the jury's damages award, as required by the Sherman Act, plus our estimate of attorneys’ fees, expenses and costs which we would be required to pay pursuant to the Sherman Act. We are unable to estimate the exact amount of the loss associated with the verdict, but estimate that there is a range of outcomes between $32 million and $65 million, inclusive of the trebled jury award of approximately</w:t>
      </w:r>
    </w:p>
    <w:p>
      <w:pPr>
        <w:spacing w:after="0" w:line="215"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1422"/>
          </w:cols>
          <w:pgMar w:left="238" w:top="835" w:right="239" w:bottom="1440" w:gutter="0" w:footer="0" w:header="0"/>
        </w:sectPr>
      </w:pPr>
    </w:p>
    <w:bookmarkStart w:id="98" w:name="page99"/>
    <w:bookmarkEnd w:id="98"/>
    <w:p>
      <w:pPr>
        <w:jc w:val="both"/>
        <w:spacing w:after="0" w:line="260" w:lineRule="auto"/>
        <w:rPr>
          <w:sz w:val="20"/>
          <w:szCs w:val="20"/>
          <w:color w:val="auto"/>
        </w:rPr>
      </w:pPr>
      <w:r>
        <w:rPr>
          <w:rFonts w:ascii="Arial" w:cs="Arial" w:eastAsia="Arial" w:hAnsi="Arial"/>
          <w:sz w:val="14"/>
          <w:szCs w:val="14"/>
          <w:color w:val="auto"/>
        </w:rPr>
        <w:t>$15 million. No amount within the range is considered a better estimate than any other amount within the range and therefore, the minimum within the range has been recorded in selling, general and administrative expense. The amount of attorneys' fees and costs to be awarded is subject to briefing by the parties, which has not occurred yet, and final decision by the court. If we believe US Airways is not entitled under the law to recover all of the fees and costs it seeks to recover, we will dispute its request. The ultimate resolution of this matter may be greater or less than the amount recorded and, if greater, could adversely affect our results of operations. We have and will incur significant fees, costs and expenses for as long as the lawsuit, including any appeal, is ongoing. In addition, litigation by its nature is highly uncertain and fraught with risk, and it is therefore difficult to predict the outcome of any particular matter, including any appeal or changes to our business that may be required as a result of the litigation. Depending on the outcome of the litigation, any of these consequences could have a material adverse effect on our business, financial condition and results of operations.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Putative Class Action Lawsuit</w:t>
      </w:r>
    </w:p>
    <w:p>
      <w:pPr>
        <w:spacing w:after="0" w:line="150"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5"/>
          <w:szCs w:val="15"/>
          <w:color w:val="auto"/>
        </w:rPr>
        <w:t>In July 2015, a putative class action lawsuit was filed against us and two other GDSs, in the United States District Court for the Southern District of New York. The plaintiffs, who are asserting claims on behalf of a putative class of consumers in various states, are generally alleging that the GDSs conspired to negotiate for full content from the airlines, resulting in higher ticket prices for consumers, in violation of various federal and state laws. The plaintiffs sought an unspecified amount of damages in connection with their state law claims, and they requested injunctive relief in connection with their federal claim. In July 2016, the court granted, in part, our motion to dismiss the lawsuit, finding that plaintiffs’ state law claims are preempted by federal law, thereby precluding their claims for damages. The court declined to dismiss plaintiffs’ claim seeking an injunction under federal antitrust law. The plaintiffs may appeal the court’s dismissal of their state law claims upon a final judgment. We believe that the claims associated with this case are neither probable nor estimable and therefore have not accrued any losses as of December 31, 2016. We may incur significant fees, costs and expenses for as long as this litigation is ongoing. We intend to vigorously defend against the remaining claims.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Department of Justice Investigation</w:t>
      </w:r>
    </w:p>
    <w:p>
      <w:pPr>
        <w:spacing w:after="0" w:line="113" w:lineRule="exact"/>
        <w:rPr>
          <w:sz w:val="20"/>
          <w:szCs w:val="20"/>
          <w:color w:val="auto"/>
        </w:rPr>
      </w:pPr>
    </w:p>
    <w:p>
      <w:pPr>
        <w:jc w:val="both"/>
        <w:ind w:firstLine="454"/>
        <w:spacing w:after="0" w:line="260" w:lineRule="auto"/>
        <w:rPr>
          <w:sz w:val="20"/>
          <w:szCs w:val="20"/>
          <w:color w:val="auto"/>
        </w:rPr>
      </w:pPr>
      <w:r>
        <w:rPr>
          <w:rFonts w:ascii="Arial" w:cs="Arial" w:eastAsia="Arial" w:hAnsi="Arial"/>
          <w:sz w:val="14"/>
          <w:szCs w:val="14"/>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 We have not received any communications from the DOJ regarding this matter for several years; however, we have not been notified that this matter is closed.</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Insurance Carriers</w:t>
      </w:r>
    </w:p>
    <w:p>
      <w:pPr>
        <w:spacing w:after="0" w:line="152" w:lineRule="exact"/>
        <w:rPr>
          <w:sz w:val="20"/>
          <w:szCs w:val="20"/>
          <w:color w:val="auto"/>
        </w:rPr>
      </w:pPr>
    </w:p>
    <w:p>
      <w:pPr>
        <w:jc w:val="both"/>
        <w:ind w:firstLine="454"/>
        <w:spacing w:after="0" w:line="239" w:lineRule="auto"/>
        <w:rPr>
          <w:sz w:val="20"/>
          <w:szCs w:val="20"/>
          <w:color w:val="auto"/>
        </w:rPr>
      </w:pPr>
      <w:r>
        <w:rPr>
          <w:rFonts w:ascii="Arial" w:cs="Arial" w:eastAsia="Arial" w:hAnsi="Arial"/>
          <w:sz w:val="15"/>
          <w:szCs w:val="15"/>
          <w:color w:val="auto"/>
        </w:rPr>
        <w:t>We have disputes against some of our insurance carriers for failing to reimburse defense costs incurred in our previous litigation with American Airlines, which we settled in October 2012. Both insurance carriers admitted there is coverage and agreed to defend us, but reserved their rights not to pay should we be found liable for certain of American Airlines’ allegations. Despite their admission of coverage, the insurers only reimbursed us for a small portion of our significant defense costs. We filed suit against the entities in New York state court alleging breach of contract and a statutory cause of action for failure to promptly pay claims. Although the carriers never withdrew their agreement to defend us, they recently have taken the position in the lawsuit that they had no duty to defend or indemnify us. If we prevail, we may recover some or all amounts previously tendered to the insurance companies for payment within the limits of the policies and may be entitled to 18% interest on such amounts, all of which will be recorded in the period cash is received. In December 2016, the judge issued an order on the parties’ competing motions for summary judgment. The judge partially granted Sabre’s motion, concluding the carriers had a duty to defend Sabre in the underlying American Airlines litigation and that their conflict of interest precluded the carriers from controlling the defense of the litigation. The judge denied the carriers’ motion seeking summary judgment and dismissal of Sabre’s complaint. The carriers are appealing the summary judgment ruling. To date, settlement discussions have been unsuccessful. Discovery is closed, and a trial date has been set for October 2017.</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Indian Income Tax Litigation</w:t>
      </w:r>
    </w:p>
    <w:p>
      <w:pPr>
        <w:spacing w:after="0" w:line="152"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The DIT has continued to issue further tax assessments on a similar basis for subsequent years; however, the tax assessments for assessment years ending March 2007 and later are no longer material. We appealed the tax assessments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1420"/>
          </w:cols>
          <w:pgMar w:left="240" w:top="754" w:right="239" w:bottom="1440" w:gutter="0" w:footer="0" w:header="0"/>
        </w:sectPr>
      </w:pPr>
    </w:p>
    <w:bookmarkStart w:id="99" w:name="page100"/>
    <w:bookmarkEnd w:id="99"/>
    <w:p>
      <w:pPr>
        <w:jc w:val="both"/>
        <w:spacing w:after="0"/>
        <w:rPr>
          <w:sz w:val="20"/>
          <w:szCs w:val="20"/>
          <w:color w:val="auto"/>
        </w:rPr>
      </w:pPr>
      <w:r>
        <w:rPr>
          <w:rFonts w:ascii="Arial" w:cs="Arial" w:eastAsia="Arial" w:hAnsi="Arial"/>
          <w:sz w:val="15"/>
          <w:szCs w:val="15"/>
          <w:color w:val="auto"/>
        </w:rPr>
        <w:t>for assessment years ending March 1998 through March 2006 and the Indian Commissioner of Income Tax Appeals returned a mixed verdict. We filed further appeals with the Income Tax Appellate Tribunal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 We have appealed the tax assessment for the assessment year ended March 2013 with the ITAT and no trial date has been set.</w:t>
      </w:r>
    </w:p>
    <w:p>
      <w:pPr>
        <w:spacing w:after="0" w:line="192"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In addition, SAPPL is currently a defendant in similar income tax litigation brought by the DIT. The dispute arose when the DIT asserted that SAPPL has a permanent establishment within the meaning of the Income Tax Treaty between Singapore and India and accordingly issued tax assessments for assessment years ending March 2000 through March 2005. SAPPL appealed the tax assessments, and the Indian Commissioner of Income Tax (Appeals) returned a mixed verdict. SAPPL filed further appeals with the ITAT. The ITAT ruled in SAPPL’s favor, finding that no income would be chargeable to tax for assessment years ending March 2000 through March 2005. The DIT appealed those decisions to the Delhi High Court. No hearing date has been set. The DIT also assessed taxes on a similar basis for assessment years ending March 2006 through March 2013 and appeals for assessment years ending March 2006 through 2012 are pending before the ITAT.</w:t>
      </w:r>
    </w:p>
    <w:p>
      <w:pPr>
        <w:spacing w:after="0" w:line="192"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If the DIT were to fully prevail on every claim against us, including SAPPL, we could be subject to taxes, interest and penalties of approximately $43 million as of December 31, 2016. We intend to continue to aggressively defend against each of the foregoing claims. Although we do not believe that the outcome of the proceedings will result in a material impact on our business or financial condition, litigation is by its nature uncertain. We do not believe this outcome is probable and therefore have not made any provisions or recorded any liability for the potential resolution of any of these claims.</w:t>
      </w:r>
    </w:p>
    <w:p>
      <w:pPr>
        <w:spacing w:after="0" w:line="30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Indian Service Tax Litigation</w:t>
      </w:r>
    </w:p>
    <w:p>
      <w:pPr>
        <w:spacing w:after="0" w:line="152" w:lineRule="exact"/>
        <w:rPr>
          <w:sz w:val="20"/>
          <w:szCs w:val="20"/>
          <w:color w:val="auto"/>
        </w:rPr>
      </w:pPr>
    </w:p>
    <w:p>
      <w:pPr>
        <w:jc w:val="both"/>
        <w:ind w:right="20" w:firstLine="454"/>
        <w:spacing w:after="0" w:line="241" w:lineRule="auto"/>
        <w:rPr>
          <w:sz w:val="20"/>
          <w:szCs w:val="20"/>
          <w:color w:val="auto"/>
        </w:rPr>
      </w:pPr>
      <w:r>
        <w:rPr>
          <w:rFonts w:ascii="Arial" w:cs="Arial" w:eastAsia="Arial" w:hAnsi="Arial"/>
          <w:sz w:val="15"/>
          <w:szCs w:val="15"/>
          <w:color w:val="auto"/>
        </w:rPr>
        <w:t>SAPPL's Indian subsidiary is also subject to litigation by the India Director General (Service Tax) ("DGST"), which has assessed the subsidiary for multiple years related to its alleged failure to pay service tax on marketing fees and reimbursements of expenses. Indian courts have returned verdicts favorable to the Indian subsidiary. The DGST has appealed the verdict to the Indian Supreme Court. We do not believe that an adverse outcome is probable and therefore have not made any provisions or recorded any liability for the potential resolution of any of these claims.</w:t>
      </w:r>
    </w:p>
    <w:p>
      <w:pPr>
        <w:spacing w:after="0" w:line="30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Litigation and Administrative Audit Proceedings Relating to Hotel Occupancy Taxes</w:t>
      </w:r>
    </w:p>
    <w:p>
      <w:pPr>
        <w:spacing w:after="0" w:line="152" w:lineRule="exact"/>
        <w:rPr>
          <w:sz w:val="20"/>
          <w:szCs w:val="20"/>
          <w:color w:val="auto"/>
        </w:rPr>
      </w:pPr>
    </w:p>
    <w:p>
      <w:pPr>
        <w:jc w:val="both"/>
        <w:ind w:right="20" w:firstLine="454"/>
        <w:spacing w:after="0"/>
        <w:rPr>
          <w:sz w:val="20"/>
          <w:szCs w:val="20"/>
          <w:color w:val="auto"/>
        </w:rPr>
      </w:pPr>
      <w:r>
        <w:rPr>
          <w:rFonts w:ascii="Arial" w:cs="Arial" w:eastAsia="Arial" w:hAnsi="Arial"/>
          <w:sz w:val="15"/>
          <w:szCs w:val="15"/>
          <w:color w:val="auto"/>
        </w:rPr>
        <w:t>On January 23, 2015, we sold Travelocity.com to Expedia. Pursuant to the Travelocity Purchase Agreement, we will continue to be liable for pre-closing liabilities of Travelocity, including fees, charges, costs and settlements relating to litigation arising from hotels booked on the Travelocity platform prior to our previous long-term strategic marketing agreement with Expedia (the “Expedia SMA”). Fees, charges, costs and settlements relating to litigation from hotels booked on Travelocity.com subsequent to the Expedia SMA and prior to the date of the sale of Travelocity.com will be shared with Expedia in accordance with the terms set forth in the Expedia SMA. We are jointly and severally liable for certain indemnification obligations under the Travelocity Purchase Agreement for liabilities that may arise out of these litigation matters, which could adversely affect our cash flow.</w:t>
      </w:r>
    </w:p>
    <w:p>
      <w:pPr>
        <w:spacing w:after="0" w:line="192" w:lineRule="exact"/>
        <w:rPr>
          <w:sz w:val="20"/>
          <w:szCs w:val="20"/>
          <w:color w:val="auto"/>
        </w:rPr>
      </w:pPr>
    </w:p>
    <w:p>
      <w:pPr>
        <w:jc w:val="both"/>
        <w:ind w:right="20" w:firstLine="454"/>
        <w:spacing w:after="0" w:line="259" w:lineRule="auto"/>
        <w:rPr>
          <w:sz w:val="20"/>
          <w:szCs w:val="20"/>
          <w:color w:val="auto"/>
        </w:rPr>
      </w:pPr>
      <w:r>
        <w:rPr>
          <w:rFonts w:ascii="Arial" w:cs="Arial" w:eastAsia="Arial" w:hAnsi="Arial"/>
          <w:sz w:val="14"/>
          <w:szCs w:val="14"/>
          <w:color w:val="auto"/>
        </w:rPr>
        <w:t>Beginning in 2004, various state and local governments in the United States have filed more than 80 lawsuits against us and other OTAs pertaining primarily to whether our discontinued Travelocity segment and other OTAs owe sales or occupancy taxes on the revenues they earned from facilitating hotel reservations, where the customer paid us an amount at the time of booking that included (i) service fees, which we collected and retained, and (ii) the price of the hotel room and amounts for occupancy or other local taxes, which we passed along to the hotel supplier. The complaints generally allege, among other things, that the defendants failed to pay to the relevant taxing authority hotel occupancy taxes on the service fees. Several lawsuits also allege that the OTAs owe state or local taxes on their fees for facilitating car rental reservations. Courts have dismissed more than 30 of these lawsuits, some for failure to exhaust administrative remedies and some on the basis that we are not subject to sales or occupancy tax. The remaining lawsuits are in various stages of litigation. We have also settled some cases individually, most for amounts not material to our results of operations, and with respect to these settlements, have generally reserved our rights to challenge any effort by the applicable tax authority to impose occupancy taxes in the future.</w:t>
      </w:r>
    </w:p>
    <w:p>
      <w:pPr>
        <w:spacing w:after="0" w:line="180" w:lineRule="exact"/>
        <w:rPr>
          <w:sz w:val="20"/>
          <w:szCs w:val="20"/>
          <w:color w:val="auto"/>
        </w:rPr>
      </w:pPr>
    </w:p>
    <w:p>
      <w:pPr>
        <w:jc w:val="both"/>
        <w:ind w:right="20" w:firstLine="441"/>
        <w:spacing w:after="0"/>
        <w:rPr>
          <w:sz w:val="20"/>
          <w:szCs w:val="20"/>
          <w:color w:val="auto"/>
        </w:rPr>
      </w:pPr>
      <w:r>
        <w:rPr>
          <w:rFonts w:ascii="Arial" w:cs="Arial" w:eastAsia="Arial" w:hAnsi="Arial"/>
          <w:sz w:val="15"/>
          <w:szCs w:val="15"/>
          <w:color w:val="auto"/>
        </w:rPr>
        <w:t>Although we have prevailed in the majority of these lawsuits and proceedings, there have been several adverse judgments or decisions on the merits, some of which are subject to appeal. As of December 31, 2016 and 2015, our reserve was not material for the potential resolution of issues identified related to litigation involving hotel and car sales, occupancy or excise taxes. We did not record material charges associated with these cases during the years ended December 31, 2016 and 2015. Our estimated liability is based on our current best estimate but the ultimate resolution of these issues may be greater or less than the amount recorded and, if greater, could adversely affect our results of operations.</w:t>
      </w:r>
    </w:p>
    <w:p>
      <w:pPr>
        <w:spacing w:after="0" w:line="192" w:lineRule="exact"/>
        <w:rPr>
          <w:sz w:val="20"/>
          <w:szCs w:val="20"/>
          <w:color w:val="auto"/>
        </w:rPr>
      </w:pPr>
    </w:p>
    <w:p>
      <w:pPr>
        <w:jc w:val="both"/>
        <w:ind w:right="20" w:firstLine="441"/>
        <w:spacing w:after="0" w:line="241" w:lineRule="auto"/>
        <w:rPr>
          <w:sz w:val="20"/>
          <w:szCs w:val="20"/>
          <w:color w:val="auto"/>
        </w:rPr>
      </w:pPr>
      <w:r>
        <w:rPr>
          <w:rFonts w:ascii="Arial" w:cs="Arial" w:eastAsia="Arial" w:hAnsi="Arial"/>
          <w:sz w:val="15"/>
          <w:szCs w:val="15"/>
          <w:color w:val="auto"/>
        </w:rPr>
        <w:t>In addition to the actions by the tax authorities, two consumer class action lawsuits have been filed against us in which the plaintiffs allege that we made misrepresentations concerning the description of the fees received in relation to facilitating hotel reservations. Generally, the consumer claims relate to whether Travelocity provided adequate notice to consumers regarding the nature of our fees and the amount of taxes charged or collected. One of these lawsuits is pending in Texas state court, where the</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1440"/>
          </w:cols>
          <w:pgMar w:left="240" w:top="656" w:right="219" w:bottom="1440" w:gutter="0" w:footer="0" w:header="0"/>
        </w:sectPr>
      </w:pPr>
    </w:p>
    <w:bookmarkStart w:id="100" w:name="page101"/>
    <w:bookmarkEnd w:id="100"/>
    <w:p>
      <w:pPr>
        <w:jc w:val="both"/>
        <w:spacing w:after="0" w:line="245" w:lineRule="auto"/>
        <w:rPr>
          <w:sz w:val="20"/>
          <w:szCs w:val="20"/>
          <w:color w:val="auto"/>
        </w:rPr>
      </w:pPr>
      <w:r>
        <w:rPr>
          <w:rFonts w:ascii="Arial" w:cs="Arial" w:eastAsia="Arial" w:hAnsi="Arial"/>
          <w:sz w:val="15"/>
          <w:szCs w:val="15"/>
          <w:color w:val="auto"/>
        </w:rPr>
        <w:t>court is currently considering the plaintiffs’ motion to certify a class action; and the other is pending in federal court, but has been stayed pending the outcome of the Texas state court action. We believe the notice we provided was appropriate and therefore have not accrued any losses related to these cases.</w:t>
      </w:r>
    </w:p>
    <w:p>
      <w:pPr>
        <w:spacing w:after="0" w:line="188"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5"/>
          <w:szCs w:val="15"/>
          <w:color w:val="auto"/>
        </w:rPr>
        <w:t>Furthermore,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Litigation Relating to Routine Proceedings</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Segment Information</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Our reportable segments are based upon: our internal organizational structure; the manner in which our operations are managed; the criteria used by our Chief Executive Officer, who is our Chief Operating Decision Maker ("CODM"), to evaluate segment performance; the availability of separate financial information; and overall materiality considerations.</w:t>
      </w:r>
    </w:p>
    <w:p>
      <w:pPr>
        <w:spacing w:after="0" w:line="190"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Our business has two reportable segments: (i) Travel Network and (ii) Airline and Hospitality Solutions, which aggregates the Airline Solutions and Hospitality Solutions operating segments as these operating segments have similar economic characteristics, generate revenues on transaction-based fees, incur the same types of expenses and use our SaaS based and hosted applications and platforms to market to the travel industry.</w:t>
      </w:r>
    </w:p>
    <w:p>
      <w:pPr>
        <w:spacing w:after="0" w:line="190"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In the third quarter of 2015, we acquired Abacus which has been integrated and managed as the APAC region of our Travel Network segment. In the first quarter of 2015, we disposed of our Travelocity segment; therefore, the financial results of Travelocity are excluded from the segment information presented below and are included in net income (loss) from discontinued operations in our consolidated statements of operations.</w:t>
      </w:r>
    </w:p>
    <w:p>
      <w:pPr>
        <w:spacing w:after="0" w:line="190"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In January 2016 and April 2016, we completed the acquisitions of the Trust Group and Airpas Aviation, respectively, which are integrated and managed as part of our Airline and Hospitality Solutions segment.</w:t>
      </w:r>
    </w:p>
    <w:p>
      <w:pPr>
        <w:spacing w:after="0" w:line="188"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Our CODM utilizes Adjusted Gross Profit and Adjusted EBITDA as the measures of profitability to evaluate performance of our segments and allocate resources. Corporate includes a technology organization that provides development and support activities to our segments. The majority of costs associated with our technology organization are allocated to the segments primarily based on the segments' usage of resources. Benefit expenses, facility costs and depreciation expense on the corporate headquarters building are allocated to the segments based on headcount. Unallocated corporate costs include certain shared expenses such as accounting, human resources, legal, corporate systems, and other shared technology costs, as well as all amortization of intangible assets and any related impairments that originate from purchase accounting, stock-based compensation, restructuring charges, legal reserves, and other items not identifiable with one of our segments.</w:t>
      </w:r>
    </w:p>
    <w:p>
      <w:pPr>
        <w:spacing w:after="0" w:line="19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We account for significant intersegment transactions as if the transactions were with third parties, that is, at estimated current market prices. The majority of the intersegment revenues and cost of revenues are fees charged by Travel Network to Airline and Hospitality Solutions for airline trips booked through our GDS.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CODM does not review total assets by segment as operating evaluations and resource allocation decisions are not made on the basis of total assets by segment.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Our CODM uses Adjusted Capital Expenditures in making product investment decisions and determining development resource requirements.</w:t>
      </w:r>
    </w:p>
    <w:p>
      <w:pPr>
        <w:spacing w:after="0" w:line="19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performance of our segments is evaluated primarily on Adjusted Gross Profit and Adjusted EBITDA which are not recognized terms under GAAP. Our uses of Adjusted Gross Profit and Adjusted EBITDA have limitations as analytical tools, and should not be considered in isolation or as a substitute for analysis of our results as reported under GAAP.</w:t>
      </w:r>
    </w:p>
    <w:p>
      <w:pPr>
        <w:spacing w:after="0" w:line="190"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We define Adjusted Gross Profit as operating income (loss) adjusted for selling, general and administrative expenses, impairment, amortization of upfront incentive consideration, and the cost of revenue portion of depreciation and amortization, restructuring and other costs, litigation costs, and stock-based compensation included in cost of revenue.</w:t>
      </w:r>
    </w:p>
    <w:p>
      <w:pPr>
        <w:spacing w:after="0" w:line="19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We define Adjusted EBITDA as Adjusted Net Income adjusted for depreciation and amortization of property and equipment, amortization of capitalized implementation costs, amortization of upfront incentive consideration, interest expense, net, and the remaining provision (benefit) for income taxes. This Adjusted EBITDA metric differs from (i) the EBITDA metric referenced in the section entitled “—Liquidity and Capital Resources—Senior Secured Credit Facilities,” which is calculated for the purposes of compliance with our debt covenants, and (ii) the Pre-VCP EBITDA and EBITDA metrics referenced in the section entitled “Compensation Discussion and Analysis” in our 2016 Proxy Statement, which are calculated for the purposes of our annual incentive compensation program and performance-based awards,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1420"/>
          </w:cols>
          <w:pgMar w:left="240" w:top="754" w:right="239" w:bottom="1440" w:gutter="0" w:footer="0" w:header="0"/>
        </w:sectPr>
      </w:pPr>
    </w:p>
    <w:bookmarkStart w:id="101" w:name="page102"/>
    <w:bookmarkEnd w:id="101"/>
    <w:p>
      <w:pPr>
        <w:ind w:left="460"/>
        <w:spacing w:after="0"/>
        <w:rPr>
          <w:sz w:val="20"/>
          <w:szCs w:val="20"/>
          <w:color w:val="auto"/>
        </w:rPr>
      </w:pPr>
      <w:r>
        <w:rPr>
          <w:rFonts w:ascii="Arial" w:cs="Arial" w:eastAsia="Arial" w:hAnsi="Arial"/>
          <w:sz w:val="15"/>
          <w:szCs w:val="15"/>
          <w:color w:val="auto"/>
        </w:rPr>
        <w:t>We define Adjusted Capital Expenditures as additions to property and equipment and capitalized implementation costs during the periods presented.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Segment information for the years ended December 31, 2016, 2015 and 2014 is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94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45"/>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40"/>
              <w:spacing w:after="0"/>
              <w:rPr>
                <w:sz w:val="20"/>
                <w:szCs w:val="20"/>
                <w:color w:val="auto"/>
              </w:rPr>
            </w:pPr>
            <w:r>
              <w:rPr>
                <w:rFonts w:ascii="Arial" w:cs="Arial" w:eastAsia="Arial" w:hAnsi="Arial"/>
                <w:sz w:val="15"/>
                <w:szCs w:val="15"/>
                <w:color w:val="auto"/>
              </w:rPr>
              <w:t>Travel Network</w:t>
            </w:r>
          </w:p>
        </w:tc>
        <w:tc>
          <w:tcPr>
            <w:tcW w:w="3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2,374,849</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2,102,792</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1,854,785</w:t>
            </w:r>
          </w:p>
        </w:tc>
        <w:tc>
          <w:tcPr>
            <w:tcW w:w="0" w:type="dxa"/>
            <w:vAlign w:val="bottom"/>
          </w:tcPr>
          <w:p>
            <w:pPr>
              <w:spacing w:after="0"/>
              <w:rPr>
                <w:sz w:val="1"/>
                <w:szCs w:val="1"/>
                <w:color w:val="auto"/>
              </w:rPr>
            </w:pPr>
          </w:p>
        </w:tc>
      </w:tr>
      <w:tr>
        <w:trPr>
          <w:trHeight w:val="254"/>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Airline and Hospitality Solutions</w:t>
            </w:r>
          </w:p>
        </w:tc>
        <w:tc>
          <w:tcPr>
            <w:tcW w:w="3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1,019,306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872,086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786,478</w:t>
            </w:r>
          </w:p>
        </w:tc>
        <w:tc>
          <w:tcPr>
            <w:tcW w:w="0" w:type="dxa"/>
            <w:vAlign w:val="bottom"/>
          </w:tcPr>
          <w:p>
            <w:pPr>
              <w:spacing w:after="0"/>
              <w:rPr>
                <w:sz w:val="1"/>
                <w:szCs w:val="1"/>
                <w:color w:val="auto"/>
              </w:rPr>
            </w:pPr>
          </w:p>
        </w:tc>
      </w:tr>
      <w:tr>
        <w:trPr>
          <w:trHeight w:val="238"/>
        </w:trPr>
        <w:tc>
          <w:tcPr>
            <w:tcW w:w="39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Eliminations</w:t>
            </w:r>
          </w:p>
        </w:tc>
        <w:tc>
          <w:tcPr>
            <w:tcW w:w="3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(20,768)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(13,982)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(9,846)</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revenue</w:t>
            </w:r>
          </w:p>
        </w:tc>
        <w:tc>
          <w:tcPr>
            <w:tcW w:w="3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3,373,387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2,960,896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2,631,417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 xml:space="preserve">Adjusted Gross Profit </w:t>
            </w:r>
            <w:r>
              <w:rPr>
                <w:rFonts w:ascii="Arial" w:cs="Arial" w:eastAsia="Arial" w:hAnsi="Arial"/>
                <w:sz w:val="19"/>
                <w:szCs w:val="19"/>
                <w:color w:val="auto"/>
                <w:vertAlign w:val="superscript"/>
              </w:rPr>
              <w:t>(a)</w:t>
            </w:r>
          </w:p>
        </w:tc>
        <w:tc>
          <w:tcPr>
            <w:tcW w:w="3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94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Travel Network</w:t>
            </w:r>
          </w:p>
        </w:tc>
        <w:tc>
          <w:tcPr>
            <w:tcW w:w="3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1,095,619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973,915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863,276</w:t>
            </w:r>
          </w:p>
        </w:tc>
        <w:tc>
          <w:tcPr>
            <w:tcW w:w="0" w:type="dxa"/>
            <w:vAlign w:val="bottom"/>
          </w:tcPr>
          <w:p>
            <w:pPr>
              <w:spacing w:after="0"/>
              <w:rPr>
                <w:sz w:val="1"/>
                <w:szCs w:val="1"/>
                <w:color w:val="auto"/>
              </w:rPr>
            </w:pPr>
          </w:p>
        </w:tc>
      </w:tr>
      <w:tr>
        <w:trPr>
          <w:trHeight w:val="237"/>
        </w:trPr>
        <w:tc>
          <w:tcPr>
            <w:tcW w:w="3940" w:type="dxa"/>
            <w:vAlign w:val="bottom"/>
          </w:tcPr>
          <w:p>
            <w:pPr>
              <w:ind w:left="240"/>
              <w:spacing w:after="0"/>
              <w:rPr>
                <w:sz w:val="20"/>
                <w:szCs w:val="20"/>
                <w:color w:val="auto"/>
              </w:rPr>
            </w:pPr>
            <w:r>
              <w:rPr>
                <w:rFonts w:ascii="Arial" w:cs="Arial" w:eastAsia="Arial" w:hAnsi="Arial"/>
                <w:sz w:val="15"/>
                <w:szCs w:val="15"/>
                <w:color w:val="auto"/>
              </w:rPr>
              <w:t>Airline and Hospitality Solutions</w:t>
            </w:r>
          </w:p>
        </w:tc>
        <w:tc>
          <w:tcPr>
            <w:tcW w:w="3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442,520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384,804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337,851</w:t>
            </w: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Corporate</w:t>
            </w:r>
          </w:p>
        </w:tc>
        <w:tc>
          <w:tcPr>
            <w:tcW w:w="3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(77,464)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(41,899)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(54,335)</w:t>
            </w:r>
          </w:p>
        </w:tc>
        <w:tc>
          <w:tcPr>
            <w:tcW w:w="0" w:type="dxa"/>
            <w:vAlign w:val="bottom"/>
          </w:tcPr>
          <w:p>
            <w:pPr>
              <w:spacing w:after="0"/>
              <w:rPr>
                <w:sz w:val="1"/>
                <w:szCs w:val="1"/>
                <w:color w:val="auto"/>
              </w:rPr>
            </w:pPr>
          </w:p>
        </w:tc>
      </w:tr>
      <w:tr>
        <w:trPr>
          <w:trHeight w:val="258"/>
        </w:trPr>
        <w:tc>
          <w:tcPr>
            <w:tcW w:w="3940" w:type="dxa"/>
            <w:vAlign w:val="bottom"/>
          </w:tcPr>
          <w:p>
            <w:pPr>
              <w:ind w:left="440"/>
              <w:spacing w:after="0"/>
              <w:rPr>
                <w:sz w:val="20"/>
                <w:szCs w:val="20"/>
                <w:color w:val="auto"/>
              </w:rPr>
            </w:pPr>
            <w:r>
              <w:rPr>
                <w:rFonts w:ascii="Arial" w:cs="Arial" w:eastAsia="Arial" w:hAnsi="Arial"/>
                <w:sz w:val="15"/>
                <w:szCs w:val="15"/>
                <w:color w:val="auto"/>
              </w:rPr>
              <w:t>Total</w:t>
            </w:r>
          </w:p>
        </w:tc>
        <w:tc>
          <w:tcPr>
            <w:tcW w:w="3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1,460,675</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1,316,820</w:t>
            </w:r>
          </w:p>
        </w:tc>
        <w:tc>
          <w:tcPr>
            <w:tcW w:w="100" w:type="dxa"/>
            <w:vAlign w:val="bottom"/>
          </w:tcPr>
          <w:p>
            <w:pPr>
              <w:spacing w:after="0"/>
              <w:rPr>
                <w:sz w:val="22"/>
                <w:szCs w:val="22"/>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1,146,792</w:t>
            </w:r>
          </w:p>
        </w:tc>
        <w:tc>
          <w:tcPr>
            <w:tcW w:w="0" w:type="dxa"/>
            <w:vAlign w:val="bottom"/>
          </w:tcPr>
          <w:p>
            <w:pPr>
              <w:spacing w:after="0"/>
              <w:rPr>
                <w:sz w:val="1"/>
                <w:szCs w:val="1"/>
                <w:color w:val="auto"/>
              </w:rPr>
            </w:pPr>
          </w:p>
        </w:tc>
      </w:tr>
      <w:tr>
        <w:trPr>
          <w:trHeight w:val="200"/>
        </w:trPr>
        <w:tc>
          <w:tcPr>
            <w:tcW w:w="394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 xml:space="preserve">Adjusted EBITDA </w:t>
            </w:r>
            <w:r>
              <w:rPr>
                <w:rFonts w:ascii="Arial" w:cs="Arial" w:eastAsia="Arial" w:hAnsi="Arial"/>
                <w:sz w:val="19"/>
                <w:szCs w:val="19"/>
                <w:color w:val="auto"/>
                <w:vertAlign w:val="superscript"/>
              </w:rPr>
              <w:t>(b)</w:t>
            </w:r>
          </w:p>
        </w:tc>
        <w:tc>
          <w:tcPr>
            <w:tcW w:w="3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40"/>
              <w:spacing w:after="0"/>
              <w:rPr>
                <w:sz w:val="20"/>
                <w:szCs w:val="20"/>
                <w:color w:val="auto"/>
              </w:rPr>
            </w:pPr>
            <w:r>
              <w:rPr>
                <w:rFonts w:ascii="Arial" w:cs="Arial" w:eastAsia="Arial" w:hAnsi="Arial"/>
                <w:sz w:val="15"/>
                <w:szCs w:val="15"/>
                <w:color w:val="auto"/>
              </w:rPr>
              <w:t>Travel Network</w:t>
            </w:r>
          </w:p>
        </w:tc>
        <w:tc>
          <w:tcPr>
            <w:tcW w:w="3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970,688</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877,276</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778,677</w:t>
            </w: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Airline and Hospitality Solutions</w:t>
            </w:r>
          </w:p>
        </w:tc>
        <w:tc>
          <w:tcPr>
            <w:tcW w:w="3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372,063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323,461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282,648</w:t>
            </w:r>
          </w:p>
        </w:tc>
        <w:tc>
          <w:tcPr>
            <w:tcW w:w="0" w:type="dxa"/>
            <w:vAlign w:val="bottom"/>
          </w:tcPr>
          <w:p>
            <w:pPr>
              <w:spacing w:after="0"/>
              <w:rPr>
                <w:sz w:val="1"/>
                <w:szCs w:val="1"/>
                <w:color w:val="auto"/>
              </w:rPr>
            </w:pPr>
          </w:p>
        </w:tc>
      </w:tr>
      <w:tr>
        <w:trPr>
          <w:trHeight w:val="224"/>
        </w:trPr>
        <w:tc>
          <w:tcPr>
            <w:tcW w:w="3940" w:type="dxa"/>
            <w:vAlign w:val="bottom"/>
          </w:tcPr>
          <w:p>
            <w:pPr>
              <w:ind w:left="440"/>
              <w:spacing w:after="0"/>
              <w:rPr>
                <w:sz w:val="20"/>
                <w:szCs w:val="20"/>
                <w:color w:val="auto"/>
              </w:rPr>
            </w:pPr>
            <w:r>
              <w:rPr>
                <w:rFonts w:ascii="Arial" w:cs="Arial" w:eastAsia="Arial" w:hAnsi="Arial"/>
                <w:sz w:val="15"/>
                <w:szCs w:val="15"/>
                <w:color w:val="auto"/>
              </w:rPr>
              <w:t>Total segments</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1,342,751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1,200,737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1,061,325</w:t>
            </w: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Corporate</w:t>
            </w:r>
          </w:p>
        </w:tc>
        <w:tc>
          <w:tcPr>
            <w:tcW w:w="3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(296,105)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(259,150)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(221,297)</w:t>
            </w:r>
          </w:p>
        </w:tc>
        <w:tc>
          <w:tcPr>
            <w:tcW w:w="0" w:type="dxa"/>
            <w:vAlign w:val="bottom"/>
          </w:tcPr>
          <w:p>
            <w:pPr>
              <w:spacing w:after="0"/>
              <w:rPr>
                <w:sz w:val="1"/>
                <w:szCs w:val="1"/>
                <w:color w:val="auto"/>
              </w:rPr>
            </w:pPr>
          </w:p>
        </w:tc>
      </w:tr>
      <w:tr>
        <w:trPr>
          <w:trHeight w:val="258"/>
        </w:trPr>
        <w:tc>
          <w:tcPr>
            <w:tcW w:w="3940" w:type="dxa"/>
            <w:vAlign w:val="bottom"/>
          </w:tcPr>
          <w:p>
            <w:pPr>
              <w:ind w:left="440"/>
              <w:spacing w:after="0"/>
              <w:rPr>
                <w:sz w:val="20"/>
                <w:szCs w:val="20"/>
                <w:color w:val="auto"/>
              </w:rPr>
            </w:pPr>
            <w:r>
              <w:rPr>
                <w:rFonts w:ascii="Arial" w:cs="Arial" w:eastAsia="Arial" w:hAnsi="Arial"/>
                <w:sz w:val="15"/>
                <w:szCs w:val="15"/>
                <w:color w:val="auto"/>
              </w:rPr>
              <w:t>Total</w:t>
            </w:r>
          </w:p>
        </w:tc>
        <w:tc>
          <w:tcPr>
            <w:tcW w:w="3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1,046,646</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941,587</w:t>
            </w:r>
          </w:p>
        </w:tc>
        <w:tc>
          <w:tcPr>
            <w:tcW w:w="100" w:type="dxa"/>
            <w:vAlign w:val="bottom"/>
          </w:tcPr>
          <w:p>
            <w:pPr>
              <w:spacing w:after="0"/>
              <w:rPr>
                <w:sz w:val="22"/>
                <w:szCs w:val="22"/>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840,028</w:t>
            </w:r>
          </w:p>
        </w:tc>
        <w:tc>
          <w:tcPr>
            <w:tcW w:w="0" w:type="dxa"/>
            <w:vAlign w:val="bottom"/>
          </w:tcPr>
          <w:p>
            <w:pPr>
              <w:spacing w:after="0"/>
              <w:rPr>
                <w:sz w:val="1"/>
                <w:szCs w:val="1"/>
                <w:color w:val="auto"/>
              </w:rPr>
            </w:pPr>
          </w:p>
        </w:tc>
      </w:tr>
      <w:tr>
        <w:trPr>
          <w:trHeight w:val="20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3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40"/>
              <w:spacing w:after="0"/>
              <w:rPr>
                <w:sz w:val="20"/>
                <w:szCs w:val="20"/>
                <w:color w:val="auto"/>
              </w:rPr>
            </w:pPr>
            <w:r>
              <w:rPr>
                <w:rFonts w:ascii="Arial" w:cs="Arial" w:eastAsia="Arial" w:hAnsi="Arial"/>
                <w:sz w:val="15"/>
                <w:szCs w:val="15"/>
                <w:color w:val="auto"/>
              </w:rPr>
              <w:t>Travel Network</w:t>
            </w:r>
          </w:p>
        </w:tc>
        <w:tc>
          <w:tcPr>
            <w:tcW w:w="3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76,936</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65,765</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60,706</w:t>
            </w: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Airline and Hospitality Solutions</w:t>
            </w:r>
          </w:p>
        </w:tc>
        <w:tc>
          <w:tcPr>
            <w:tcW w:w="3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154,432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143,013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106,415</w:t>
            </w:r>
          </w:p>
        </w:tc>
        <w:tc>
          <w:tcPr>
            <w:tcW w:w="0" w:type="dxa"/>
            <w:vAlign w:val="bottom"/>
          </w:tcPr>
          <w:p>
            <w:pPr>
              <w:spacing w:after="0"/>
              <w:rPr>
                <w:sz w:val="1"/>
                <w:szCs w:val="1"/>
                <w:color w:val="auto"/>
              </w:rPr>
            </w:pPr>
          </w:p>
        </w:tc>
      </w:tr>
      <w:tr>
        <w:trPr>
          <w:trHeight w:val="224"/>
        </w:trPr>
        <w:tc>
          <w:tcPr>
            <w:tcW w:w="3940" w:type="dxa"/>
            <w:vAlign w:val="bottom"/>
          </w:tcPr>
          <w:p>
            <w:pPr>
              <w:ind w:left="440"/>
              <w:spacing w:after="0"/>
              <w:rPr>
                <w:sz w:val="20"/>
                <w:szCs w:val="20"/>
                <w:color w:val="auto"/>
              </w:rPr>
            </w:pPr>
            <w:r>
              <w:rPr>
                <w:rFonts w:ascii="Arial" w:cs="Arial" w:eastAsia="Arial" w:hAnsi="Arial"/>
                <w:sz w:val="15"/>
                <w:szCs w:val="15"/>
                <w:color w:val="auto"/>
              </w:rPr>
              <w:t>Total segments</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231,368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208,778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167,121</w:t>
            </w: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Corporate</w:t>
            </w:r>
          </w:p>
        </w:tc>
        <w:tc>
          <w:tcPr>
            <w:tcW w:w="3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182,618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142,702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122,509</w:t>
            </w:r>
          </w:p>
        </w:tc>
        <w:tc>
          <w:tcPr>
            <w:tcW w:w="0" w:type="dxa"/>
            <w:vAlign w:val="bottom"/>
          </w:tcPr>
          <w:p>
            <w:pPr>
              <w:spacing w:after="0"/>
              <w:rPr>
                <w:sz w:val="1"/>
                <w:szCs w:val="1"/>
                <w:color w:val="auto"/>
              </w:rPr>
            </w:pPr>
          </w:p>
        </w:tc>
      </w:tr>
      <w:tr>
        <w:trPr>
          <w:trHeight w:val="258"/>
        </w:trPr>
        <w:tc>
          <w:tcPr>
            <w:tcW w:w="3940" w:type="dxa"/>
            <w:vAlign w:val="bottom"/>
          </w:tcPr>
          <w:p>
            <w:pPr>
              <w:ind w:left="440"/>
              <w:spacing w:after="0"/>
              <w:rPr>
                <w:sz w:val="20"/>
                <w:szCs w:val="20"/>
                <w:color w:val="auto"/>
              </w:rPr>
            </w:pPr>
            <w:r>
              <w:rPr>
                <w:rFonts w:ascii="Arial" w:cs="Arial" w:eastAsia="Arial" w:hAnsi="Arial"/>
                <w:sz w:val="15"/>
                <w:szCs w:val="15"/>
                <w:color w:val="auto"/>
              </w:rPr>
              <w:t>Total</w:t>
            </w:r>
          </w:p>
        </w:tc>
        <w:tc>
          <w:tcPr>
            <w:tcW w:w="3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413,986</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351,480</w:t>
            </w:r>
          </w:p>
        </w:tc>
        <w:tc>
          <w:tcPr>
            <w:tcW w:w="100" w:type="dxa"/>
            <w:vAlign w:val="bottom"/>
          </w:tcPr>
          <w:p>
            <w:pPr>
              <w:spacing w:after="0"/>
              <w:rPr>
                <w:sz w:val="22"/>
                <w:szCs w:val="22"/>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289,630</w:t>
            </w:r>
          </w:p>
        </w:tc>
        <w:tc>
          <w:tcPr>
            <w:tcW w:w="0" w:type="dxa"/>
            <w:vAlign w:val="bottom"/>
          </w:tcPr>
          <w:p>
            <w:pPr>
              <w:spacing w:after="0"/>
              <w:rPr>
                <w:sz w:val="1"/>
                <w:szCs w:val="1"/>
                <w:color w:val="auto"/>
              </w:rPr>
            </w:pPr>
          </w:p>
        </w:tc>
      </w:tr>
      <w:tr>
        <w:trPr>
          <w:trHeight w:val="200"/>
        </w:trPr>
        <w:tc>
          <w:tcPr>
            <w:tcW w:w="394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5"/>
                <w:szCs w:val="15"/>
                <w:color w:val="auto"/>
              </w:rPr>
              <w:t xml:space="preserve">Adjusted Capital Expenditures </w:t>
            </w:r>
            <w:r>
              <w:rPr>
                <w:rFonts w:ascii="Arial" w:cs="Arial" w:eastAsia="Arial" w:hAnsi="Arial"/>
                <w:sz w:val="19"/>
                <w:szCs w:val="19"/>
                <w:color w:val="auto"/>
                <w:vertAlign w:val="superscript"/>
              </w:rPr>
              <w:t>(c)</w:t>
            </w:r>
          </w:p>
        </w:tc>
        <w:tc>
          <w:tcPr>
            <w:tcW w:w="3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40"/>
              <w:spacing w:after="0"/>
              <w:rPr>
                <w:sz w:val="20"/>
                <w:szCs w:val="20"/>
                <w:color w:val="auto"/>
              </w:rPr>
            </w:pPr>
            <w:r>
              <w:rPr>
                <w:rFonts w:ascii="Arial" w:cs="Arial" w:eastAsia="Arial" w:hAnsi="Arial"/>
                <w:sz w:val="15"/>
                <w:szCs w:val="15"/>
                <w:color w:val="auto"/>
              </w:rPr>
              <w:t>Travel Network</w:t>
            </w:r>
          </w:p>
        </w:tc>
        <w:tc>
          <w:tcPr>
            <w:tcW w:w="3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97,798</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73,469</w:t>
            </w:r>
          </w:p>
        </w:tc>
        <w:tc>
          <w:tcPr>
            <w:tcW w:w="100" w:type="dxa"/>
            <w:vAlign w:val="bottom"/>
          </w:tcPr>
          <w:p>
            <w:pPr>
              <w:spacing w:after="0"/>
              <w:rPr>
                <w:sz w:val="20"/>
                <w:szCs w:val="20"/>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56,091</w:t>
            </w: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Airline and Hospitality Solutions</w:t>
            </w:r>
          </w:p>
        </w:tc>
        <w:tc>
          <w:tcPr>
            <w:tcW w:w="3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252,367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226,260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161,425</w:t>
            </w:r>
          </w:p>
        </w:tc>
        <w:tc>
          <w:tcPr>
            <w:tcW w:w="0" w:type="dxa"/>
            <w:vAlign w:val="bottom"/>
          </w:tcPr>
          <w:p>
            <w:pPr>
              <w:spacing w:after="0"/>
              <w:rPr>
                <w:sz w:val="1"/>
                <w:szCs w:val="1"/>
                <w:color w:val="auto"/>
              </w:rPr>
            </w:pPr>
          </w:p>
        </w:tc>
      </w:tr>
      <w:tr>
        <w:trPr>
          <w:trHeight w:val="224"/>
        </w:trPr>
        <w:tc>
          <w:tcPr>
            <w:tcW w:w="3940" w:type="dxa"/>
            <w:vAlign w:val="bottom"/>
          </w:tcPr>
          <w:p>
            <w:pPr>
              <w:ind w:left="440"/>
              <w:spacing w:after="0"/>
              <w:rPr>
                <w:sz w:val="20"/>
                <w:szCs w:val="20"/>
                <w:color w:val="auto"/>
              </w:rPr>
            </w:pPr>
            <w:r>
              <w:rPr>
                <w:rFonts w:ascii="Arial" w:cs="Arial" w:eastAsia="Arial" w:hAnsi="Arial"/>
                <w:sz w:val="15"/>
                <w:szCs w:val="15"/>
                <w:color w:val="auto"/>
              </w:rPr>
              <w:t>Total segments</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350,165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299,729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217,516</w:t>
            </w:r>
          </w:p>
        </w:tc>
        <w:tc>
          <w:tcPr>
            <w:tcW w:w="0" w:type="dxa"/>
            <w:vAlign w:val="bottom"/>
          </w:tcPr>
          <w:p>
            <w:pPr>
              <w:spacing w:after="0"/>
              <w:rPr>
                <w:sz w:val="1"/>
                <w:szCs w:val="1"/>
                <w:color w:val="auto"/>
              </w:rPr>
            </w:pPr>
          </w:p>
        </w:tc>
      </w:tr>
      <w:tr>
        <w:trPr>
          <w:trHeight w:val="246"/>
        </w:trPr>
        <w:tc>
          <w:tcPr>
            <w:tcW w:w="39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Corporate</w:t>
            </w:r>
          </w:p>
        </w:tc>
        <w:tc>
          <w:tcPr>
            <w:tcW w:w="3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60,887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50,350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47,522</w:t>
            </w: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5"/>
                <w:szCs w:val="15"/>
                <w:color w:val="auto"/>
              </w:rPr>
              <w:t>Total</w:t>
            </w:r>
          </w:p>
        </w:tc>
        <w:tc>
          <w:tcPr>
            <w:tcW w:w="34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411,052</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350,079</w:t>
            </w:r>
          </w:p>
        </w:tc>
        <w:tc>
          <w:tcPr>
            <w:tcW w:w="100" w:type="dxa"/>
            <w:vAlign w:val="bottom"/>
          </w:tcPr>
          <w:p>
            <w:pPr>
              <w:spacing w:after="0"/>
              <w:rPr>
                <w:sz w:val="18"/>
                <w:szCs w:val="18"/>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265,038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140" w:type="dxa"/>
            <w:vAlign w:val="bottom"/>
            <w:vMerge w:val="restart"/>
          </w:tcPr>
          <w:p>
            <w:pPr>
              <w:jc w:val="right"/>
              <w:ind w:right="1166"/>
              <w:spacing w:after="0"/>
              <w:rPr>
                <w:sz w:val="20"/>
                <w:szCs w:val="20"/>
                <w:color w:val="auto"/>
              </w:rPr>
            </w:pPr>
            <w:r>
              <w:rPr>
                <w:rFonts w:ascii="Arial" w:cs="Arial" w:eastAsia="Arial" w:hAnsi="Arial"/>
                <w:sz w:val="15"/>
                <w:szCs w:val="15"/>
                <w:color w:val="auto"/>
              </w:rPr>
              <w:t>100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9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54" w:right="23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color w:val="auto"/>
        </w:rPr>
        <w:t>(a)  The following table sets forth the reconciliation of Adjusted Gross Profit to operating income in our statement of operations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1"/>
                <w:szCs w:val="11"/>
                <w:b w:val="1"/>
                <w:bCs w:val="1"/>
                <w:color w:val="auto"/>
              </w:rPr>
              <w:t>2014</w:t>
            </w:r>
          </w:p>
        </w:tc>
      </w:tr>
      <w:tr>
        <w:trPr>
          <w:trHeight w:val="233"/>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Gross Profit</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1,460,675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1,316,820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1,146,792</w:t>
            </w:r>
          </w:p>
        </w:tc>
      </w:tr>
      <w:tr>
        <w:trPr>
          <w:trHeight w:val="203"/>
        </w:trPr>
        <w:tc>
          <w:tcPr>
            <w:tcW w:w="7080" w:type="dxa"/>
            <w:vAlign w:val="bottom"/>
          </w:tcPr>
          <w:p>
            <w:pPr>
              <w:ind w:left="20"/>
              <w:spacing w:after="0"/>
              <w:rPr>
                <w:sz w:val="20"/>
                <w:szCs w:val="20"/>
                <w:color w:val="auto"/>
              </w:rPr>
            </w:pPr>
            <w:r>
              <w:rPr>
                <w:rFonts w:ascii="Arial" w:cs="Arial" w:eastAsia="Arial" w:hAnsi="Arial"/>
                <w:sz w:val="15"/>
                <w:szCs w:val="15"/>
                <w:color w:val="auto"/>
              </w:rPr>
              <w:t>Less adjustments: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626,153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557,077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467,594</w:t>
            </w:r>
          </w:p>
        </w:tc>
      </w:tr>
      <w:tr>
        <w:trPr>
          <w:trHeight w:val="203"/>
        </w:trPr>
        <w:tc>
          <w:tcPr>
            <w:tcW w:w="7080" w:type="dxa"/>
            <w:vAlign w:val="bottom"/>
          </w:tcPr>
          <w:p>
            <w:pPr>
              <w:ind w:left="240"/>
              <w:spacing w:after="0"/>
              <w:rPr>
                <w:sz w:val="20"/>
                <w:szCs w:val="20"/>
                <w:color w:val="auto"/>
              </w:rPr>
            </w:pPr>
            <w:r>
              <w:rPr>
                <w:rFonts w:ascii="Arial" w:cs="Arial" w:eastAsia="Arial" w:hAnsi="Arial"/>
                <w:sz w:val="15"/>
                <w:szCs w:val="15"/>
                <w:color w:val="auto"/>
              </w:rPr>
              <w:t>Cost of revenue adjustments: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5"/>
        </w:trPr>
        <w:tc>
          <w:tcPr>
            <w:tcW w:w="70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19"/>
                <w:szCs w:val="19"/>
                <w:color w:val="auto"/>
                <w:vertAlign w:val="superscript"/>
              </w:rPr>
              <w:t>(1)</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287,353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244,535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198,409</w:t>
            </w:r>
          </w:p>
        </w:tc>
      </w:tr>
      <w:tr>
        <w:trPr>
          <w:trHeight w:val="245"/>
        </w:trPr>
        <w:tc>
          <w:tcPr>
            <w:tcW w:w="7080" w:type="dxa"/>
            <w:vAlign w:val="bottom"/>
          </w:tcPr>
          <w:p>
            <w:pPr>
              <w:ind w:left="460"/>
              <w:spacing w:after="0"/>
              <w:rPr>
                <w:sz w:val="20"/>
                <w:szCs w:val="20"/>
                <w:color w:val="auto"/>
              </w:rPr>
            </w:pPr>
            <w:r>
              <w:rPr>
                <w:rFonts w:ascii="Arial" w:cs="Arial" w:eastAsia="Arial" w:hAnsi="Arial"/>
                <w:sz w:val="15"/>
                <w:szCs w:val="15"/>
                <w:color w:val="auto"/>
              </w:rPr>
              <w:t xml:space="preserve">Amortization of upfront incentive consideration </w:t>
            </w:r>
            <w:r>
              <w:rPr>
                <w:rFonts w:ascii="Arial" w:cs="Arial" w:eastAsia="Arial" w:hAnsi="Arial"/>
                <w:sz w:val="19"/>
                <w:szCs w:val="19"/>
                <w:color w:val="auto"/>
                <w:vertAlign w:val="superscript"/>
              </w:rPr>
              <w:t>(2)</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55,724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5"/>
                <w:szCs w:val="15"/>
                <w:color w:val="auto"/>
              </w:rPr>
              <w:t>43,521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5"/>
                <w:szCs w:val="15"/>
                <w:color w:val="auto"/>
              </w:rPr>
              <w:t>45,358</w:t>
            </w:r>
          </w:p>
        </w:tc>
      </w:tr>
      <w:tr>
        <w:trPr>
          <w:trHeight w:val="245"/>
        </w:trPr>
        <w:tc>
          <w:tcPr>
            <w:tcW w:w="70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 xml:space="preserve">Restructuring and other costs </w:t>
            </w:r>
            <w:r>
              <w:rPr>
                <w:rFonts w:ascii="Arial" w:cs="Arial" w:eastAsia="Arial" w:hAnsi="Arial"/>
                <w:sz w:val="19"/>
                <w:szCs w:val="19"/>
                <w:color w:val="auto"/>
                <w:vertAlign w:val="superscript"/>
              </w:rPr>
              <w:t>(5)</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12,660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6,042</w:t>
            </w:r>
          </w:p>
        </w:tc>
      </w:tr>
      <w:tr>
        <w:trPr>
          <w:trHeight w:val="238"/>
        </w:trPr>
        <w:tc>
          <w:tcPr>
            <w:tcW w:w="708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Stock-based compensation</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19,213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11,918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8,044</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459,572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459,769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421,345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  The following tables set forth the reconciliation of Adjusted EBITDA to income from continuing operations in our statement of operations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1,046,646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941,587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840,028</w:t>
            </w:r>
          </w:p>
        </w:tc>
        <w:tc>
          <w:tcPr>
            <w:tcW w:w="0" w:type="dxa"/>
            <w:vAlign w:val="bottom"/>
          </w:tcPr>
          <w:p>
            <w:pPr>
              <w:spacing w:after="0"/>
              <w:rPr>
                <w:sz w:val="1"/>
                <w:szCs w:val="1"/>
                <w:color w:val="auto"/>
              </w:rPr>
            </w:pPr>
          </w:p>
        </w:tc>
      </w:tr>
      <w:tr>
        <w:trPr>
          <w:trHeight w:val="203"/>
        </w:trPr>
        <w:tc>
          <w:tcPr>
            <w:tcW w:w="7080" w:type="dxa"/>
            <w:vAlign w:val="bottom"/>
          </w:tcPr>
          <w:p>
            <w:pPr>
              <w:ind w:left="20"/>
              <w:spacing w:after="0"/>
              <w:rPr>
                <w:sz w:val="20"/>
                <w:szCs w:val="20"/>
                <w:color w:val="auto"/>
              </w:rPr>
            </w:pPr>
            <w:r>
              <w:rPr>
                <w:rFonts w:ascii="Arial" w:cs="Arial" w:eastAsia="Arial" w:hAnsi="Arial"/>
                <w:sz w:val="15"/>
                <w:szCs w:val="15"/>
                <w:color w:val="auto"/>
              </w:rPr>
              <w:t>Less adjustments: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Depreciation and amortization of property and equipment</w:t>
            </w:r>
            <w:r>
              <w:rPr>
                <w:rFonts w:ascii="Arial" w:cs="Arial" w:eastAsia="Arial" w:hAnsi="Arial"/>
                <w:sz w:val="19"/>
                <w:szCs w:val="19"/>
                <w:color w:val="auto"/>
                <w:vertAlign w:val="superscript"/>
              </w:rPr>
              <w:t>(1a)</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233,303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213,520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157,592</w:t>
            </w:r>
          </w:p>
        </w:tc>
        <w:tc>
          <w:tcPr>
            <w:tcW w:w="0" w:type="dxa"/>
            <w:vAlign w:val="bottom"/>
          </w:tcPr>
          <w:p>
            <w:pPr>
              <w:spacing w:after="0"/>
              <w:rPr>
                <w:sz w:val="1"/>
                <w:szCs w:val="1"/>
                <w:color w:val="auto"/>
              </w:rPr>
            </w:pPr>
          </w:p>
        </w:tc>
      </w:tr>
      <w:tr>
        <w:trPr>
          <w:trHeight w:val="245"/>
        </w:trPr>
        <w:tc>
          <w:tcPr>
            <w:tcW w:w="7080" w:type="dxa"/>
            <w:vAlign w:val="bottom"/>
          </w:tcPr>
          <w:p>
            <w:pPr>
              <w:ind w:left="240"/>
              <w:spacing w:after="0"/>
              <w:rPr>
                <w:sz w:val="20"/>
                <w:szCs w:val="20"/>
                <w:color w:val="auto"/>
              </w:rPr>
            </w:pPr>
            <w:r>
              <w:rPr>
                <w:rFonts w:ascii="Arial" w:cs="Arial" w:eastAsia="Arial" w:hAnsi="Arial"/>
                <w:sz w:val="15"/>
                <w:szCs w:val="15"/>
                <w:color w:val="auto"/>
              </w:rPr>
              <w:t>Amortization of capitalized implementation costs</w:t>
            </w:r>
            <w:r>
              <w:rPr>
                <w:rFonts w:ascii="Arial" w:cs="Arial" w:eastAsia="Arial" w:hAnsi="Arial"/>
                <w:sz w:val="19"/>
                <w:szCs w:val="19"/>
                <w:color w:val="auto"/>
                <w:vertAlign w:val="superscript"/>
              </w:rPr>
              <w:t>(1b)</w:t>
            </w:r>
          </w:p>
        </w:tc>
        <w:tc>
          <w:tcPr>
            <w:tcW w:w="34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37,258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31,441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35,859</w:t>
            </w: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Acquisition-related amortization</w:t>
            </w:r>
            <w:r>
              <w:rPr>
                <w:rFonts w:ascii="Arial" w:cs="Arial" w:eastAsia="Arial" w:hAnsi="Arial"/>
                <w:sz w:val="19"/>
                <w:szCs w:val="19"/>
                <w:color w:val="auto"/>
                <w:vertAlign w:val="superscript"/>
              </w:rPr>
              <w:t>(1c)</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143,425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108,121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99,383</w:t>
            </w:r>
          </w:p>
        </w:tc>
        <w:tc>
          <w:tcPr>
            <w:tcW w:w="0" w:type="dxa"/>
            <w:vAlign w:val="bottom"/>
          </w:tcPr>
          <w:p>
            <w:pPr>
              <w:spacing w:after="0"/>
              <w:rPr>
                <w:sz w:val="1"/>
                <w:szCs w:val="1"/>
                <w:color w:val="auto"/>
              </w:rPr>
            </w:pPr>
          </w:p>
        </w:tc>
      </w:tr>
      <w:tr>
        <w:trPr>
          <w:trHeight w:val="245"/>
        </w:trPr>
        <w:tc>
          <w:tcPr>
            <w:tcW w:w="7080" w:type="dxa"/>
            <w:vAlign w:val="bottom"/>
          </w:tcPr>
          <w:p>
            <w:pPr>
              <w:ind w:left="240"/>
              <w:spacing w:after="0"/>
              <w:rPr>
                <w:sz w:val="20"/>
                <w:szCs w:val="20"/>
                <w:color w:val="auto"/>
              </w:rPr>
            </w:pPr>
            <w:r>
              <w:rPr>
                <w:rFonts w:ascii="Arial" w:cs="Arial" w:eastAsia="Arial" w:hAnsi="Arial"/>
                <w:sz w:val="15"/>
                <w:szCs w:val="15"/>
                <w:color w:val="auto"/>
              </w:rPr>
              <w:t>Amortization of upfront incentive consideration</w:t>
            </w:r>
            <w:r>
              <w:rPr>
                <w:rFonts w:ascii="Arial" w:cs="Arial" w:eastAsia="Arial" w:hAnsi="Arial"/>
                <w:sz w:val="19"/>
                <w:szCs w:val="19"/>
                <w:color w:val="auto"/>
                <w:vertAlign w:val="superscript"/>
              </w:rPr>
              <w:t>(2)</w:t>
            </w:r>
          </w:p>
        </w:tc>
        <w:tc>
          <w:tcPr>
            <w:tcW w:w="34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55,724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43,521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45,358</w:t>
            </w: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Interest expense, net</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158,251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173,298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218,877</w:t>
            </w:r>
          </w:p>
        </w:tc>
        <w:tc>
          <w:tcPr>
            <w:tcW w:w="0" w:type="dxa"/>
            <w:vAlign w:val="bottom"/>
          </w:tcPr>
          <w:p>
            <w:pPr>
              <w:spacing w:after="0"/>
              <w:rPr>
                <w:sz w:val="1"/>
                <w:szCs w:val="1"/>
                <w:color w:val="auto"/>
              </w:rPr>
            </w:pPr>
          </w:p>
        </w:tc>
      </w:tr>
      <w:tr>
        <w:trPr>
          <w:trHeight w:val="237"/>
        </w:trPr>
        <w:tc>
          <w:tcPr>
            <w:tcW w:w="7080" w:type="dxa"/>
            <w:vAlign w:val="bottom"/>
          </w:tcPr>
          <w:p>
            <w:pPr>
              <w:ind w:left="240"/>
              <w:spacing w:after="0"/>
              <w:rPr>
                <w:sz w:val="20"/>
                <w:szCs w:val="20"/>
                <w:color w:val="auto"/>
              </w:rPr>
            </w:pPr>
            <w:r>
              <w:rPr>
                <w:rFonts w:ascii="Arial" w:cs="Arial" w:eastAsia="Arial" w:hAnsi="Arial"/>
                <w:sz w:val="15"/>
                <w:szCs w:val="15"/>
                <w:color w:val="auto"/>
              </w:rPr>
              <w:t>Loss on extinguishment of debt</w:t>
            </w:r>
          </w:p>
        </w:tc>
        <w:tc>
          <w:tcPr>
            <w:tcW w:w="340" w:type="dxa"/>
            <w:vAlign w:val="bottom"/>
          </w:tcPr>
          <w:p>
            <w:pPr>
              <w:spacing w:after="0"/>
              <w:rPr>
                <w:sz w:val="20"/>
                <w:szCs w:val="20"/>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3,683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38,783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33,538</w:t>
            </w:r>
          </w:p>
        </w:tc>
        <w:tc>
          <w:tcPr>
            <w:tcW w:w="0" w:type="dxa"/>
            <w:vAlign w:val="bottom"/>
          </w:tcPr>
          <w:p>
            <w:pPr>
              <w:spacing w:after="0"/>
              <w:rPr>
                <w:sz w:val="1"/>
                <w:szCs w:val="1"/>
                <w:color w:val="auto"/>
              </w:rPr>
            </w:pPr>
          </w:p>
        </w:tc>
      </w:tr>
      <w:tr>
        <w:trPr>
          <w:trHeight w:val="254"/>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net</w:t>
            </w:r>
            <w:r>
              <w:rPr>
                <w:rFonts w:ascii="Arial" w:cs="Arial" w:eastAsia="Arial" w:hAnsi="Arial"/>
                <w:sz w:val="19"/>
                <w:szCs w:val="19"/>
                <w:color w:val="auto"/>
                <w:vertAlign w:val="superscript"/>
              </w:rPr>
              <w:t>(3)</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(27,617)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63,860</w:t>
            </w:r>
          </w:p>
        </w:tc>
        <w:tc>
          <w:tcPr>
            <w:tcW w:w="0" w:type="dxa"/>
            <w:vAlign w:val="bottom"/>
          </w:tcPr>
          <w:p>
            <w:pPr>
              <w:spacing w:after="0"/>
              <w:rPr>
                <w:sz w:val="1"/>
                <w:szCs w:val="1"/>
                <w:color w:val="auto"/>
              </w:rPr>
            </w:pPr>
          </w:p>
        </w:tc>
      </w:tr>
      <w:tr>
        <w:trPr>
          <w:trHeight w:val="245"/>
        </w:trPr>
        <w:tc>
          <w:tcPr>
            <w:tcW w:w="7080" w:type="dxa"/>
            <w:vAlign w:val="bottom"/>
          </w:tcPr>
          <w:p>
            <w:pPr>
              <w:ind w:left="240"/>
              <w:spacing w:after="0"/>
              <w:rPr>
                <w:sz w:val="20"/>
                <w:szCs w:val="20"/>
                <w:color w:val="auto"/>
              </w:rPr>
            </w:pPr>
            <w:r>
              <w:rPr>
                <w:rFonts w:ascii="Arial" w:cs="Arial" w:eastAsia="Arial" w:hAnsi="Arial"/>
                <w:sz w:val="15"/>
                <w:szCs w:val="15"/>
                <w:color w:val="auto"/>
              </w:rPr>
              <w:t>Restructuring and other costs</w:t>
            </w:r>
            <w:r>
              <w:rPr>
                <w:rFonts w:ascii="Arial" w:cs="Arial" w:eastAsia="Arial" w:hAnsi="Arial"/>
                <w:sz w:val="19"/>
                <w:szCs w:val="19"/>
                <w:color w:val="auto"/>
                <w:vertAlign w:val="superscript"/>
              </w:rPr>
              <w:t>(4)</w:t>
            </w:r>
          </w:p>
        </w:tc>
        <w:tc>
          <w:tcPr>
            <w:tcW w:w="34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18,286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9,256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10,470</w:t>
            </w: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Acquisition-related costs</w:t>
            </w:r>
            <w:r>
              <w:rPr>
                <w:rFonts w:ascii="Arial" w:cs="Arial" w:eastAsia="Arial" w:hAnsi="Arial"/>
                <w:sz w:val="19"/>
                <w:szCs w:val="19"/>
                <w:color w:val="auto"/>
                <w:vertAlign w:val="superscript"/>
              </w:rPr>
              <w:t>(5)</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14,437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5"/>
        </w:trPr>
        <w:tc>
          <w:tcPr>
            <w:tcW w:w="7080" w:type="dxa"/>
            <w:vAlign w:val="bottom"/>
          </w:tcPr>
          <w:p>
            <w:pPr>
              <w:ind w:left="240"/>
              <w:spacing w:after="0"/>
              <w:rPr>
                <w:sz w:val="20"/>
                <w:szCs w:val="20"/>
                <w:color w:val="auto"/>
              </w:rPr>
            </w:pPr>
            <w:r>
              <w:rPr>
                <w:rFonts w:ascii="Arial" w:cs="Arial" w:eastAsia="Arial" w:hAnsi="Arial"/>
                <w:sz w:val="15"/>
                <w:szCs w:val="15"/>
                <w:color w:val="auto"/>
              </w:rPr>
              <w:t>Litigation costs</w:t>
            </w:r>
            <w:r>
              <w:rPr>
                <w:rFonts w:ascii="Arial" w:cs="Arial" w:eastAsia="Arial" w:hAnsi="Arial"/>
                <w:sz w:val="19"/>
                <w:szCs w:val="19"/>
                <w:color w:val="auto"/>
                <w:vertAlign w:val="superscript"/>
              </w:rPr>
              <w:t>(6)</w:t>
            </w:r>
          </w:p>
        </w:tc>
        <w:tc>
          <w:tcPr>
            <w:tcW w:w="34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46,995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16,709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14,144</w:t>
            </w: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48,524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29,971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20,094</w:t>
            </w:r>
          </w:p>
        </w:tc>
        <w:tc>
          <w:tcPr>
            <w:tcW w:w="0" w:type="dxa"/>
            <w:vAlign w:val="bottom"/>
          </w:tcPr>
          <w:p>
            <w:pPr>
              <w:spacing w:after="0"/>
              <w:rPr>
                <w:sz w:val="1"/>
                <w:szCs w:val="1"/>
                <w:color w:val="auto"/>
              </w:rPr>
            </w:pPr>
          </w:p>
        </w:tc>
      </w:tr>
      <w:tr>
        <w:trPr>
          <w:trHeight w:val="245"/>
        </w:trPr>
        <w:tc>
          <w:tcPr>
            <w:tcW w:w="7080" w:type="dxa"/>
            <w:vAlign w:val="bottom"/>
          </w:tcPr>
          <w:p>
            <w:pPr>
              <w:ind w:left="240"/>
              <w:spacing w:after="0"/>
              <w:rPr>
                <w:sz w:val="20"/>
                <w:szCs w:val="20"/>
                <w:color w:val="auto"/>
              </w:rPr>
            </w:pPr>
            <w:r>
              <w:rPr>
                <w:rFonts w:ascii="Arial" w:cs="Arial" w:eastAsia="Arial" w:hAnsi="Arial"/>
                <w:sz w:val="15"/>
                <w:szCs w:val="15"/>
                <w:color w:val="auto"/>
              </w:rPr>
              <w:t>Management fees</w:t>
            </w:r>
            <w:r>
              <w:rPr>
                <w:rFonts w:ascii="Arial" w:cs="Arial" w:eastAsia="Arial" w:hAnsi="Arial"/>
                <w:sz w:val="19"/>
                <w:szCs w:val="19"/>
                <w:color w:val="auto"/>
                <w:vertAlign w:val="superscript"/>
              </w:rPr>
              <w:t>(7)</w:t>
            </w:r>
          </w:p>
        </w:tc>
        <w:tc>
          <w:tcPr>
            <w:tcW w:w="340" w:type="dxa"/>
            <w:vAlign w:val="bottom"/>
          </w:tcPr>
          <w:p>
            <w:pPr>
              <w:spacing w:after="0"/>
              <w:rPr>
                <w:sz w:val="21"/>
                <w:szCs w:val="21"/>
                <w:color w:val="auto"/>
              </w:rPr>
            </w:pP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23,701</w:t>
            </w:r>
          </w:p>
        </w:tc>
        <w:tc>
          <w:tcPr>
            <w:tcW w:w="0" w:type="dxa"/>
            <w:vAlign w:val="bottom"/>
          </w:tcPr>
          <w:p>
            <w:pPr>
              <w:spacing w:after="0"/>
              <w:rPr>
                <w:sz w:val="1"/>
                <w:szCs w:val="1"/>
                <w:color w:val="auto"/>
              </w:rPr>
            </w:pPr>
          </w:p>
        </w:tc>
      </w:tr>
      <w:tr>
        <w:trPr>
          <w:trHeight w:val="245"/>
        </w:trPr>
        <w:tc>
          <w:tcPr>
            <w:tcW w:w="7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Provision for income taxes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86,645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119,352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6,279</w:t>
            </w:r>
          </w:p>
        </w:tc>
        <w:tc>
          <w:tcPr>
            <w:tcW w:w="0" w:type="dxa"/>
            <w:vAlign w:val="bottom"/>
          </w:tcPr>
          <w:p>
            <w:pPr>
              <w:spacing w:after="0"/>
              <w:rPr>
                <w:sz w:val="1"/>
                <w:szCs w:val="1"/>
                <w:color w:val="auto"/>
              </w:rPr>
            </w:pPr>
          </w:p>
        </w:tc>
      </w:tr>
      <w:tr>
        <w:trPr>
          <w:trHeight w:val="205"/>
        </w:trPr>
        <w:tc>
          <w:tcPr>
            <w:tcW w:w="708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7"/>
              <w:spacing w:after="0"/>
              <w:rPr>
                <w:sz w:val="20"/>
                <w:szCs w:val="20"/>
                <w:color w:val="auto"/>
              </w:rPr>
            </w:pPr>
            <w:r>
              <w:rPr>
                <w:rFonts w:ascii="Arial" w:cs="Arial" w:eastAsia="Arial" w:hAnsi="Arial"/>
                <w:sz w:val="15"/>
                <w:szCs w:val="15"/>
                <w:color w:val="auto"/>
              </w:rPr>
              <w:t>241,390</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234,555</w:t>
            </w:r>
          </w:p>
        </w:tc>
        <w:tc>
          <w:tcPr>
            <w:tcW w:w="100" w:type="dxa"/>
            <w:vAlign w:val="bottom"/>
          </w:tcPr>
          <w:p>
            <w:pPr>
              <w:spacing w:after="0"/>
              <w:rPr>
                <w:sz w:val="17"/>
                <w:szCs w:val="17"/>
                <w:color w:val="auto"/>
              </w:rPr>
            </w:pPr>
          </w:p>
        </w:tc>
        <w:tc>
          <w:tcPr>
            <w:tcW w:w="3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110,873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80"/>
              <w:spacing w:after="0"/>
              <w:rPr>
                <w:sz w:val="20"/>
                <w:szCs w:val="20"/>
                <w:color w:val="auto"/>
              </w:rPr>
            </w:pPr>
            <w:r>
              <w:rPr>
                <w:rFonts w:ascii="Arial" w:cs="Arial" w:eastAsia="Arial" w:hAnsi="Arial"/>
                <w:sz w:val="10"/>
                <w:szCs w:val="10"/>
                <w:color w:val="auto"/>
              </w:rPr>
              <w:t>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70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80" w:hanging="293"/>
        <w:spacing w:after="0" w:line="237" w:lineRule="auto"/>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Depreciation and amortization expenses (see Note 1, Summary of Business and Significant Accounting Policies for associated asset lives):</w:t>
      </w:r>
    </w:p>
    <w:p>
      <w:pPr>
        <w:ind w:left="1480" w:hanging="304"/>
        <w:spacing w:after="0" w:line="236" w:lineRule="auto"/>
        <w:tabs>
          <w:tab w:leader="none" w:pos="14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Depreciation and amortization of property and equipment includes software developed for internal use.</w:t>
      </w:r>
    </w:p>
    <w:p>
      <w:pPr>
        <w:ind w:left="1480" w:hanging="304"/>
        <w:spacing w:after="0" w:line="236" w:lineRule="auto"/>
        <w:tabs>
          <w:tab w:leader="none" w:pos="14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Amortization of capitalized implementation costs represents amortization of upfront costs to implement new customer contracts under our SaaS and hosted revenue model.</w:t>
      </w:r>
    </w:p>
    <w:p>
      <w:pPr>
        <w:ind w:left="1480" w:hanging="304"/>
        <w:spacing w:after="0" w:line="247" w:lineRule="auto"/>
        <w:tabs>
          <w:tab w:leader="none" w:pos="14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Acquisition-related amortization represents amortization of intangible assets from the take-private transaction in 2007 as well as intangibles associated with acquisitions since that date. Also includes amortization of the excess basis in our underlying equity interest in SAPPL's net assets prior to our acquisition of SAPPL on July 1, 2015.</w:t>
      </w:r>
    </w:p>
    <w:p>
      <w:pPr>
        <w:spacing w:after="0" w:line="11" w:lineRule="exact"/>
        <w:rPr>
          <w:rFonts w:ascii="Arial" w:cs="Arial" w:eastAsia="Arial" w:hAnsi="Arial"/>
          <w:sz w:val="13"/>
          <w:szCs w:val="13"/>
          <w:color w:val="auto"/>
        </w:rPr>
      </w:pPr>
    </w:p>
    <w:p>
      <w:pPr>
        <w:jc w:val="both"/>
        <w:ind w:left="880" w:hanging="293"/>
        <w:spacing w:after="0" w:line="239" w:lineRule="auto"/>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Travel Network business at times makes upfront cash payments or other consideration to travel agency subscribers at the inception or modification of a service contract, which are capitalized and amortized over an average expected life of the service contract, generally over three years to five years. This consideration is made with the objective of increasing the number of clients or to ensure or improve customer loyalty. These service contract terms are established such that the supplier and other fees generated over the life of the contract will exceed the cost of the incentive consideration provided up front. These service contracts with travel agency subscribers require that the customer commit to achieving certain economic objectives and generally have terms requiring repayment of the upfront incentive consideration if those objectives are not met.</w:t>
      </w:r>
    </w:p>
    <w:p>
      <w:pPr>
        <w:spacing w:after="0" w:line="16" w:lineRule="exact"/>
        <w:rPr>
          <w:rFonts w:ascii="Arial" w:cs="Arial" w:eastAsia="Arial" w:hAnsi="Arial"/>
          <w:sz w:val="13"/>
          <w:szCs w:val="13"/>
          <w:color w:val="auto"/>
        </w:rPr>
      </w:pPr>
    </w:p>
    <w:p>
      <w:pPr>
        <w:jc w:val="both"/>
        <w:ind w:left="880" w:hanging="293"/>
        <w:spacing w:after="0" w:line="238" w:lineRule="auto"/>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2016, we recognized a gain of $15 million in the fourth quarter from the sale of our available-for-sale marketable securities, and a $6 million gain in the first quarter associated with the receipt of an earn-out payment from the sale of a business in 2013. Additionally, in the third quarter of 2015, we recognized a gain of $78 million associated with the remeasurement of our previously-held 35% investment in SAPPL to its fair value and a gain of $12 million related to the settlement of pre-existing agreements between us and SAPPL. In 2014, other, net primarily includes a fourth quarter charge of $66 million as a result of an increase to our TRA liability. The increase in our TRA liability is due to a reduction in a valuation allowance maintained against our deferred tax assets. This charge is fully offset by an income tax benefit recognized in the fourth quarter of 2014 from the reduction in the valuation allowance which is included in tax impacts of net income adjustments. In addition, all periods presented include foreign exchange gains and losses related to the remeasurement of foreign currency denominated balances included in our consolidated balance sheets into the relevant functional currency.</w:t>
      </w:r>
    </w:p>
    <w:p>
      <w:pPr>
        <w:spacing w:after="0" w:line="17" w:lineRule="exact"/>
        <w:rPr>
          <w:rFonts w:ascii="Arial" w:cs="Arial" w:eastAsia="Arial" w:hAnsi="Arial"/>
          <w:sz w:val="13"/>
          <w:szCs w:val="13"/>
          <w:color w:val="auto"/>
        </w:rPr>
      </w:pPr>
    </w:p>
    <w:p>
      <w:pPr>
        <w:ind w:left="880" w:hanging="293"/>
        <w:spacing w:after="0" w:line="247" w:lineRule="auto"/>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Restructuring and other costs represents charges associated with business restructuring and associated changes implemented which resulted in severance benefits related to employee terminations, integration and facility opening or closing costs and other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754" w:right="239" w:bottom="1440" w:gutter="0" w:footer="0" w:header="0"/>
        </w:sectPr>
      </w:pPr>
    </w:p>
    <w:bookmarkStart w:id="103" w:name="page104"/>
    <w:bookmarkEnd w:id="103"/>
    <w:p>
      <w:pPr>
        <w:jc w:val="both"/>
        <w:ind w:left="882"/>
        <w:spacing w:after="0" w:line="370" w:lineRule="auto"/>
        <w:rPr>
          <w:sz w:val="20"/>
          <w:szCs w:val="20"/>
          <w:color w:val="auto"/>
        </w:rPr>
      </w:pPr>
      <w:r>
        <w:rPr>
          <w:rFonts w:ascii="Arial" w:cs="Arial" w:eastAsia="Arial" w:hAnsi="Arial"/>
          <w:sz w:val="13"/>
          <w:szCs w:val="13"/>
          <w:color w:val="auto"/>
        </w:rPr>
        <w:t>business reorganization costs. In 2016, we recognized a $20 million charge to implement a plan to restructure a portion of our global workforce in support of funding our efforts to modernize our technology infrastructure, as well as to align and improve our operational efficiency to reflect expected changes by customers on implementation schedules for certain of Sabre Airline Solutions products, most of which will be paid in 2017. In 2015, we recognized a restructuring charge of $9 million associated with the integration of Abacus, of which $2 million was paid as of December 31, 2016. In 2016, we reduced our restructuring liability by $4 million as a result of the reevaluation of our plan derived from shift in timing and strategy of originally contemplated actions.</w:t>
      </w:r>
    </w:p>
    <w:p>
      <w:pPr>
        <w:spacing w:after="0" w:line="1" w:lineRule="exact"/>
        <w:rPr>
          <w:sz w:val="20"/>
          <w:szCs w:val="20"/>
          <w:color w:val="auto"/>
        </w:rPr>
      </w:pPr>
    </w:p>
    <w:p>
      <w:pPr>
        <w:ind w:left="882" w:hanging="293"/>
        <w:spacing w:after="0"/>
        <w:tabs>
          <w:tab w:leader="none" w:pos="882" w:val="left"/>
        </w:tabs>
        <w:numPr>
          <w:ilvl w:val="1"/>
          <w:numId w:val="37"/>
        </w:numPr>
        <w:rPr>
          <w:rFonts w:ascii="Arial" w:cs="Arial" w:eastAsia="Arial" w:hAnsi="Arial"/>
          <w:sz w:val="13"/>
          <w:szCs w:val="13"/>
          <w:color w:val="auto"/>
        </w:rPr>
      </w:pPr>
      <w:r>
        <w:rPr>
          <w:rFonts w:ascii="Arial" w:cs="Arial" w:eastAsia="Arial" w:hAnsi="Arial"/>
          <w:sz w:val="13"/>
          <w:szCs w:val="13"/>
          <w:color w:val="auto"/>
        </w:rPr>
        <w:t>Acquisition-related costs represent fees and expenses incurred associated with the acquisition of Abacus, the Trust Group and Airpas Aviation (see Note 2, Acquisitions).</w:t>
      </w:r>
    </w:p>
    <w:p>
      <w:pPr>
        <w:spacing w:after="0" w:line="19" w:lineRule="exact"/>
        <w:rPr>
          <w:rFonts w:ascii="Arial" w:cs="Arial" w:eastAsia="Arial" w:hAnsi="Arial"/>
          <w:sz w:val="13"/>
          <w:szCs w:val="13"/>
          <w:color w:val="auto"/>
        </w:rPr>
      </w:pPr>
    </w:p>
    <w:p>
      <w:pPr>
        <w:ind w:left="882" w:hanging="293"/>
        <w:spacing w:after="0" w:line="286" w:lineRule="auto"/>
        <w:tabs>
          <w:tab w:leader="none" w:pos="882" w:val="left"/>
        </w:tabs>
        <w:numPr>
          <w:ilvl w:val="1"/>
          <w:numId w:val="37"/>
        </w:numPr>
        <w:rPr>
          <w:rFonts w:ascii="Arial" w:cs="Arial" w:eastAsia="Arial" w:hAnsi="Arial"/>
          <w:sz w:val="13"/>
          <w:szCs w:val="13"/>
          <w:color w:val="auto"/>
        </w:rPr>
      </w:pPr>
      <w:r>
        <w:rPr>
          <w:rFonts w:ascii="Arial" w:cs="Arial" w:eastAsia="Arial" w:hAnsi="Arial"/>
          <w:sz w:val="13"/>
          <w:szCs w:val="13"/>
          <w:color w:val="auto"/>
        </w:rPr>
        <w:t>Litigation costs, net represent charges and legal fee reimbursements associated with antitrust litigation</w:t>
      </w:r>
      <w:r>
        <w:rPr>
          <w:rFonts w:ascii="Arial" w:cs="Arial" w:eastAsia="Arial" w:hAnsi="Arial"/>
          <w:sz w:val="14"/>
          <w:szCs w:val="14"/>
          <w:color w:val="auto"/>
        </w:rPr>
        <w:t>,</w:t>
      </w:r>
      <w:r>
        <w:rPr>
          <w:rFonts w:ascii="Arial" w:cs="Arial" w:eastAsia="Arial" w:hAnsi="Arial"/>
          <w:sz w:val="13"/>
          <w:szCs w:val="13"/>
          <w:color w:val="auto"/>
        </w:rPr>
        <w:t xml:space="preserve"> including an accrual of $32 million as of December 31, 2016, representing the trebling of the jury award plus our estimate of attorneys’ fees, expenses and costs in the US Airways litigation, (see Note 15, Commitments and Contingencies).</w:t>
      </w:r>
    </w:p>
    <w:p>
      <w:pPr>
        <w:jc w:val="both"/>
        <w:ind w:left="882" w:hanging="293"/>
        <w:spacing w:after="0" w:line="241" w:lineRule="auto"/>
        <w:tabs>
          <w:tab w:leader="none" w:pos="882" w:val="left"/>
        </w:tabs>
        <w:numPr>
          <w:ilvl w:val="1"/>
          <w:numId w:val="37"/>
        </w:numPr>
        <w:rPr>
          <w:rFonts w:ascii="Arial" w:cs="Arial" w:eastAsia="Arial" w:hAnsi="Arial"/>
          <w:sz w:val="13"/>
          <w:szCs w:val="13"/>
          <w:color w:val="auto"/>
        </w:rPr>
      </w:pPr>
      <w:r>
        <w:rPr>
          <w:rFonts w:ascii="Arial" w:cs="Arial" w:eastAsia="Arial" w:hAnsi="Arial"/>
          <w:sz w:val="13"/>
          <w:szCs w:val="13"/>
          <w:color w:val="auto"/>
        </w:rPr>
        <w:t>We paid an annual management fee to TPG and Silver Lake in an amount between (i) $5 million and (ii) $7 million, plus reimbursement of certain costs incurred by TPG and Silver Lake, pursuant to the MSA. In addition, we paid a $21 million fee, in the aggregate, to TPG and Silver Lake in connection with our initial public offering in 2014. The MSA was terminated in conjunction with our initial public offering.</w:t>
      </w:r>
    </w:p>
    <w:p>
      <w:pPr>
        <w:spacing w:after="0" w:line="165" w:lineRule="exact"/>
        <w:rPr>
          <w:rFonts w:ascii="Arial" w:cs="Arial" w:eastAsia="Arial" w:hAnsi="Arial"/>
          <w:sz w:val="13"/>
          <w:szCs w:val="13"/>
          <w:color w:val="auto"/>
        </w:rPr>
      </w:pPr>
    </w:p>
    <w:p>
      <w:pPr>
        <w:ind w:left="302" w:hanging="302"/>
        <w:spacing w:after="0"/>
        <w:tabs>
          <w:tab w:leader="none" w:pos="302" w:val="left"/>
        </w:tabs>
        <w:numPr>
          <w:ilvl w:val="0"/>
          <w:numId w:val="38"/>
        </w:numPr>
        <w:rPr>
          <w:rFonts w:ascii="Arial" w:cs="Arial" w:eastAsia="Arial" w:hAnsi="Arial"/>
          <w:sz w:val="16"/>
          <w:szCs w:val="16"/>
          <w:color w:val="auto"/>
        </w:rPr>
      </w:pPr>
      <w:r>
        <w:rPr>
          <w:rFonts w:ascii="Arial" w:cs="Arial" w:eastAsia="Arial" w:hAnsi="Arial"/>
          <w:sz w:val="15"/>
          <w:szCs w:val="15"/>
          <w:color w:val="auto"/>
        </w:rPr>
        <w:t>Includes capital expenditures and capitalized implementation costs as summarized below (in thousands):</w:t>
      </w:r>
    </w:p>
    <w:p>
      <w:pPr>
        <w:spacing w:after="0" w:line="292" w:lineRule="exact"/>
        <w:rPr>
          <w:sz w:val="20"/>
          <w:szCs w:val="20"/>
          <w:color w:val="auto"/>
        </w:rPr>
      </w:pPr>
    </w:p>
    <w:tbl>
      <w:tblPr>
        <w:tblLayout w:type="fixed"/>
        <w:tblInd w:w="562" w:type="dxa"/>
        <w:tblCellMar>
          <w:top w:w="0" w:type="dxa"/>
          <w:left w:w="0" w:type="dxa"/>
          <w:bottom w:w="0" w:type="dxa"/>
          <w:right w:w="0" w:type="dxa"/>
        </w:tblCellMar>
      </w:tblPr>
      <w:tr>
        <w:trPr>
          <w:trHeight w:val="159"/>
        </w:trPr>
        <w:tc>
          <w:tcPr>
            <w:tcW w:w="60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38"/>
        </w:trPr>
        <w:tc>
          <w:tcPr>
            <w:tcW w:w="6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2014</w:t>
            </w:r>
          </w:p>
        </w:tc>
      </w:tr>
      <w:tr>
        <w:trPr>
          <w:trHeight w:val="233"/>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to property and equipment</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327,647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286,697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227,227</w:t>
            </w:r>
          </w:p>
        </w:tc>
      </w:tr>
      <w:tr>
        <w:trPr>
          <w:trHeight w:val="23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Capitalized implementation costs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83,405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63,382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37,811</w:t>
            </w:r>
          </w:p>
        </w:tc>
      </w:tr>
      <w:tr>
        <w:trPr>
          <w:trHeight w:val="213"/>
        </w:trPr>
        <w:tc>
          <w:tcPr>
            <w:tcW w:w="6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Adjusted Capital Expenditures</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411,052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350,079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265,038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2" w:firstLine="454"/>
        <w:spacing w:after="0"/>
        <w:rPr>
          <w:sz w:val="20"/>
          <w:szCs w:val="20"/>
          <w:color w:val="auto"/>
        </w:rPr>
      </w:pPr>
      <w:r>
        <w:rPr>
          <w:rFonts w:ascii="Arial" w:cs="Arial" w:eastAsia="Arial" w:hAnsi="Arial"/>
          <w:sz w:val="15"/>
          <w:szCs w:val="15"/>
          <w:color w:val="auto"/>
        </w:rPr>
        <w:t>A significant portion of our revenue is generated through transaction-based fees that we charge to our customers. For Travel Network, this fee is in the form of a transaction fee for bookings on our GDS; for Airline and Hospitality Solutions, this fee is a recurring usage-based fee for the use of our SaaS and hosted systems, as well as implementation fees and professional service fees. Transaction-based revenue accounted for approximately 95% 92%,and 90% of our Travel Network revenue for the years ended December 31, 2016, 2015 and 2014, respectively. Transaction-based revenue accounted for approximately 73% for the year ended December 31, 2016 and approximately 70% for the years ended December 31, 2015 and 2014 of our Airline and Hospitality Solutions revenue.</w:t>
      </w:r>
    </w:p>
    <w:p>
      <w:pPr>
        <w:spacing w:after="0" w:line="192" w:lineRule="exact"/>
        <w:rPr>
          <w:sz w:val="20"/>
          <w:szCs w:val="20"/>
          <w:color w:val="auto"/>
        </w:rPr>
      </w:pPr>
    </w:p>
    <w:p>
      <w:pPr>
        <w:ind w:left="462"/>
        <w:spacing w:after="0"/>
        <w:rPr>
          <w:sz w:val="20"/>
          <w:szCs w:val="20"/>
          <w:color w:val="auto"/>
        </w:rPr>
      </w:pPr>
      <w:r>
        <w:rPr>
          <w:rFonts w:ascii="Arial" w:cs="Arial" w:eastAsia="Arial" w:hAnsi="Arial"/>
          <w:sz w:val="15"/>
          <w:szCs w:val="15"/>
          <w:color w:val="auto"/>
        </w:rPr>
        <w:t>All joint venture equity income relates to Travel Network.</w:t>
      </w:r>
    </w:p>
    <w:p>
      <w:pPr>
        <w:spacing w:after="0" w:line="195" w:lineRule="exact"/>
        <w:rPr>
          <w:sz w:val="20"/>
          <w:szCs w:val="20"/>
          <w:color w:val="auto"/>
        </w:rPr>
      </w:pPr>
    </w:p>
    <w:p>
      <w:pPr>
        <w:jc w:val="both"/>
        <w:ind w:left="2" w:firstLine="454"/>
        <w:spacing w:after="0" w:line="280" w:lineRule="auto"/>
        <w:rPr>
          <w:sz w:val="20"/>
          <w:szCs w:val="20"/>
          <w:color w:val="auto"/>
        </w:rPr>
      </w:pPr>
      <w:r>
        <w:rPr>
          <w:rFonts w:ascii="Arial" w:cs="Arial" w:eastAsia="Arial" w:hAnsi="Arial"/>
          <w:sz w:val="14"/>
          <w:szCs w:val="14"/>
          <w:color w:val="auto"/>
        </w:rPr>
        <w:t>Our revenues and long-lived assets, excluding goodwill and intangible assets, by geographic region are summarized below. Revenue of our Travel Network business is attributed to countries based on the location of the travel supplier. For Airline and Hospitality Solutions, revenue is attributed to countries based on the location of the customer.</w:t>
      </w:r>
    </w:p>
    <w:p>
      <w:pPr>
        <w:spacing w:after="0" w:line="253" w:lineRule="exact"/>
        <w:rPr>
          <w:sz w:val="20"/>
          <w:szCs w:val="20"/>
          <w:color w:val="auto"/>
        </w:rPr>
      </w:pPr>
    </w:p>
    <w:tbl>
      <w:tblPr>
        <w:tblLayout w:type="fixed"/>
        <w:tblInd w:w="502"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ind w:left="80"/>
              <w:spacing w:after="0"/>
              <w:rPr>
                <w:sz w:val="20"/>
                <w:szCs w:val="20"/>
                <w:color w:val="auto"/>
              </w:rPr>
            </w:pPr>
            <w:r>
              <w:rPr>
                <w:rFonts w:ascii="Arial" w:cs="Arial" w:eastAsia="Arial" w:hAnsi="Arial"/>
                <w:sz w:val="11"/>
                <w:szCs w:val="11"/>
                <w:b w:val="1"/>
                <w:bCs w:val="1"/>
                <w:color w:val="auto"/>
              </w:rPr>
              <w:t>Year Ended December 31,</w:t>
            </w: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2015</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69"/>
              <w:spacing w:after="0"/>
              <w:rPr>
                <w:sz w:val="20"/>
                <w:szCs w:val="20"/>
                <w:color w:val="auto"/>
              </w:rPr>
            </w:pPr>
            <w:r>
              <w:rPr>
                <w:rFonts w:ascii="Arial" w:cs="Arial" w:eastAsia="Arial" w:hAnsi="Arial"/>
                <w:sz w:val="11"/>
                <w:szCs w:val="11"/>
                <w:b w:val="1"/>
                <w:bCs w:val="1"/>
                <w:color w:val="auto"/>
                <w:w w:val="97"/>
              </w:rPr>
              <w:t>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080" w:type="dxa"/>
            <w:vAlign w:val="bottom"/>
          </w:tcPr>
          <w:p>
            <w:pPr>
              <w:ind w:left="240"/>
              <w:spacing w:after="0"/>
              <w:rPr>
                <w:sz w:val="20"/>
                <w:szCs w:val="20"/>
                <w:color w:val="auto"/>
              </w:rPr>
            </w:pPr>
            <w:r>
              <w:rPr>
                <w:rFonts w:ascii="Arial" w:cs="Arial" w:eastAsia="Arial" w:hAnsi="Arial"/>
                <w:sz w:val="15"/>
                <w:szCs w:val="15"/>
                <w:color w:val="auto"/>
              </w:rPr>
              <w:t>United States</w:t>
            </w:r>
          </w:p>
        </w:tc>
        <w:tc>
          <w:tcPr>
            <w:tcW w:w="3340" w:type="dxa"/>
            <w:vAlign w:val="bottom"/>
            <w:gridSpan w:val="2"/>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1,257,685</w:t>
            </w:r>
          </w:p>
        </w:tc>
        <w:tc>
          <w:tcPr>
            <w:tcW w:w="4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0"/>
              <w:spacing w:after="0"/>
              <w:rPr>
                <w:sz w:val="20"/>
                <w:szCs w:val="20"/>
                <w:color w:val="auto"/>
              </w:rPr>
            </w:pPr>
            <w:r>
              <w:rPr>
                <w:rFonts w:ascii="Arial" w:cs="Arial" w:eastAsia="Arial" w:hAnsi="Arial"/>
                <w:sz w:val="15"/>
                <w:szCs w:val="15"/>
                <w:color w:val="auto"/>
              </w:rPr>
              <w:t>1,182,056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1,146,800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3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Europe</w:t>
            </w:r>
          </w:p>
        </w:tc>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699,168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581,762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525,694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080" w:type="dxa"/>
            <w:vAlign w:val="bottom"/>
          </w:tcPr>
          <w:p>
            <w:pPr>
              <w:ind w:left="240"/>
              <w:spacing w:after="0"/>
              <w:rPr>
                <w:sz w:val="20"/>
                <w:szCs w:val="20"/>
                <w:color w:val="auto"/>
              </w:rPr>
            </w:pPr>
            <w:r>
              <w:rPr>
                <w:rFonts w:ascii="Arial" w:cs="Arial" w:eastAsia="Arial" w:hAnsi="Arial"/>
                <w:sz w:val="15"/>
                <w:szCs w:val="15"/>
                <w:color w:val="auto"/>
              </w:rPr>
              <w:t>APAC</w:t>
            </w: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29"/>
              <w:spacing w:after="0"/>
              <w:rPr>
                <w:sz w:val="20"/>
                <w:szCs w:val="20"/>
                <w:color w:val="auto"/>
              </w:rPr>
            </w:pPr>
            <w:r>
              <w:rPr>
                <w:rFonts w:ascii="Arial" w:cs="Arial" w:eastAsia="Arial" w:hAnsi="Arial"/>
                <w:sz w:val="15"/>
                <w:szCs w:val="15"/>
                <w:color w:val="auto"/>
              </w:rPr>
              <w:t>657,465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5"/>
                <w:szCs w:val="15"/>
                <w:color w:val="auto"/>
              </w:rPr>
              <w:t>497,518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294,663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30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All other</w:t>
            </w:r>
          </w:p>
        </w:tc>
        <w:tc>
          <w:tcPr>
            <w:tcW w:w="30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759,069</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699,560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664,260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080" w:type="dxa"/>
            <w:vAlign w:val="bottom"/>
          </w:tcPr>
          <w:p>
            <w:pPr>
              <w:ind w:left="440"/>
              <w:spacing w:after="0"/>
              <w:rPr>
                <w:sz w:val="20"/>
                <w:szCs w:val="20"/>
                <w:color w:val="auto"/>
              </w:rPr>
            </w:pPr>
            <w:r>
              <w:rPr>
                <w:rFonts w:ascii="Arial" w:cs="Arial" w:eastAsia="Arial" w:hAnsi="Arial"/>
                <w:sz w:val="15"/>
                <w:szCs w:val="15"/>
                <w:color w:val="auto"/>
              </w:rPr>
              <w:t>Total</w:t>
            </w:r>
          </w:p>
        </w:tc>
        <w:tc>
          <w:tcPr>
            <w:tcW w:w="3000" w:type="dxa"/>
            <w:vAlign w:val="bottom"/>
          </w:tcPr>
          <w:p>
            <w:pPr>
              <w:spacing w:after="0"/>
              <w:rPr>
                <w:sz w:val="17"/>
                <w:szCs w:val="17"/>
                <w:color w:val="auto"/>
              </w:rPr>
            </w:pPr>
          </w:p>
        </w:tc>
        <w:tc>
          <w:tcPr>
            <w:tcW w:w="3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3,373,387</w:t>
            </w:r>
          </w:p>
        </w:tc>
        <w:tc>
          <w:tcPr>
            <w:tcW w:w="10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2,960,896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rPr>
              <w:t>2,631,417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rPr>
              <w:t>As of December 31,</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30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2016</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9"/>
              <w:spacing w:after="0"/>
              <w:rPr>
                <w:sz w:val="20"/>
                <w:szCs w:val="20"/>
                <w:color w:val="auto"/>
              </w:rPr>
            </w:pPr>
            <w:r>
              <w:rPr>
                <w:rFonts w:ascii="Arial" w:cs="Arial" w:eastAsia="Arial" w:hAnsi="Arial"/>
                <w:sz w:val="11"/>
                <w:szCs w:val="11"/>
                <w:b w:val="1"/>
                <w:bCs w:val="1"/>
                <w:color w:val="auto"/>
              </w:rPr>
              <w:t>2015</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Long-lived assets</w:t>
            </w:r>
          </w:p>
        </w:tc>
        <w:tc>
          <w:tcPr>
            <w:tcW w:w="3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080" w:type="dxa"/>
            <w:vAlign w:val="bottom"/>
          </w:tcPr>
          <w:p>
            <w:pPr>
              <w:ind w:left="180"/>
              <w:spacing w:after="0"/>
              <w:rPr>
                <w:sz w:val="20"/>
                <w:szCs w:val="20"/>
                <w:color w:val="auto"/>
              </w:rPr>
            </w:pPr>
            <w:r>
              <w:rPr>
                <w:rFonts w:ascii="Arial" w:cs="Arial" w:eastAsia="Arial" w:hAnsi="Arial"/>
                <w:sz w:val="15"/>
                <w:szCs w:val="15"/>
                <w:color w:val="auto"/>
              </w:rPr>
              <w:t>United States</w:t>
            </w: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726,021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600,999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 w:type="dxa"/>
            <w:vAlign w:val="bottom"/>
            <w:shd w:val="clear" w:color="auto" w:fill="CCEEFF"/>
          </w:tcPr>
          <w:p>
            <w:pPr>
              <w:spacing w:after="0"/>
              <w:rPr>
                <w:sz w:val="22"/>
                <w:szCs w:val="22"/>
                <w:color w:val="auto"/>
              </w:rPr>
            </w:pPr>
          </w:p>
        </w:tc>
        <w:tc>
          <w:tcPr>
            <w:tcW w:w="3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APAC</w:t>
            </w:r>
          </w:p>
        </w:tc>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11,460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080" w:type="dxa"/>
            <w:vAlign w:val="bottom"/>
          </w:tcPr>
          <w:p>
            <w:pPr>
              <w:ind w:left="180"/>
              <w:spacing w:after="0"/>
              <w:rPr>
                <w:sz w:val="20"/>
                <w:szCs w:val="20"/>
                <w:color w:val="auto"/>
              </w:rPr>
            </w:pPr>
            <w:r>
              <w:rPr>
                <w:rFonts w:ascii="Arial" w:cs="Arial" w:eastAsia="Arial" w:hAnsi="Arial"/>
                <w:sz w:val="15"/>
                <w:szCs w:val="15"/>
                <w:color w:val="auto"/>
              </w:rPr>
              <w:t>Europe</w:t>
            </w: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5,922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7,972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 w:type="dxa"/>
            <w:vAlign w:val="bottom"/>
            <w:shd w:val="clear" w:color="auto" w:fill="CCEEFF"/>
          </w:tcPr>
          <w:p>
            <w:pPr>
              <w:spacing w:after="0"/>
              <w:rPr>
                <w:sz w:val="22"/>
                <w:szCs w:val="22"/>
                <w:color w:val="auto"/>
              </w:rPr>
            </w:pPr>
          </w:p>
        </w:tc>
        <w:tc>
          <w:tcPr>
            <w:tcW w:w="3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All other</w:t>
            </w:r>
          </w:p>
        </w:tc>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8,006</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7,098</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080" w:type="dxa"/>
            <w:vAlign w:val="bottom"/>
          </w:tcPr>
          <w:p>
            <w:pPr>
              <w:ind w:left="380"/>
              <w:spacing w:after="0"/>
              <w:rPr>
                <w:sz w:val="20"/>
                <w:szCs w:val="20"/>
                <w:color w:val="auto"/>
              </w:rPr>
            </w:pPr>
            <w:r>
              <w:rPr>
                <w:rFonts w:ascii="Arial" w:cs="Arial" w:eastAsia="Arial" w:hAnsi="Arial"/>
                <w:sz w:val="15"/>
                <w:szCs w:val="15"/>
                <w:color w:val="auto"/>
              </w:rPr>
              <w:t>Total</w:t>
            </w:r>
          </w:p>
        </w:tc>
        <w:tc>
          <w:tcPr>
            <w:tcW w:w="3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753,279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627,529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0" w:type="dxa"/>
            <w:vAlign w:val="bottom"/>
            <w:vMerge w:val="restart"/>
          </w:tcPr>
          <w:p>
            <w:pPr>
              <w:jc w:val="right"/>
              <w:ind w:right="726"/>
              <w:spacing w:after="0"/>
              <w:rPr>
                <w:sz w:val="20"/>
                <w:szCs w:val="20"/>
                <w:color w:val="auto"/>
              </w:rPr>
            </w:pPr>
            <w:r>
              <w:rPr>
                <w:rFonts w:ascii="Arial" w:cs="Arial" w:eastAsia="Arial" w:hAnsi="Arial"/>
                <w:sz w:val="15"/>
                <w:szCs w:val="15"/>
                <w:color w:val="auto"/>
              </w:rPr>
              <w:t>102</w:t>
            </w: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2"/>
          </w:cols>
          <w:pgMar w:left="238" w:top="622" w:right="23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b w:val="1"/>
          <w:bCs w:val="1"/>
          <w:color w:val="auto"/>
        </w:rPr>
        <w:t>17. Quarterly Financial Information (Unaudited)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our quarterly financial results for the years ended December 31, 2016 and 2015 is presented below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Year Ended December 31, 2016</w:t>
            </w: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238"/>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First Quarter</w:t>
            </w:r>
          </w:p>
        </w:tc>
        <w:tc>
          <w:tcPr>
            <w:tcW w:w="1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Second Quarter</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1"/>
                <w:szCs w:val="11"/>
                <w:b w:val="1"/>
                <w:bCs w:val="1"/>
                <w:color w:val="auto"/>
              </w:rPr>
              <w:t>Third Quarter</w:t>
            </w:r>
          </w:p>
        </w:tc>
        <w:tc>
          <w:tcPr>
            <w:tcW w:w="200" w:type="dxa"/>
            <w:vAlign w:val="bottom"/>
          </w:tcPr>
          <w:p>
            <w:pPr>
              <w:spacing w:after="0"/>
              <w:rPr>
                <w:sz w:val="20"/>
                <w:szCs w:val="20"/>
                <w:color w:val="auto"/>
              </w:rPr>
            </w:pPr>
          </w:p>
        </w:tc>
        <w:tc>
          <w:tcPr>
            <w:tcW w:w="1160" w:type="dxa"/>
            <w:vAlign w:val="bottom"/>
          </w:tcPr>
          <w:p>
            <w:pPr>
              <w:jc w:val="right"/>
              <w:ind w:right="188"/>
              <w:spacing w:after="0"/>
              <w:rPr>
                <w:sz w:val="20"/>
                <w:szCs w:val="20"/>
                <w:color w:val="auto"/>
              </w:rPr>
            </w:pPr>
            <w:r>
              <w:rPr>
                <w:rFonts w:ascii="Arial" w:cs="Arial" w:eastAsia="Arial" w:hAnsi="Arial"/>
                <w:sz w:val="11"/>
                <w:szCs w:val="11"/>
                <w:b w:val="1"/>
                <w:bCs w:val="1"/>
                <w:color w:val="auto"/>
              </w:rPr>
              <w:t>Fourth Quarter</w:t>
            </w:r>
          </w:p>
        </w:tc>
      </w:tr>
      <w:tr>
        <w:trPr>
          <w:trHeight w:val="23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859,543</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845,242</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838,982</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829,620</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Operating income</w:t>
            </w:r>
          </w:p>
        </w:tc>
        <w:tc>
          <w:tcPr>
            <w:tcW w:w="24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171,422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142,039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90,150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55,961</w:t>
            </w:r>
          </w:p>
        </w:tc>
      </w:tr>
      <w:tr>
        <w:trPr>
          <w:trHeight w:val="25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134,343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106,468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49,464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31,020</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Income/(loss) from discontinued operations, net of tax</w:t>
            </w:r>
          </w:p>
        </w:tc>
        <w:tc>
          <w:tcPr>
            <w:tcW w:w="24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13,350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(5,309)</w:t>
            </w:r>
          </w:p>
        </w:tc>
      </w:tr>
      <w:tr>
        <w:trPr>
          <w:trHeight w:val="25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106,269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73,097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41,862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25,711</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Net income attributable to common stockholders</w:t>
            </w:r>
          </w:p>
        </w:tc>
        <w:tc>
          <w:tcPr>
            <w:tcW w:w="24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105,167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72,019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40,815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24,561</w:t>
            </w:r>
          </w:p>
        </w:tc>
      </w:tr>
      <w:tr>
        <w:trPr>
          <w:trHeight w:val="25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share attributable to common stockholders:</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7"/>
        </w:trPr>
        <w:tc>
          <w:tcPr>
            <w:tcW w:w="5600" w:type="dxa"/>
            <w:vAlign w:val="bottom"/>
          </w:tcPr>
          <w:p>
            <w:pPr>
              <w:ind w:left="140"/>
              <w:spacing w:after="0"/>
              <w:rPr>
                <w:sz w:val="20"/>
                <w:szCs w:val="20"/>
                <w:color w:val="auto"/>
              </w:rPr>
            </w:pPr>
            <w:r>
              <w:rPr>
                <w:rFonts w:ascii="Arial" w:cs="Arial" w:eastAsia="Arial" w:hAnsi="Arial"/>
                <w:sz w:val="15"/>
                <w:szCs w:val="15"/>
                <w:color w:val="auto"/>
              </w:rPr>
              <w:t>Basic</w:t>
            </w:r>
          </w:p>
        </w:tc>
        <w:tc>
          <w:tcPr>
            <w:tcW w:w="24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0.38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0.26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0.09</w:t>
            </w:r>
          </w:p>
        </w:tc>
      </w:tr>
      <w:tr>
        <w:trPr>
          <w:trHeight w:val="254"/>
        </w:trPr>
        <w:tc>
          <w:tcPr>
            <w:tcW w:w="5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0.37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0.14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0.09</w:t>
            </w:r>
          </w:p>
        </w:tc>
      </w:tr>
      <w:tr>
        <w:trPr>
          <w:trHeight w:val="397"/>
        </w:trPr>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Year Ended December 31, 2015</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8"/>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First Quarter</w:t>
            </w:r>
          </w:p>
        </w:tc>
        <w:tc>
          <w:tcPr>
            <w:tcW w:w="1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Second Quarter</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1"/>
                <w:szCs w:val="11"/>
                <w:b w:val="1"/>
                <w:bCs w:val="1"/>
                <w:color w:val="auto"/>
              </w:rPr>
              <w:t>Third Quarter</w:t>
            </w:r>
          </w:p>
        </w:tc>
        <w:tc>
          <w:tcPr>
            <w:tcW w:w="200" w:type="dxa"/>
            <w:vAlign w:val="bottom"/>
          </w:tcPr>
          <w:p>
            <w:pPr>
              <w:spacing w:after="0"/>
              <w:rPr>
                <w:sz w:val="20"/>
                <w:szCs w:val="20"/>
                <w:color w:val="auto"/>
              </w:rPr>
            </w:pPr>
          </w:p>
        </w:tc>
        <w:tc>
          <w:tcPr>
            <w:tcW w:w="1160" w:type="dxa"/>
            <w:vAlign w:val="bottom"/>
          </w:tcPr>
          <w:p>
            <w:pPr>
              <w:jc w:val="right"/>
              <w:ind w:right="188"/>
              <w:spacing w:after="0"/>
              <w:rPr>
                <w:sz w:val="20"/>
                <w:szCs w:val="20"/>
                <w:color w:val="auto"/>
              </w:rPr>
            </w:pPr>
            <w:r>
              <w:rPr>
                <w:rFonts w:ascii="Arial" w:cs="Arial" w:eastAsia="Arial" w:hAnsi="Arial"/>
                <w:sz w:val="11"/>
                <w:szCs w:val="11"/>
                <w:b w:val="1"/>
                <w:bCs w:val="1"/>
                <w:color w:val="auto"/>
              </w:rPr>
              <w:t>Fourth Quarter</w:t>
            </w:r>
          </w:p>
        </w:tc>
      </w:tr>
      <w:tr>
        <w:trPr>
          <w:trHeight w:val="23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710,348</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707,091</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785,002</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758,455</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Operating income</w:t>
            </w:r>
          </w:p>
        </w:tc>
        <w:tc>
          <w:tcPr>
            <w:tcW w:w="24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118,992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122,605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108,772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109,400</w:t>
            </w:r>
          </w:p>
        </w:tc>
      </w:tr>
      <w:tr>
        <w:trPr>
          <w:trHeight w:val="25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49,330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32,589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123,124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29,512</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(Loss) income from discontinued operations, net of tax</w:t>
            </w:r>
          </w:p>
        </w:tc>
        <w:tc>
          <w:tcPr>
            <w:tcW w:w="24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158,911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696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53,892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100,909</w:t>
            </w:r>
          </w:p>
        </w:tc>
      </w:tr>
      <w:tr>
        <w:trPr>
          <w:trHeight w:val="254"/>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income</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208,241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33,285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177,016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130,421</w:t>
            </w:r>
          </w:p>
        </w:tc>
      </w:tr>
      <w:tr>
        <w:trPr>
          <w:trHeight w:val="237"/>
        </w:trPr>
        <w:tc>
          <w:tcPr>
            <w:tcW w:w="5600" w:type="dxa"/>
            <w:vAlign w:val="bottom"/>
          </w:tcPr>
          <w:p>
            <w:pPr>
              <w:ind w:left="20"/>
              <w:spacing w:after="0"/>
              <w:rPr>
                <w:sz w:val="20"/>
                <w:szCs w:val="20"/>
                <w:color w:val="auto"/>
              </w:rPr>
            </w:pPr>
            <w:r>
              <w:rPr>
                <w:rFonts w:ascii="Arial" w:cs="Arial" w:eastAsia="Arial" w:hAnsi="Arial"/>
                <w:sz w:val="15"/>
                <w:szCs w:val="15"/>
                <w:color w:val="auto"/>
              </w:rPr>
              <w:t>Net (loss) income attributable to common stockholders</w:t>
            </w:r>
          </w:p>
        </w:tc>
        <w:tc>
          <w:tcPr>
            <w:tcW w:w="24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207,494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32,207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176,340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129,441</w:t>
            </w:r>
          </w:p>
        </w:tc>
      </w:tr>
      <w:tr>
        <w:trPr>
          <w:trHeight w:val="23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income per share attributable to common 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7"/>
        </w:trPr>
        <w:tc>
          <w:tcPr>
            <w:tcW w:w="5600" w:type="dxa"/>
            <w:vAlign w:val="bottom"/>
          </w:tcPr>
          <w:p>
            <w:pPr>
              <w:ind w:left="320"/>
              <w:spacing w:after="0"/>
              <w:rPr>
                <w:sz w:val="20"/>
                <w:szCs w:val="20"/>
                <w:color w:val="auto"/>
              </w:rPr>
            </w:pPr>
            <w:r>
              <w:rPr>
                <w:rFonts w:ascii="Arial" w:cs="Arial" w:eastAsia="Arial" w:hAnsi="Arial"/>
                <w:sz w:val="15"/>
                <w:szCs w:val="15"/>
                <w:color w:val="auto"/>
              </w:rPr>
              <w:t>Basic</w:t>
            </w:r>
          </w:p>
        </w:tc>
        <w:tc>
          <w:tcPr>
            <w:tcW w:w="24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0.77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auto"/>
              </w:rPr>
              <w:t>0.64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8"/>
              <w:spacing w:after="0"/>
              <w:rPr>
                <w:sz w:val="20"/>
                <w:szCs w:val="20"/>
                <w:color w:val="auto"/>
              </w:rPr>
            </w:pPr>
            <w:r>
              <w:rPr>
                <w:rFonts w:ascii="Arial" w:cs="Arial" w:eastAsia="Arial" w:hAnsi="Arial"/>
                <w:sz w:val="15"/>
                <w:szCs w:val="15"/>
                <w:color w:val="auto"/>
              </w:rPr>
              <w:t>0.47</w:t>
            </w:r>
          </w:p>
        </w:tc>
      </w:tr>
      <w:tr>
        <w:trPr>
          <w:trHeight w:val="254"/>
        </w:trPr>
        <w:tc>
          <w:tcPr>
            <w:tcW w:w="56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0.75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0.12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0.63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0.46</w:t>
            </w:r>
          </w:p>
        </w:tc>
      </w:tr>
    </w:tbl>
    <w:p>
      <w:pPr>
        <w:spacing w:after="0" w:line="278"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 applicable.</w:t>
      </w:r>
    </w:p>
    <w:p>
      <w:pPr>
        <w:spacing w:after="0" w:line="276"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Disclosure Controls and Procedures</w:t>
      </w:r>
    </w:p>
    <w:p>
      <w:pPr>
        <w:spacing w:after="0" w:line="115"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5"/>
          <w:szCs w:val="15"/>
          <w:color w:val="auto"/>
        </w:rPr>
        <w:t>Under the supervision and with the participation of our management, including the Chief Executive Officer and Chief Financial Officer, we have evaluated the effectiveness of the design and operation of our disclosure controls and procedures (as defined in Exchange Act Rule 13a-15(e)) as of the end of the period covered by this report. Based on that evaluation, the Chief Executive Officer and Chief Financial Officer have concluded that, as of the end of the period covered by this report, our disclosure controls and procedures are effective.</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Management’s Report on Internal Control Over Financial Reporting</w:t>
      </w:r>
    </w:p>
    <w:p>
      <w:pPr>
        <w:spacing w:after="0" w:line="115"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Exchange Act Rule 13a-15(f)). Under the supervision and with the participation of our management, including the Chief Executive Officer and Chief Financial Officer, we have conducted an evaluation of the effectiveness of our internal control over financial reporting based on criteria established in the framework in Internal Control—Integrated Framework issued by the Committee of Sponsoring Organizations of the Treadway Commission (2013 framework). Based on our evaluation, we concluded that our internal control over financial reporting is effective as of December 31, 2016.</w:t>
      </w:r>
    </w:p>
    <w:p>
      <w:pPr>
        <w:spacing w:after="0" w:line="192"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Our independent registered public accounting firm, Ernst &amp; Young LLP, has issued an attestation report on the effectiveness of our internal control over financial reporting as of December 31, 2016, which is included in Item 8 of this Annual Report on Form 10-K.</w:t>
      </w:r>
    </w:p>
    <w:p>
      <w:pPr>
        <w:spacing w:after="0" w:line="188"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835" w:right="239" w:bottom="1440" w:gutter="0" w:footer="0" w:header="0"/>
        </w:sectPr>
      </w:pPr>
    </w:p>
    <w:bookmarkStart w:id="105" w:name="page106"/>
    <w:bookmarkEnd w:id="105"/>
    <w:p>
      <w:pPr>
        <w:ind w:left="460"/>
        <w:spacing w:after="0"/>
        <w:rPr>
          <w:sz w:val="20"/>
          <w:szCs w:val="20"/>
          <w:color w:val="auto"/>
        </w:rPr>
      </w:pPr>
      <w:r>
        <w:rPr>
          <w:rFonts w:ascii="Arial" w:cs="Arial" w:eastAsia="Arial" w:hAnsi="Arial"/>
          <w:sz w:val="15"/>
          <w:szCs w:val="15"/>
          <w:b w:val="1"/>
          <w:bCs w:val="1"/>
          <w:i w:val="1"/>
          <w:iCs w:val="1"/>
          <w:color w:val="auto"/>
        </w:rPr>
        <w:t>Internal Control Over Financial Reporting</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There have been no changes in our internal control over financial reporting (as this term is defined in Exchange Act Rule 13a-15(f)) during the year ended December 31, 2016 that have materially affected, or are reasonably likely to materially affect, our internal control over financial reporting.</w:t>
      </w:r>
    </w:p>
    <w:p>
      <w:pPr>
        <w:spacing w:after="0" w:line="188"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5"/>
          <w:szCs w:val="15"/>
          <w:color w:val="auto"/>
        </w:rPr>
        <w:t>We are implementing a project to consolidate our business technology infrastructure to a single global enterprise resource planning (“ERP”) system. A key component of our ERP implementation project is to ensure appropriate internal control over financial reporting is maintained. An important milestone in our ERP implementation is the migration to a cloud-based environment for our financial reporting system, which we expect will be completed in the first quarter of 2017.</w:t>
      </w:r>
    </w:p>
    <w:p>
      <w:pPr>
        <w:spacing w:after="0" w:line="270"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 applicable.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III</w:t>
      </w:r>
    </w:p>
    <w:p>
      <w:pPr>
        <w:spacing w:after="0" w:line="294"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15"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The information set forth under the following headings of our definitive Proxy Statement for our 2017 annual meeting of stockholders (the “2017 Proxy Statement”) is incorporated herein by reference:</w:t>
      </w:r>
    </w:p>
    <w:p>
      <w:pPr>
        <w:spacing w:after="0" w:line="89" w:lineRule="exact"/>
        <w:rPr>
          <w:sz w:val="20"/>
          <w:szCs w:val="20"/>
          <w:color w:val="auto"/>
        </w:rPr>
      </w:pPr>
    </w:p>
    <w:p>
      <w:pPr>
        <w:ind w:left="740" w:hanging="300"/>
        <w:spacing w:after="0" w:line="245" w:lineRule="auto"/>
        <w:tabs>
          <w:tab w:leader="none" w:pos="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“Certain Information Regarding Nominees for Director” under “Proposal 1. Election of Directors,” which identifies our directors and nominees for our Board of Directors, and “Stockholders’ Agreement” under “Corporate Governance.”</w:t>
      </w:r>
    </w:p>
    <w:p>
      <w:pPr>
        <w:spacing w:after="0" w:line="89" w:lineRule="exact"/>
        <w:rPr>
          <w:rFonts w:ascii="Arial" w:cs="Arial" w:eastAsia="Arial" w:hAnsi="Arial"/>
          <w:sz w:val="15"/>
          <w:szCs w:val="15"/>
          <w:color w:val="auto"/>
        </w:rPr>
      </w:pPr>
    </w:p>
    <w:p>
      <w:pPr>
        <w:ind w:left="740" w:hanging="300"/>
        <w:spacing w:after="0"/>
        <w:tabs>
          <w:tab w:leader="none" w:pos="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Other Information—“Section 16(a) Beneficial Ownership Reporting Compliance.”</w:t>
      </w:r>
    </w:p>
    <w:p>
      <w:pPr>
        <w:spacing w:after="0" w:line="97" w:lineRule="exact"/>
        <w:rPr>
          <w:rFonts w:ascii="Arial" w:cs="Arial" w:eastAsia="Arial" w:hAnsi="Arial"/>
          <w:sz w:val="15"/>
          <w:szCs w:val="15"/>
          <w:color w:val="auto"/>
        </w:rPr>
      </w:pPr>
    </w:p>
    <w:p>
      <w:pPr>
        <w:ind w:left="740" w:hanging="300"/>
        <w:spacing w:after="0"/>
        <w:tabs>
          <w:tab w:leader="none" w:pos="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“Corporate Governance—Other Corporate Governance Matters—Code of Business Ethics,” which describes our Code of Ethics.</w:t>
      </w:r>
    </w:p>
    <w:p>
      <w:pPr>
        <w:spacing w:after="0" w:line="97"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“Corporate Governance—Stockholder Nominations for Directors,” which describes the procedures by which stockholders may nominate candidates for election to our Board of Directors.</w:t>
      </w:r>
    </w:p>
    <w:p>
      <w:pPr>
        <w:spacing w:after="0" w:line="89" w:lineRule="exact"/>
        <w:rPr>
          <w:rFonts w:ascii="Arial" w:cs="Arial" w:eastAsia="Arial" w:hAnsi="Arial"/>
          <w:sz w:val="15"/>
          <w:szCs w:val="15"/>
          <w:color w:val="auto"/>
        </w:rPr>
      </w:pPr>
    </w:p>
    <w:p>
      <w:pPr>
        <w:ind w:left="740" w:hanging="300"/>
        <w:spacing w:after="0" w:line="245" w:lineRule="auto"/>
        <w:tabs>
          <w:tab w:leader="none" w:pos="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“Corporate Governance—Board Committees—Audit Committee," which identifies members of the Audit Committee of our Board of Directors and audit committee financial experts.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Information regarding our executive officers is reported under the caption “Executive Officers of the Registrant” in Part I of this Annual Report on Form 10-K.</w:t>
      </w:r>
    </w:p>
    <w:p>
      <w:pPr>
        <w:spacing w:after="0" w:line="276"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5" w:lineRule="exact"/>
        <w:rPr>
          <w:sz w:val="20"/>
          <w:szCs w:val="20"/>
          <w:color w:val="auto"/>
        </w:rPr>
      </w:pPr>
    </w:p>
    <w:p>
      <w:pPr>
        <w:jc w:val="both"/>
        <w:ind w:firstLine="454"/>
        <w:spacing w:after="0" w:line="242" w:lineRule="auto"/>
        <w:rPr>
          <w:sz w:val="20"/>
          <w:szCs w:val="20"/>
          <w:color w:val="auto"/>
        </w:rPr>
      </w:pPr>
      <w:r>
        <w:rPr>
          <w:rFonts w:ascii="Arial" w:cs="Arial" w:eastAsia="Arial" w:hAnsi="Arial"/>
          <w:sz w:val="15"/>
          <w:szCs w:val="15"/>
          <w:color w:val="auto"/>
        </w:rPr>
        <w:t>The information set forth under the headings “Compensation Discussion and Analysis,” “Executive Compensation,” “Proposal 1. Election of Directors—Director Compensation Program” and “Corporate Governance—Compensation Committee Interlocks and Insider Participation” of the 2017 Proxy Statement is incorporated herein by reference.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835" w:right="239" w:bottom="1440" w:gutter="0" w:footer="0" w:header="0"/>
        </w:sectPr>
      </w:pPr>
    </w:p>
    <w:bookmarkStart w:id="106" w:name="page107"/>
    <w:bookmarkEnd w:id="106"/>
    <w:p>
      <w:pPr>
        <w:ind w:left="2"/>
        <w:spacing w:after="0"/>
        <w:tabs>
          <w:tab w:leader="none" w:pos="1081"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115" w:lineRule="exact"/>
        <w:rPr>
          <w:sz w:val="20"/>
          <w:szCs w:val="20"/>
          <w:color w:val="auto"/>
        </w:rPr>
      </w:pPr>
    </w:p>
    <w:p>
      <w:pPr>
        <w:ind w:left="2" w:firstLine="454"/>
        <w:spacing w:after="0" w:line="245" w:lineRule="auto"/>
        <w:rPr>
          <w:sz w:val="20"/>
          <w:szCs w:val="20"/>
          <w:color w:val="auto"/>
        </w:rPr>
      </w:pPr>
      <w:r>
        <w:rPr>
          <w:rFonts w:ascii="Arial" w:cs="Arial" w:eastAsia="Arial" w:hAnsi="Arial"/>
          <w:sz w:val="15"/>
          <w:szCs w:val="15"/>
          <w:color w:val="auto"/>
        </w:rPr>
        <w:t>The information set forth under the headings “Security Ownership of Certain Beneficial Owners and Management” of the 2017 Proxy Statement is incorporated herein by reference.</w:t>
      </w:r>
    </w:p>
    <w:p>
      <w:pPr>
        <w:spacing w:after="0" w:line="270" w:lineRule="exact"/>
        <w:rPr>
          <w:sz w:val="20"/>
          <w:szCs w:val="20"/>
          <w:color w:val="auto"/>
        </w:rPr>
      </w:pPr>
    </w:p>
    <w:p>
      <w:pPr>
        <w:ind w:left="462"/>
        <w:spacing w:after="0"/>
        <w:rPr>
          <w:sz w:val="20"/>
          <w:szCs w:val="20"/>
          <w:color w:val="auto"/>
        </w:rPr>
      </w:pPr>
      <w:r>
        <w:rPr>
          <w:rFonts w:ascii="Arial" w:cs="Arial" w:eastAsia="Arial" w:hAnsi="Arial"/>
          <w:sz w:val="15"/>
          <w:szCs w:val="15"/>
          <w:i w:val="1"/>
          <w:iCs w:val="1"/>
          <w:color w:val="auto"/>
        </w:rPr>
        <w:t>Equity Compensation Plan Information</w:t>
      </w:r>
    </w:p>
    <w:p>
      <w:pPr>
        <w:spacing w:after="0" w:line="113" w:lineRule="exact"/>
        <w:rPr>
          <w:sz w:val="20"/>
          <w:szCs w:val="20"/>
          <w:color w:val="auto"/>
        </w:rPr>
      </w:pPr>
    </w:p>
    <w:p>
      <w:pPr>
        <w:ind w:left="2" w:firstLine="454"/>
        <w:spacing w:after="0" w:line="245" w:lineRule="auto"/>
        <w:rPr>
          <w:sz w:val="20"/>
          <w:szCs w:val="20"/>
          <w:color w:val="auto"/>
        </w:rPr>
      </w:pPr>
      <w:r>
        <w:rPr>
          <w:rFonts w:ascii="Arial" w:cs="Arial" w:eastAsia="Arial" w:hAnsi="Arial"/>
          <w:sz w:val="15"/>
          <w:szCs w:val="15"/>
          <w:color w:val="auto"/>
        </w:rPr>
        <w:t>The following table gives information about our common stock that may be issued upon the exercise of options, warrants and rights under all of our equity compensation plans as of December 31, 2016.</w:t>
      </w:r>
    </w:p>
    <w:p>
      <w:pPr>
        <w:spacing w:after="0" w:line="212"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5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rPr>
              <w:t>Number of securities remaining</w:t>
            </w:r>
          </w:p>
        </w:tc>
      </w:tr>
      <w:tr>
        <w:trPr>
          <w:trHeight w:val="123"/>
        </w:trPr>
        <w:tc>
          <w:tcPr>
            <w:tcW w:w="5720" w:type="dxa"/>
            <w:vAlign w:val="bottom"/>
          </w:tcPr>
          <w:p>
            <w:pPr>
              <w:spacing w:after="0"/>
              <w:rPr>
                <w:sz w:val="10"/>
                <w:szCs w:val="10"/>
                <w:color w:val="auto"/>
              </w:rPr>
            </w:pPr>
          </w:p>
        </w:tc>
        <w:tc>
          <w:tcPr>
            <w:tcW w:w="196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rPr>
              <w:t>Number of securities to be</w:t>
            </w: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available for future issuance</w:t>
            </w:r>
          </w:p>
        </w:tc>
      </w:tr>
      <w:tr>
        <w:trPr>
          <w:trHeight w:val="123"/>
        </w:trPr>
        <w:tc>
          <w:tcPr>
            <w:tcW w:w="5720" w:type="dxa"/>
            <w:vAlign w:val="bottom"/>
          </w:tcPr>
          <w:p>
            <w:pPr>
              <w:spacing w:after="0"/>
              <w:rPr>
                <w:sz w:val="10"/>
                <w:szCs w:val="10"/>
                <w:color w:val="auto"/>
              </w:rPr>
            </w:pPr>
          </w:p>
        </w:tc>
        <w:tc>
          <w:tcPr>
            <w:tcW w:w="196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rPr>
              <w:t>issued upon exercise of</w:t>
            </w:r>
          </w:p>
        </w:tc>
        <w:tc>
          <w:tcPr>
            <w:tcW w:w="140" w:type="dxa"/>
            <w:vAlign w:val="bottom"/>
          </w:tcPr>
          <w:p>
            <w:pPr>
              <w:spacing w:after="0"/>
              <w:rPr>
                <w:sz w:val="10"/>
                <w:szCs w:val="10"/>
                <w:color w:val="auto"/>
              </w:rPr>
            </w:pPr>
          </w:p>
        </w:tc>
        <w:tc>
          <w:tcPr>
            <w:tcW w:w="178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rPr>
              <w:t>Weighted average exercise</w:t>
            </w:r>
          </w:p>
        </w:tc>
        <w:tc>
          <w:tcPr>
            <w:tcW w:w="1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under equity compensation</w:t>
            </w:r>
          </w:p>
        </w:tc>
      </w:tr>
      <w:tr>
        <w:trPr>
          <w:trHeight w:val="159"/>
        </w:trPr>
        <w:tc>
          <w:tcPr>
            <w:tcW w:w="572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outstanding options (a)</w:t>
            </w: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price of outstanding options (b)</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plans</w:t>
            </w: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compensation plans approved by stockholders</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228"/>
        </w:trPr>
        <w:tc>
          <w:tcPr>
            <w:tcW w:w="5720" w:type="dxa"/>
            <w:vAlign w:val="bottom"/>
          </w:tcPr>
          <w:p>
            <w:pPr>
              <w:ind w:left="20"/>
              <w:spacing w:after="0"/>
              <w:rPr>
                <w:sz w:val="20"/>
                <w:szCs w:val="20"/>
                <w:color w:val="auto"/>
              </w:rPr>
            </w:pPr>
            <w:r>
              <w:rPr>
                <w:rFonts w:ascii="Arial" w:cs="Arial" w:eastAsia="Arial" w:hAnsi="Arial"/>
                <w:sz w:val="15"/>
                <w:szCs w:val="15"/>
                <w:color w:val="auto"/>
              </w:rPr>
              <w:t>Equity compensation plans not approved by stockholders</w:t>
            </w:r>
          </w:p>
        </w:tc>
        <w:tc>
          <w:tcPr>
            <w:tcW w:w="1840" w:type="dxa"/>
            <w:vAlign w:val="bottom"/>
          </w:tcPr>
          <w:p>
            <w:pPr>
              <w:jc w:val="right"/>
              <w:ind w:right="476"/>
              <w:spacing w:after="0"/>
              <w:rPr>
                <w:sz w:val="20"/>
                <w:szCs w:val="20"/>
                <w:color w:val="auto"/>
              </w:rPr>
            </w:pPr>
            <w:r>
              <w:rPr>
                <w:rFonts w:ascii="Arial" w:cs="Arial" w:eastAsia="Arial" w:hAnsi="Arial"/>
                <w:sz w:val="15"/>
                <w:szCs w:val="15"/>
                <w:color w:val="auto"/>
              </w:rPr>
              <w:t>11,754,365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52"/>
              <w:spacing w:after="0"/>
              <w:rPr>
                <w:sz w:val="20"/>
                <w:szCs w:val="20"/>
                <w:color w:val="auto"/>
              </w:rPr>
            </w:pPr>
            <w:r>
              <w:rPr>
                <w:rFonts w:ascii="Arial" w:cs="Arial" w:eastAsia="Arial" w:hAnsi="Arial"/>
                <w:sz w:val="15"/>
                <w:szCs w:val="15"/>
                <w:color w:val="auto"/>
              </w:rPr>
              <w:t>17.18</w:t>
            </w:r>
          </w:p>
        </w:tc>
        <w:tc>
          <w:tcPr>
            <w:tcW w:w="100" w:type="dxa"/>
            <w:vAlign w:val="bottom"/>
          </w:tcPr>
          <w:p>
            <w:pPr>
              <w:spacing w:after="0"/>
              <w:rPr>
                <w:sz w:val="19"/>
                <w:szCs w:val="19"/>
                <w:color w:val="auto"/>
              </w:rPr>
            </w:pPr>
          </w:p>
        </w:tc>
        <w:tc>
          <w:tcPr>
            <w:tcW w:w="1820" w:type="dxa"/>
            <w:vAlign w:val="bottom"/>
          </w:tcPr>
          <w:p>
            <w:pPr>
              <w:jc w:val="right"/>
              <w:ind w:right="477"/>
              <w:spacing w:after="0"/>
              <w:rPr>
                <w:sz w:val="20"/>
                <w:szCs w:val="20"/>
                <w:color w:val="auto"/>
              </w:rPr>
            </w:pPr>
            <w:r>
              <w:rPr>
                <w:rFonts w:ascii="Arial" w:cs="Arial" w:eastAsia="Arial" w:hAnsi="Arial"/>
                <w:sz w:val="15"/>
                <w:szCs w:val="15"/>
                <w:color w:val="auto"/>
              </w:rPr>
              <w:t>15,700,380</w:t>
            </w:r>
          </w:p>
        </w:tc>
      </w:tr>
      <w:tr>
        <w:trPr>
          <w:trHeight w:val="129"/>
        </w:trPr>
        <w:tc>
          <w:tcPr>
            <w:tcW w:w="5720" w:type="dxa"/>
            <w:vAlign w:val="bottom"/>
          </w:tcPr>
          <w:p>
            <w:pPr>
              <w:jc w:val="right"/>
              <w:ind w:right="4475"/>
              <w:spacing w:after="0"/>
              <w:rPr>
                <w:sz w:val="20"/>
                <w:szCs w:val="20"/>
                <w:color w:val="auto"/>
              </w:rPr>
            </w:pPr>
            <w:r>
              <w:rPr>
                <w:rFonts w:ascii="Arial" w:cs="Arial" w:eastAsia="Arial" w:hAnsi="Arial"/>
                <w:sz w:val="10"/>
                <w:szCs w:val="10"/>
                <w:color w:val="auto"/>
                <w:w w:val="86"/>
              </w:rPr>
              <w:t>________________________</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r>
    </w:tbl>
    <w:p>
      <w:pPr>
        <w:jc w:val="both"/>
        <w:ind w:left="302" w:hanging="302"/>
        <w:spacing w:after="0" w:line="241" w:lineRule="auto"/>
        <w:tabs>
          <w:tab w:leader="none" w:pos="302"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Includes shares of common stock to be issued upon the exercise of outstanding options under our 2016 Omnibus Plan, 2014 Omnibus Plan, the Sovereign 2012 MEIP and the Sovereign MEIP. Also includes 5,938,486 restricted share units under our 2016 Omnibus Plan, 2014 Omnibus Plan and Sovereign 2012 MEIP (including shares that may be issued pursuant to outstanding performance-based restricted share units, assuming the target award is met; actual shares may vary, depending on actual performance).</w:t>
      </w:r>
    </w:p>
    <w:p>
      <w:pPr>
        <w:spacing w:after="0" w:line="43" w:lineRule="exact"/>
        <w:rPr>
          <w:rFonts w:ascii="Arial" w:cs="Arial" w:eastAsia="Arial" w:hAnsi="Arial"/>
          <w:sz w:val="15"/>
          <w:szCs w:val="15"/>
          <w:color w:val="auto"/>
        </w:rPr>
      </w:pPr>
    </w:p>
    <w:p>
      <w:pPr>
        <w:ind w:left="302" w:hanging="302"/>
        <w:spacing w:after="0"/>
        <w:tabs>
          <w:tab w:leader="none" w:pos="302"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Excludes restricted share units which do not have an exercise price.</w:t>
      </w:r>
    </w:p>
    <w:p>
      <w:pPr>
        <w:spacing w:after="0" w:line="179" w:lineRule="exact"/>
        <w:rPr>
          <w:sz w:val="20"/>
          <w:szCs w:val="20"/>
          <w:color w:val="auto"/>
        </w:rPr>
      </w:pPr>
    </w:p>
    <w:p>
      <w:pPr>
        <w:jc w:val="both"/>
        <w:ind w:left="2" w:firstLine="441"/>
        <w:spacing w:after="0" w:line="253" w:lineRule="auto"/>
        <w:rPr>
          <w:sz w:val="20"/>
          <w:szCs w:val="20"/>
          <w:color w:val="auto"/>
        </w:rPr>
      </w:pPr>
      <w:r>
        <w:rPr>
          <w:rFonts w:ascii="Arial" w:cs="Arial" w:eastAsia="Arial" w:hAnsi="Arial"/>
          <w:sz w:val="15"/>
          <w:szCs w:val="15"/>
          <w:i w:val="1"/>
          <w:iCs w:val="1"/>
          <w:color w:val="auto"/>
        </w:rPr>
        <w:t xml:space="preserve">Sabre Corporation 2016 Omnibus Incentive Compensation Plan. </w:t>
      </w:r>
      <w:r>
        <w:rPr>
          <w:rFonts w:ascii="Arial" w:cs="Arial" w:eastAsia="Arial" w:hAnsi="Arial"/>
          <w:sz w:val="15"/>
          <w:szCs w:val="15"/>
          <w:color w:val="auto"/>
        </w:rPr>
        <w:t>The 2016 Omnibus Plan serves as a successor to the 2014 Omnibus Plan and provides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issuance of stock options, restricted shares, restricted stock units ("RSUs") performance-based RSU awards ("PSUs"), cash incentive compensation and other stock-based awards.</w:t>
      </w:r>
    </w:p>
    <w:p>
      <w:pPr>
        <w:spacing w:after="0" w:line="166" w:lineRule="exact"/>
        <w:rPr>
          <w:sz w:val="20"/>
          <w:szCs w:val="20"/>
          <w:color w:val="auto"/>
        </w:rPr>
      </w:pPr>
    </w:p>
    <w:p>
      <w:pPr>
        <w:jc w:val="both"/>
        <w:ind w:left="2" w:firstLine="441"/>
        <w:spacing w:after="0" w:line="246" w:lineRule="auto"/>
        <w:rPr>
          <w:sz w:val="20"/>
          <w:szCs w:val="20"/>
          <w:color w:val="auto"/>
        </w:rPr>
      </w:pPr>
      <w:r>
        <w:rPr>
          <w:rFonts w:ascii="Arial" w:cs="Arial" w:eastAsia="Arial" w:hAnsi="Arial"/>
          <w:sz w:val="15"/>
          <w:szCs w:val="15"/>
          <w:i w:val="1"/>
          <w:iCs w:val="1"/>
          <w:color w:val="auto"/>
        </w:rPr>
        <w:t>Sabre Corporation 2014 Omnibus Incentive Compensation Plan</w:t>
      </w:r>
      <w:r>
        <w:rPr>
          <w:rFonts w:ascii="Arial" w:cs="Arial" w:eastAsia="Arial" w:hAnsi="Arial"/>
          <w:sz w:val="15"/>
          <w:szCs w:val="15"/>
          <w:color w:val="auto"/>
        </w:rPr>
        <w:t>. The 2014 Omnibus Plan serves as successor to the Sovereign MEIP and Sovereign 2012 MEIP and</w:t>
      </w:r>
      <w:r>
        <w:rPr>
          <w:rFonts w:ascii="Arial" w:cs="Arial" w:eastAsia="Arial" w:hAnsi="Arial"/>
          <w:sz w:val="15"/>
          <w:szCs w:val="15"/>
          <w:i w:val="1"/>
          <w:iCs w:val="1"/>
          <w:color w:val="auto"/>
        </w:rPr>
        <w:t xml:space="preserve"> </w:t>
      </w:r>
      <w:r>
        <w:rPr>
          <w:rFonts w:ascii="Arial" w:cs="Arial" w:eastAsia="Arial" w:hAnsi="Arial"/>
          <w:sz w:val="15"/>
          <w:szCs w:val="15"/>
          <w:color w:val="auto"/>
        </w:rPr>
        <w:t>provides for the issuance of stock options, restricted shares, RSUs, PSUs, cash incentive compensation and other stock-based awards. All shares available for future grants, along with shares that were covered by prior awards of stock options granted under the 2014 Omnibus Plan that were forfeited or otherwise expire unexercised or without issuance of Sabre Corporation common stock, have been transferred to the 2016 Omnibus Plan. Therefore, as of December 31, 2016 no shares remained available for future grants under the 2014 Omnibus Plan.</w:t>
      </w:r>
    </w:p>
    <w:p>
      <w:pPr>
        <w:spacing w:after="0" w:line="171" w:lineRule="exact"/>
        <w:rPr>
          <w:sz w:val="20"/>
          <w:szCs w:val="20"/>
          <w:color w:val="auto"/>
        </w:rPr>
      </w:pPr>
    </w:p>
    <w:p>
      <w:pPr>
        <w:jc w:val="both"/>
        <w:ind w:left="2" w:firstLine="441"/>
        <w:spacing w:after="0" w:line="246" w:lineRule="auto"/>
        <w:rPr>
          <w:sz w:val="20"/>
          <w:szCs w:val="20"/>
          <w:color w:val="auto"/>
        </w:rPr>
      </w:pPr>
      <w:r>
        <w:rPr>
          <w:rFonts w:ascii="Arial" w:cs="Arial" w:eastAsia="Arial" w:hAnsi="Arial"/>
          <w:sz w:val="15"/>
          <w:szCs w:val="15"/>
          <w:i w:val="1"/>
          <w:iCs w:val="1"/>
          <w:color w:val="auto"/>
        </w:rPr>
        <w:t>Sovereign Holdings, Inc. Management Equity Incentive Plan</w:t>
      </w:r>
      <w:r>
        <w:rPr>
          <w:rFonts w:ascii="Arial" w:cs="Arial" w:eastAsia="Arial" w:hAnsi="Arial"/>
          <w:sz w:val="15"/>
          <w:szCs w:val="15"/>
          <w:color w:val="auto"/>
        </w:rPr>
        <w:t>. Under the Sovereign MEIP, key employees and, in certain circumstances, the directors, service providers</w:t>
      </w:r>
      <w:r>
        <w:rPr>
          <w:rFonts w:ascii="Arial" w:cs="Arial" w:eastAsia="Arial" w:hAnsi="Arial"/>
          <w:sz w:val="15"/>
          <w:szCs w:val="15"/>
          <w:i w:val="1"/>
          <w:iCs w:val="1"/>
          <w:color w:val="auto"/>
        </w:rPr>
        <w:t xml:space="preserve"> </w:t>
      </w:r>
      <w:r>
        <w:rPr>
          <w:rFonts w:ascii="Arial" w:cs="Arial" w:eastAsia="Arial" w:hAnsi="Arial"/>
          <w:sz w:val="15"/>
          <w:szCs w:val="15"/>
          <w:color w:val="auto"/>
        </w:rPr>
        <w:t>and consultants, of Sabre and its affiliates may be granted stock options.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Sovereign 2012 MEIP, which have subsequently been transferred to the 2014 Omnibus Plan and then to the 2016 Omnibus Plan. Therefore, as of December 31, 2016, no shares remained available for future grants under the Sovereign MEIP.</w:t>
      </w:r>
    </w:p>
    <w:p>
      <w:pPr>
        <w:spacing w:after="0" w:line="171" w:lineRule="exact"/>
        <w:rPr>
          <w:sz w:val="20"/>
          <w:szCs w:val="20"/>
          <w:color w:val="auto"/>
        </w:rPr>
      </w:pPr>
    </w:p>
    <w:p>
      <w:pPr>
        <w:jc w:val="both"/>
        <w:ind w:left="2" w:firstLine="589"/>
        <w:spacing w:after="0" w:line="246" w:lineRule="auto"/>
        <w:rPr>
          <w:sz w:val="20"/>
          <w:szCs w:val="20"/>
          <w:color w:val="auto"/>
        </w:rPr>
      </w:pPr>
      <w:r>
        <w:rPr>
          <w:rFonts w:ascii="Arial" w:cs="Arial" w:eastAsia="Arial" w:hAnsi="Arial"/>
          <w:sz w:val="15"/>
          <w:szCs w:val="15"/>
          <w:i w:val="1"/>
          <w:iCs w:val="1"/>
          <w:color w:val="auto"/>
        </w:rPr>
        <w:t xml:space="preserve">Sovereign Holdings, Inc. 2012 Management Equity Incentive Plan. </w:t>
      </w:r>
      <w:r>
        <w:rPr>
          <w:rFonts w:ascii="Arial" w:cs="Arial" w:eastAsia="Arial" w:hAnsi="Arial"/>
          <w:sz w:val="15"/>
          <w:szCs w:val="15"/>
          <w:color w:val="auto"/>
        </w:rPr>
        <w:t>Under the Sovereign 2012 MEIP, key employees and, in certain circumstances, the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service providers and consultants, of Sabre and its affiliates may be granted stock options, restricted shares, RSUs, PSUs and other stock-based awards. All shares available for future grants, along with shares that were covered by prior awards of stock options granted under the Sovereign MEIP that were forfeited or otherwise expire unexercised or without the issuance of shares of Sabre Corporation common stock, have been transferred to the 2014 Omnibus Plan and then to the 2016 Omnibus Plan. Therefore, as of December 31, 2016, no shares remained available for future grants under the Sovereign 2012 MEIP.</w:t>
      </w:r>
    </w:p>
    <w:p>
      <w:pPr>
        <w:spacing w:after="0" w:line="267" w:lineRule="exact"/>
        <w:rPr>
          <w:sz w:val="20"/>
          <w:szCs w:val="20"/>
          <w:color w:val="auto"/>
        </w:rPr>
      </w:pPr>
    </w:p>
    <w:p>
      <w:pPr>
        <w:ind w:left="2"/>
        <w:spacing w:after="0"/>
        <w:tabs>
          <w:tab w:leader="none" w:pos="1081"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15" w:lineRule="exact"/>
        <w:rPr>
          <w:sz w:val="20"/>
          <w:szCs w:val="20"/>
          <w:color w:val="auto"/>
        </w:rPr>
      </w:pPr>
    </w:p>
    <w:p>
      <w:pPr>
        <w:jc w:val="both"/>
        <w:ind w:left="2" w:firstLine="454"/>
        <w:spacing w:after="0" w:line="245" w:lineRule="auto"/>
        <w:rPr>
          <w:sz w:val="20"/>
          <w:szCs w:val="20"/>
          <w:color w:val="auto"/>
        </w:rPr>
      </w:pPr>
      <w:r>
        <w:rPr>
          <w:rFonts w:ascii="Arial" w:cs="Arial" w:eastAsia="Arial" w:hAnsi="Arial"/>
          <w:sz w:val="15"/>
          <w:szCs w:val="15"/>
          <w:color w:val="auto"/>
        </w:rPr>
        <w:t>The information set forth under the headings “Certain Relationships and Related Party Transactions” and “Corporate Governance—Board Composition and Director Independence” of the 2017 Proxy Statement is incorporated herein by reference.</w:t>
      </w:r>
    </w:p>
    <w:p>
      <w:pPr>
        <w:spacing w:after="0" w:line="268" w:lineRule="exact"/>
        <w:rPr>
          <w:sz w:val="20"/>
          <w:szCs w:val="20"/>
          <w:color w:val="auto"/>
        </w:rPr>
      </w:pPr>
    </w:p>
    <w:p>
      <w:pPr>
        <w:ind w:left="2"/>
        <w:spacing w:after="0"/>
        <w:tabs>
          <w:tab w:leader="none" w:pos="1081"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115" w:lineRule="exact"/>
        <w:rPr>
          <w:sz w:val="20"/>
          <w:szCs w:val="20"/>
          <w:color w:val="auto"/>
        </w:rPr>
      </w:pPr>
    </w:p>
    <w:p>
      <w:pPr>
        <w:ind w:left="462"/>
        <w:spacing w:after="0"/>
        <w:rPr>
          <w:sz w:val="20"/>
          <w:szCs w:val="20"/>
          <w:color w:val="auto"/>
        </w:rPr>
      </w:pPr>
      <w:r>
        <w:rPr>
          <w:rFonts w:ascii="Arial" w:cs="Arial" w:eastAsia="Arial" w:hAnsi="Arial"/>
          <w:sz w:val="15"/>
          <w:szCs w:val="15"/>
          <w:color w:val="auto"/>
        </w:rPr>
        <w:t>The information set forth under the headings “Principal Accounting Firm Fees” and “Audit Committee Approval of Audit and Non-Audit Services” under “Proposal 2.</w:t>
      </w:r>
    </w:p>
    <w:p>
      <w:pPr>
        <w:ind w:left="2"/>
        <w:spacing w:after="0"/>
        <w:rPr>
          <w:sz w:val="20"/>
          <w:szCs w:val="20"/>
          <w:color w:val="auto"/>
        </w:rPr>
      </w:pPr>
      <w:r>
        <w:rPr>
          <w:rFonts w:ascii="Arial" w:cs="Arial" w:eastAsia="Arial" w:hAnsi="Arial"/>
          <w:sz w:val="15"/>
          <w:szCs w:val="15"/>
          <w:color w:val="auto"/>
        </w:rPr>
        <w:t>Ratification of Independent Auditors” of the 2017 Proxy Statement is incorporated herein by reference.</w:t>
      </w:r>
    </w:p>
    <w:p>
      <w:pPr>
        <w:spacing w:after="0" w:line="220" w:lineRule="exact"/>
        <w:rPr>
          <w:sz w:val="20"/>
          <w:szCs w:val="20"/>
          <w:color w:val="auto"/>
        </w:rPr>
      </w:pPr>
    </w:p>
    <w:p>
      <w:pPr>
        <w:jc w:val="center"/>
        <w:ind w:right="-1"/>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2"/>
          </w:cols>
          <w:pgMar w:left="238" w:top="83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5"/>
          <w:szCs w:val="15"/>
          <w:b w:val="1"/>
          <w:bCs w:val="1"/>
          <w:color w:val="auto"/>
        </w:rPr>
        <w:t>PART IV</w:t>
      </w:r>
    </w:p>
    <w:p>
      <w:pPr>
        <w:spacing w:after="0" w:line="294"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documents are filed as part of this report.</w:t>
      </w:r>
    </w:p>
    <w:p>
      <w:pPr>
        <w:spacing w:after="0" w:line="81" w:lineRule="exact"/>
        <w:rPr>
          <w:sz w:val="20"/>
          <w:szCs w:val="20"/>
          <w:color w:val="auto"/>
        </w:rPr>
      </w:pPr>
    </w:p>
    <w:p>
      <w:pPr>
        <w:ind w:left="740" w:hanging="300"/>
        <w:spacing w:after="0"/>
        <w:tabs>
          <w:tab w:leader="none" w:pos="74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statements. </w:t>
      </w:r>
      <w:r>
        <w:rPr>
          <w:rFonts w:ascii="Arial" w:cs="Arial" w:eastAsia="Arial" w:hAnsi="Arial"/>
          <w:sz w:val="15"/>
          <w:szCs w:val="15"/>
          <w:color w:val="auto"/>
        </w:rPr>
        <w:t>The financial statements are set forth under Item 8 of this Annual Report on Form 10-K.</w:t>
      </w:r>
    </w:p>
    <w:p>
      <w:pPr>
        <w:spacing w:after="0" w:line="97" w:lineRule="exact"/>
        <w:rPr>
          <w:rFonts w:ascii="Arial" w:cs="Arial" w:eastAsia="Arial" w:hAnsi="Arial"/>
          <w:sz w:val="15"/>
          <w:szCs w:val="15"/>
          <w:color w:val="auto"/>
        </w:rPr>
      </w:pPr>
    </w:p>
    <w:p>
      <w:pPr>
        <w:ind w:left="740" w:hanging="300"/>
        <w:spacing w:after="0" w:line="267" w:lineRule="auto"/>
        <w:tabs>
          <w:tab w:leader="none" w:pos="74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 schedules. </w:t>
      </w:r>
      <w:r>
        <w:rPr>
          <w:rFonts w:ascii="Arial" w:cs="Arial" w:eastAsia="Arial" w:hAnsi="Arial"/>
          <w:sz w:val="15"/>
          <w:szCs w:val="15"/>
          <w:color w:val="auto"/>
        </w:rPr>
        <w:t>Schedule II Valuation and Qualifying Accounts is filed as part of this Annual Report on Form 10-K and should be read in conjunction</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financial statements and notes thereto contained in Item 8.</w:t>
      </w:r>
    </w:p>
    <w:p>
      <w:pPr>
        <w:spacing w:after="0" w:line="172" w:lineRule="exact"/>
        <w:rPr>
          <w:sz w:val="20"/>
          <w:szCs w:val="20"/>
          <w:color w:val="auto"/>
        </w:rPr>
      </w:pPr>
    </w:p>
    <w:p>
      <w:pPr>
        <w:ind w:firstLine="454"/>
        <w:spacing w:after="0" w:line="245" w:lineRule="auto"/>
        <w:rPr>
          <w:sz w:val="20"/>
          <w:szCs w:val="20"/>
          <w:color w:val="auto"/>
        </w:rPr>
      </w:pPr>
      <w:r>
        <w:rPr>
          <w:rFonts w:ascii="Arial" w:cs="Arial" w:eastAsia="Arial" w:hAnsi="Arial"/>
          <w:sz w:val="15"/>
          <w:szCs w:val="15"/>
          <w:color w:val="auto"/>
        </w:rPr>
        <w:t>All other financial statements and financial statement schedules for which provision is made in the applicable accounting regulations of the SEC are not required under the related instruction, are not material or are not applicable and, therefore, have been omitted.</w:t>
      </w:r>
    </w:p>
    <w:p>
      <w:pPr>
        <w:spacing w:after="0" w:line="172" w:lineRule="exact"/>
        <w:rPr>
          <w:sz w:val="20"/>
          <w:szCs w:val="20"/>
          <w:color w:val="auto"/>
        </w:rPr>
      </w:pPr>
    </w:p>
    <w:p>
      <w:pPr>
        <w:ind w:left="740" w:hanging="300"/>
        <w:spacing w:after="0"/>
        <w:tabs>
          <w:tab w:leader="none" w:pos="740"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Exhibits.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3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9"/>
              </w:rPr>
              <w:t>Exhibit</w:t>
            </w:r>
          </w:p>
        </w:tc>
        <w:tc>
          <w:tcPr>
            <w:tcW w:w="10000" w:type="dxa"/>
            <w:vAlign w:val="bottom"/>
          </w:tcPr>
          <w:p>
            <w:pPr>
              <w:spacing w:after="0"/>
              <w:rPr>
                <w:sz w:val="14"/>
                <w:szCs w:val="14"/>
                <w:color w:val="auto"/>
              </w:rPr>
            </w:pPr>
          </w:p>
        </w:tc>
      </w:tr>
      <w:tr>
        <w:trPr>
          <w:trHeight w:val="205"/>
        </w:trPr>
        <w:tc>
          <w:tcPr>
            <w:tcW w:w="13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8"/>
              </w:rPr>
              <w:t>Number</w:t>
            </w:r>
          </w:p>
        </w:tc>
        <w:tc>
          <w:tcPr>
            <w:tcW w:w="10000" w:type="dxa"/>
            <w:vAlign w:val="bottom"/>
          </w:tcPr>
          <w:p>
            <w:pPr>
              <w:ind w:left="4200"/>
              <w:spacing w:after="0"/>
              <w:rPr>
                <w:sz w:val="20"/>
                <w:szCs w:val="20"/>
                <w:color w:val="auto"/>
              </w:rPr>
            </w:pPr>
            <w:r>
              <w:rPr>
                <w:rFonts w:ascii="Arial" w:cs="Arial" w:eastAsia="Arial" w:hAnsi="Arial"/>
                <w:sz w:val="15"/>
                <w:szCs w:val="15"/>
                <w:b w:val="1"/>
                <w:bCs w:val="1"/>
                <w:color w:val="auto"/>
              </w:rPr>
              <w:t>Description of Exhibits</w:t>
            </w:r>
          </w:p>
        </w:tc>
      </w:tr>
      <w:tr>
        <w:trPr>
          <w:trHeight w:val="198"/>
        </w:trPr>
        <w:tc>
          <w:tcPr>
            <w:tcW w:w="1260" w:type="dxa"/>
            <w:vAlign w:val="bottom"/>
            <w:tcBorders>
              <w:top w:val="single" w:sz="8" w:color="auto"/>
            </w:tcBorders>
          </w:tcPr>
          <w:p>
            <w:pPr>
              <w:jc w:val="right"/>
              <w:ind w:right="946"/>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7"/>
                <w:szCs w:val="17"/>
                <w:color w:val="auto"/>
              </w:rPr>
            </w:pPr>
          </w:p>
        </w:tc>
        <w:tc>
          <w:tcPr>
            <w:tcW w:w="100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Asset Purchase Agreement, dated as of January 23, 2015 by and among Expedia Inc., Sabre GLBL Inc., Travelocity.com LP and certain affiliates of</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rPr>
              <w:t>Sabre GLBL Inc. and Travelocity.com LP (incorporated by reference to Exhibit 2.1 of Sabre Corporation’s Current Report on Form 8-K filed with the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rPr>
              <w:t>Securities and Exchange Commission on January 26, 2015).</w:t>
            </w:r>
          </w:p>
        </w:tc>
      </w:tr>
      <w:tr>
        <w:trPr>
          <w:trHeight w:val="215"/>
        </w:trPr>
        <w:tc>
          <w:tcPr>
            <w:tcW w:w="1260" w:type="dxa"/>
            <w:vAlign w:val="bottom"/>
          </w:tcPr>
          <w:p>
            <w:pPr>
              <w:jc w:val="right"/>
              <w:ind w:right="946"/>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rPr>
              <w:t>Share Purchase Agreement, dated as of May 14, 2015 by and between Abacus International Holdings Ltd and Sabre Technology Enterprises II Ltd.</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w w:val="98"/>
              </w:rPr>
              <w:t>(incorporated by reference to Exhibit 2.1 of Sabre’s Corporation Current Report on Form 8-K filed with the Securities and Exchange Commission on May</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rPr>
              <w:t>14, 2015).</w:t>
            </w:r>
          </w:p>
        </w:tc>
      </w:tr>
      <w:tr>
        <w:trPr>
          <w:trHeight w:val="215"/>
        </w:trPr>
        <w:tc>
          <w:tcPr>
            <w:tcW w:w="1260" w:type="dxa"/>
            <w:vAlign w:val="bottom"/>
          </w:tcPr>
          <w:p>
            <w:pPr>
              <w:jc w:val="right"/>
              <w:ind w:right="946"/>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w w:val="99"/>
              </w:rPr>
              <w:t>Third Amended and Restated Certificate of Incorporation of Sabre Corporation (incorporated by reference to Exhibit 3.1 of Sabre’s Corporation Current</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rPr>
              <w:t>Report on Form 8-K filed with the Securities and Exchange Commission on April 22, 2014).</w:t>
            </w:r>
          </w:p>
        </w:tc>
      </w:tr>
      <w:tr>
        <w:trPr>
          <w:trHeight w:val="215"/>
        </w:trPr>
        <w:tc>
          <w:tcPr>
            <w:tcW w:w="1260" w:type="dxa"/>
            <w:vAlign w:val="bottom"/>
          </w:tcPr>
          <w:p>
            <w:pPr>
              <w:jc w:val="right"/>
              <w:ind w:right="946"/>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w w:val="98"/>
              </w:rPr>
              <w:t>Second Amended and Restated Bylaws of Sabre Corporation (incorporated by reference to Exhibit 3.2 of Sabre’s Corporation Current Report on Form 8-</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rPr>
              <w:t>K filed with the Securities and Exchange Commission on April 22, 2014).</w:t>
            </w:r>
          </w:p>
        </w:tc>
      </w:tr>
      <w:tr>
        <w:trPr>
          <w:trHeight w:val="215"/>
        </w:trPr>
        <w:tc>
          <w:tcPr>
            <w:tcW w:w="1260" w:type="dxa"/>
            <w:vAlign w:val="bottom"/>
          </w:tcPr>
          <w:p>
            <w:pPr>
              <w:jc w:val="right"/>
              <w:ind w:right="946"/>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18"/>
                <w:szCs w:val="18"/>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w w:val="99"/>
              </w:rPr>
              <w:t>Amended and Restated Registration Rights Agreement, dated as of April 23, 2014 by and among Sabre Corporation and the stockholders party thereto</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w w:val="98"/>
              </w:rPr>
              <w:t>(incorporated by reference to Exhibit 4.1 of Sabre’s Corporation Current Report on Form 8-K filed with the Securities and Exchange Commission on April</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Pr>
          <w:p>
            <w:pPr>
              <w:ind w:left="20"/>
              <w:spacing w:after="0"/>
              <w:rPr>
                <w:sz w:val="20"/>
                <w:szCs w:val="20"/>
                <w:color w:val="auto"/>
              </w:rPr>
            </w:pPr>
            <w:r>
              <w:rPr>
                <w:rFonts w:ascii="Arial" w:cs="Arial" w:eastAsia="Arial" w:hAnsi="Arial"/>
                <w:sz w:val="15"/>
                <w:szCs w:val="15"/>
                <w:color w:val="auto"/>
              </w:rPr>
              <w:t>23, 2014).</w:t>
            </w:r>
          </w:p>
        </w:tc>
      </w:tr>
    </w:tbl>
    <w:p>
      <w:pPr>
        <w:spacing w:after="0" w:line="44" w:lineRule="exact"/>
        <w:rPr>
          <w:sz w:val="20"/>
          <w:szCs w:val="20"/>
          <w:color w:val="auto"/>
        </w:rPr>
      </w:pPr>
    </w:p>
    <w:p>
      <w:pPr>
        <w:sectPr>
          <w:pgSz w:w="11900" w:h="16838" w:orient="portrait"/>
          <w:cols w:equalWidth="0" w:num="1">
            <w:col w:w="11420"/>
          </w:cols>
          <w:pgMar w:left="240" w:top="835" w:right="239" w:bottom="1440" w:gutter="0" w:footer="0" w:header="0"/>
        </w:sectPr>
      </w:pPr>
    </w:p>
    <w:p>
      <w:pPr>
        <w:ind w:left="40"/>
        <w:spacing w:after="0"/>
        <w:rPr>
          <w:sz w:val="20"/>
          <w:szCs w:val="20"/>
          <w:color w:val="auto"/>
        </w:rPr>
      </w:pPr>
      <w:r>
        <w:rPr>
          <w:rFonts w:ascii="Arial" w:cs="Arial" w:eastAsia="Arial" w:hAnsi="Arial"/>
          <w:sz w:val="15"/>
          <w:szCs w:val="15"/>
          <w:color w:val="auto"/>
        </w:rPr>
        <w:t>4.2</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4.3</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5"/>
          <w:szCs w:val="15"/>
          <w:color w:val="auto"/>
        </w:rPr>
        <w:t>4.4</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4.5</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br w:type="column"/>
      </w:r>
    </w:p>
    <w:p>
      <w:pPr>
        <w:ind w:right="300"/>
        <w:spacing w:after="0" w:line="242" w:lineRule="auto"/>
        <w:rPr>
          <w:sz w:val="20"/>
          <w:szCs w:val="20"/>
          <w:color w:val="auto"/>
        </w:rPr>
      </w:pPr>
      <w:r>
        <w:rPr>
          <w:rFonts w:ascii="Arial" w:cs="Arial" w:eastAsia="Arial" w:hAnsi="Arial"/>
          <w:sz w:val="15"/>
          <w:szCs w:val="15"/>
          <w:color w:val="auto"/>
        </w:rPr>
        <w:t>Indenture, dated as of April 14, 2015, among Sabre GLBL Inc., each of the guarantors party thereto and Wells Fargo Bank, National Association, as trustee and collateral agent. (incorporated by reference to Exhibit 4.1 of Sabre’s Corporation Current Report on Form 8-K filed with the Securities and Exchange Commission on April 15, 2015).</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Form of 5.375% Senior Secured Notes due 2023 (included in Exhibit 4.5).</w:t>
      </w:r>
    </w:p>
    <w:p>
      <w:pPr>
        <w:spacing w:after="0" w:line="48" w:lineRule="exact"/>
        <w:rPr>
          <w:sz w:val="20"/>
          <w:szCs w:val="20"/>
          <w:color w:val="auto"/>
        </w:rPr>
      </w:pPr>
    </w:p>
    <w:p>
      <w:pPr>
        <w:ind w:right="100"/>
        <w:spacing w:after="0" w:line="242" w:lineRule="auto"/>
        <w:rPr>
          <w:sz w:val="20"/>
          <w:szCs w:val="20"/>
          <w:color w:val="auto"/>
        </w:rPr>
      </w:pPr>
      <w:r>
        <w:rPr>
          <w:rFonts w:ascii="Arial" w:cs="Arial" w:eastAsia="Arial" w:hAnsi="Arial"/>
          <w:sz w:val="15"/>
          <w:szCs w:val="15"/>
          <w:color w:val="auto"/>
        </w:rPr>
        <w:t>Indenture, dated as of November 9, 2015, among Sabre GLBL Inc., each of the guarantors party thereto and Wells Fargo Bank, National Association, as trustee and collateral agent. (incorporated by reference to Exhibit 4.1 of Sabre’s Corporation Current Report on Form 8-K filed with the Securities and Exchange Commission on November 9 2015).</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Form of 5.250% Senior Secured Notes due 2023 (included in Exhibit 4.7).</w:t>
      </w:r>
    </w:p>
    <w:p>
      <w:pPr>
        <w:spacing w:after="0" w:line="48" w:lineRule="exact"/>
        <w:rPr>
          <w:sz w:val="20"/>
          <w:szCs w:val="20"/>
          <w:color w:val="auto"/>
        </w:rPr>
      </w:pPr>
    </w:p>
    <w:p>
      <w:pPr>
        <w:jc w:val="both"/>
        <w:ind w:right="100"/>
        <w:spacing w:after="0" w:line="242" w:lineRule="auto"/>
        <w:rPr>
          <w:sz w:val="20"/>
          <w:szCs w:val="20"/>
          <w:color w:val="auto"/>
        </w:rPr>
      </w:pPr>
      <w:r>
        <w:rPr>
          <w:rFonts w:ascii="Arial" w:cs="Arial" w:eastAsia="Arial" w:hAnsi="Arial"/>
          <w:sz w:val="15"/>
          <w:szCs w:val="15"/>
          <w:color w:val="auto"/>
        </w:rPr>
        <w:t>Loan Agreement, dated March 29, 2007, between Sabre Headquarters, LLC, as borrower, and JPMorgan Chase Bank, N.A., as lender (incorporated by reference to Exhibit 10.1 of Sabre Corporation’s Registration Statement on Form S-1 filed with the Securities and Exchange Commission on January 21, 2014).</w:t>
      </w:r>
    </w:p>
    <w:p>
      <w:pPr>
        <w:spacing w:after="0" w:line="42" w:lineRule="exact"/>
        <w:rPr>
          <w:sz w:val="20"/>
          <w:szCs w:val="20"/>
          <w:color w:val="auto"/>
        </w:rPr>
      </w:pPr>
    </w:p>
    <w:p>
      <w:pPr>
        <w:sectPr>
          <w:pgSz w:w="11900" w:h="16838" w:orient="portrait"/>
          <w:cols w:equalWidth="0" w:num="2">
            <w:col w:w="700" w:space="720"/>
            <w:col w:w="10000"/>
          </w:cols>
          <w:pgMar w:left="240" w:top="835" w:right="239" w:bottom="1440" w:gutter="0" w:footer="0" w:header="0"/>
          <w:type w:val="continuous"/>
        </w:sectPr>
      </w:pPr>
    </w:p>
    <w:tbl>
      <w:tblPr>
        <w:tblLayout w:type="fixed"/>
        <w:tblInd w:w="40" w:type="dxa"/>
        <w:tblCellMar>
          <w:top w:w="0" w:type="dxa"/>
          <w:left w:w="0" w:type="dxa"/>
          <w:bottom w:w="0" w:type="dxa"/>
          <w:right w:w="0" w:type="dxa"/>
        </w:tblCellMar>
      </w:tblPr>
      <w:tr>
        <w:trPr>
          <w:trHeight w:val="172"/>
        </w:trPr>
        <w:tc>
          <w:tcPr>
            <w:tcW w:w="840" w:type="dxa"/>
            <w:vAlign w:val="bottom"/>
          </w:tcPr>
          <w:p>
            <w:pPr>
              <w:jc w:val="right"/>
              <w:ind w:right="466"/>
              <w:spacing w:after="0"/>
              <w:rPr>
                <w:sz w:val="20"/>
                <w:szCs w:val="20"/>
                <w:color w:val="auto"/>
              </w:rPr>
            </w:pPr>
            <w:r>
              <w:rPr>
                <w:rFonts w:ascii="Arial" w:cs="Arial" w:eastAsia="Arial" w:hAnsi="Arial"/>
                <w:sz w:val="15"/>
                <w:szCs w:val="15"/>
                <w:color w:val="auto"/>
                <w:w w:val="95"/>
              </w:rPr>
              <w:t>10.2</w:t>
            </w:r>
          </w:p>
        </w:tc>
        <w:tc>
          <w:tcPr>
            <w:tcW w:w="10460" w:type="dxa"/>
            <w:vAlign w:val="bottom"/>
          </w:tcPr>
          <w:p>
            <w:pPr>
              <w:ind w:left="540"/>
              <w:spacing w:after="0"/>
              <w:rPr>
                <w:sz w:val="20"/>
                <w:szCs w:val="20"/>
                <w:color w:val="auto"/>
              </w:rPr>
            </w:pPr>
            <w:r>
              <w:rPr>
                <w:rFonts w:ascii="Arial" w:cs="Arial" w:eastAsia="Arial" w:hAnsi="Arial"/>
                <w:sz w:val="15"/>
                <w:szCs w:val="15"/>
                <w:color w:val="auto"/>
              </w:rPr>
              <w:t>Amendment and Restatement Agreement, dated as of February 19, 2013, among Sabre Inc., Sabre Holdings Corporation, the subsidiary guarantors</w:t>
            </w:r>
          </w:p>
        </w:tc>
      </w:tr>
      <w:tr>
        <w:trPr>
          <w:trHeight w:val="172"/>
        </w:trPr>
        <w:tc>
          <w:tcPr>
            <w:tcW w:w="840" w:type="dxa"/>
            <w:vAlign w:val="bottom"/>
          </w:tcPr>
          <w:p>
            <w:pPr>
              <w:spacing w:after="0"/>
              <w:rPr>
                <w:sz w:val="14"/>
                <w:szCs w:val="14"/>
                <w:color w:val="auto"/>
              </w:rPr>
            </w:pPr>
          </w:p>
        </w:tc>
        <w:tc>
          <w:tcPr>
            <w:tcW w:w="10460" w:type="dxa"/>
            <w:vAlign w:val="bottom"/>
          </w:tcPr>
          <w:p>
            <w:pPr>
              <w:ind w:left="540"/>
              <w:spacing w:after="0"/>
              <w:rPr>
                <w:sz w:val="20"/>
                <w:szCs w:val="20"/>
                <w:color w:val="auto"/>
              </w:rPr>
            </w:pPr>
            <w:r>
              <w:rPr>
                <w:rFonts w:ascii="Arial" w:cs="Arial" w:eastAsia="Arial" w:hAnsi="Arial"/>
                <w:sz w:val="15"/>
                <w:szCs w:val="15"/>
                <w:color w:val="auto"/>
              </w:rPr>
              <w:t>party thereto, the lenders party thereto, Deutsche Bank AG New York Branch, as administrative agent and Bank of America, N.A. as successor</w:t>
            </w:r>
          </w:p>
        </w:tc>
      </w:tr>
      <w:tr>
        <w:trPr>
          <w:trHeight w:val="172"/>
        </w:trPr>
        <w:tc>
          <w:tcPr>
            <w:tcW w:w="840" w:type="dxa"/>
            <w:vAlign w:val="bottom"/>
          </w:tcPr>
          <w:p>
            <w:pPr>
              <w:spacing w:after="0"/>
              <w:rPr>
                <w:sz w:val="14"/>
                <w:szCs w:val="14"/>
                <w:color w:val="auto"/>
              </w:rPr>
            </w:pPr>
          </w:p>
        </w:tc>
        <w:tc>
          <w:tcPr>
            <w:tcW w:w="10460" w:type="dxa"/>
            <w:vAlign w:val="bottom"/>
          </w:tcPr>
          <w:p>
            <w:pPr>
              <w:ind w:left="540"/>
              <w:spacing w:after="0"/>
              <w:rPr>
                <w:sz w:val="20"/>
                <w:szCs w:val="20"/>
                <w:color w:val="auto"/>
              </w:rPr>
            </w:pPr>
            <w:r>
              <w:rPr>
                <w:rFonts w:ascii="Arial" w:cs="Arial" w:eastAsia="Arial" w:hAnsi="Arial"/>
                <w:sz w:val="15"/>
                <w:szCs w:val="15"/>
                <w:color w:val="auto"/>
                <w:w w:val="97"/>
              </w:rPr>
              <w:t>administrative agent (incorporated by reference to Exhibit 10.2 of Sabre Corporation’s Amendment No. 1 to the Registration Statement on Form S-1 filed</w:t>
            </w:r>
          </w:p>
        </w:tc>
      </w:tr>
      <w:tr>
        <w:trPr>
          <w:trHeight w:val="177"/>
        </w:trPr>
        <w:tc>
          <w:tcPr>
            <w:tcW w:w="840" w:type="dxa"/>
            <w:vAlign w:val="bottom"/>
          </w:tcPr>
          <w:p>
            <w:pPr>
              <w:spacing w:after="0"/>
              <w:rPr>
                <w:sz w:val="15"/>
                <w:szCs w:val="15"/>
                <w:color w:val="auto"/>
              </w:rPr>
            </w:pPr>
          </w:p>
        </w:tc>
        <w:tc>
          <w:tcPr>
            <w:tcW w:w="10460" w:type="dxa"/>
            <w:vAlign w:val="bottom"/>
          </w:tcPr>
          <w:p>
            <w:pPr>
              <w:ind w:left="540"/>
              <w:spacing w:after="0"/>
              <w:rPr>
                <w:sz w:val="20"/>
                <w:szCs w:val="20"/>
                <w:color w:val="auto"/>
              </w:rPr>
            </w:pPr>
            <w:r>
              <w:rPr>
                <w:rFonts w:ascii="Arial" w:cs="Arial" w:eastAsia="Arial" w:hAnsi="Arial"/>
                <w:sz w:val="15"/>
                <w:szCs w:val="15"/>
                <w:color w:val="auto"/>
              </w:rPr>
              <w:t>with the Securities and Exchange Commission on March 10, 2014).</w:t>
            </w:r>
          </w:p>
        </w:tc>
      </w:tr>
      <w:tr>
        <w:trPr>
          <w:trHeight w:val="215"/>
        </w:trPr>
        <w:tc>
          <w:tcPr>
            <w:tcW w:w="840" w:type="dxa"/>
            <w:vAlign w:val="bottom"/>
          </w:tcPr>
          <w:p>
            <w:pPr>
              <w:jc w:val="right"/>
              <w:ind w:right="466"/>
              <w:spacing w:after="0"/>
              <w:rPr>
                <w:sz w:val="20"/>
                <w:szCs w:val="20"/>
                <w:color w:val="auto"/>
              </w:rPr>
            </w:pPr>
            <w:r>
              <w:rPr>
                <w:rFonts w:ascii="Arial" w:cs="Arial" w:eastAsia="Arial" w:hAnsi="Arial"/>
                <w:sz w:val="15"/>
                <w:szCs w:val="15"/>
                <w:color w:val="auto"/>
                <w:w w:val="95"/>
              </w:rPr>
              <w:t>10.3</w:t>
            </w:r>
          </w:p>
        </w:tc>
        <w:tc>
          <w:tcPr>
            <w:tcW w:w="10460" w:type="dxa"/>
            <w:vAlign w:val="bottom"/>
          </w:tcPr>
          <w:p>
            <w:pPr>
              <w:ind w:left="540"/>
              <w:spacing w:after="0"/>
              <w:rPr>
                <w:sz w:val="20"/>
                <w:szCs w:val="20"/>
                <w:color w:val="auto"/>
              </w:rPr>
            </w:pPr>
            <w:r>
              <w:rPr>
                <w:rFonts w:ascii="Arial" w:cs="Arial" w:eastAsia="Arial" w:hAnsi="Arial"/>
                <w:sz w:val="15"/>
                <w:szCs w:val="15"/>
                <w:color w:val="auto"/>
              </w:rPr>
              <w:t>Amended and Restated Guaranty, dated as of February 19, 2013, among Sabre Holdings Corporation, certain subsidiaries of Sabre Inc. from time to</w:t>
            </w:r>
          </w:p>
        </w:tc>
      </w:tr>
      <w:tr>
        <w:trPr>
          <w:trHeight w:val="172"/>
        </w:trPr>
        <w:tc>
          <w:tcPr>
            <w:tcW w:w="840" w:type="dxa"/>
            <w:vAlign w:val="bottom"/>
          </w:tcPr>
          <w:p>
            <w:pPr>
              <w:spacing w:after="0"/>
              <w:rPr>
                <w:sz w:val="14"/>
                <w:szCs w:val="14"/>
                <w:color w:val="auto"/>
              </w:rPr>
            </w:pPr>
          </w:p>
        </w:tc>
        <w:tc>
          <w:tcPr>
            <w:tcW w:w="10460" w:type="dxa"/>
            <w:vAlign w:val="bottom"/>
          </w:tcPr>
          <w:p>
            <w:pPr>
              <w:ind w:left="540"/>
              <w:spacing w:after="0"/>
              <w:rPr>
                <w:sz w:val="20"/>
                <w:szCs w:val="20"/>
                <w:color w:val="auto"/>
              </w:rPr>
            </w:pPr>
            <w:r>
              <w:rPr>
                <w:rFonts w:ascii="Arial" w:cs="Arial" w:eastAsia="Arial" w:hAnsi="Arial"/>
                <w:sz w:val="15"/>
                <w:szCs w:val="15"/>
                <w:color w:val="auto"/>
              </w:rPr>
              <w:t>time party thereto and Bank of America, N.A., as administrative agent (incorporated by reference to Exhibit 10.3 of Sabre Corporation’s Registration</w:t>
            </w:r>
          </w:p>
        </w:tc>
      </w:tr>
      <w:tr>
        <w:trPr>
          <w:trHeight w:val="177"/>
        </w:trPr>
        <w:tc>
          <w:tcPr>
            <w:tcW w:w="840" w:type="dxa"/>
            <w:vAlign w:val="bottom"/>
          </w:tcPr>
          <w:p>
            <w:pPr>
              <w:spacing w:after="0"/>
              <w:rPr>
                <w:sz w:val="15"/>
                <w:szCs w:val="15"/>
                <w:color w:val="auto"/>
              </w:rPr>
            </w:pPr>
          </w:p>
        </w:tc>
        <w:tc>
          <w:tcPr>
            <w:tcW w:w="10460" w:type="dxa"/>
            <w:vAlign w:val="bottom"/>
          </w:tcPr>
          <w:p>
            <w:pPr>
              <w:ind w:left="540"/>
              <w:spacing w:after="0"/>
              <w:rPr>
                <w:sz w:val="20"/>
                <w:szCs w:val="20"/>
                <w:color w:val="auto"/>
              </w:rPr>
            </w:pPr>
            <w:r>
              <w:rPr>
                <w:rFonts w:ascii="Arial" w:cs="Arial" w:eastAsia="Arial" w:hAnsi="Arial"/>
                <w:sz w:val="15"/>
                <w:szCs w:val="15"/>
                <w:color w:val="auto"/>
              </w:rPr>
              <w:t>Statement on Form S-1 filed with the Securities and Exchange Commission on January 21,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835" w:right="2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72"/>
        </w:trPr>
        <w:tc>
          <w:tcPr>
            <w:tcW w:w="1380" w:type="dxa"/>
            <w:vAlign w:val="bottom"/>
            <w:gridSpan w:val="2"/>
          </w:tcPr>
          <w:p>
            <w:pPr>
              <w:ind w:left="380"/>
              <w:spacing w:after="0"/>
              <w:rPr>
                <w:sz w:val="20"/>
                <w:szCs w:val="20"/>
                <w:color w:val="auto"/>
              </w:rPr>
            </w:pPr>
            <w:r>
              <w:rPr>
                <w:rFonts w:ascii="Arial" w:cs="Arial" w:eastAsia="Arial" w:hAnsi="Arial"/>
                <w:sz w:val="15"/>
                <w:szCs w:val="15"/>
                <w:b w:val="1"/>
                <w:bCs w:val="1"/>
                <w:color w:val="auto"/>
              </w:rPr>
              <w:t>Exhibit</w:t>
            </w:r>
          </w:p>
        </w:tc>
        <w:tc>
          <w:tcPr>
            <w:tcW w:w="10040" w:type="dxa"/>
            <w:vAlign w:val="bottom"/>
          </w:tcPr>
          <w:p>
            <w:pPr>
              <w:spacing w:after="0"/>
              <w:rPr>
                <w:sz w:val="14"/>
                <w:szCs w:val="14"/>
                <w:color w:val="auto"/>
              </w:rPr>
            </w:pPr>
          </w:p>
        </w:tc>
      </w:tr>
      <w:tr>
        <w:trPr>
          <w:trHeight w:val="205"/>
        </w:trPr>
        <w:tc>
          <w:tcPr>
            <w:tcW w:w="1380" w:type="dxa"/>
            <w:vAlign w:val="bottom"/>
            <w:gridSpan w:val="2"/>
          </w:tcPr>
          <w:p>
            <w:pPr>
              <w:ind w:left="360"/>
              <w:spacing w:after="0"/>
              <w:rPr>
                <w:sz w:val="20"/>
                <w:szCs w:val="20"/>
                <w:color w:val="auto"/>
              </w:rPr>
            </w:pPr>
            <w:r>
              <w:rPr>
                <w:rFonts w:ascii="Arial" w:cs="Arial" w:eastAsia="Arial" w:hAnsi="Arial"/>
                <w:sz w:val="15"/>
                <w:szCs w:val="15"/>
                <w:b w:val="1"/>
                <w:bCs w:val="1"/>
                <w:color w:val="auto"/>
              </w:rPr>
              <w:t>Number</w:t>
            </w:r>
          </w:p>
        </w:tc>
        <w:tc>
          <w:tcPr>
            <w:tcW w:w="10040" w:type="dxa"/>
            <w:vAlign w:val="bottom"/>
          </w:tcPr>
          <w:p>
            <w:pPr>
              <w:ind w:left="4220"/>
              <w:spacing w:after="0"/>
              <w:rPr>
                <w:sz w:val="20"/>
                <w:szCs w:val="20"/>
                <w:color w:val="auto"/>
              </w:rPr>
            </w:pPr>
            <w:r>
              <w:rPr>
                <w:rFonts w:ascii="Arial" w:cs="Arial" w:eastAsia="Arial" w:hAnsi="Arial"/>
                <w:sz w:val="15"/>
                <w:szCs w:val="15"/>
                <w:b w:val="1"/>
                <w:bCs w:val="1"/>
                <w:color w:val="auto"/>
              </w:rPr>
              <w:t>Description of Exhibits</w:t>
            </w:r>
          </w:p>
        </w:tc>
      </w:tr>
      <w:tr>
        <w:trPr>
          <w:trHeight w:val="198"/>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100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Amended and Restated Pledge and Security Agreement, dated as of February 19, 2013, among Sabre Holdings Corporation, Sabre Inc., certain</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subsidiaries of Sabre Inc. from time to time party thereto and Bank of America, N.A., as administrative agent for the secured parties (incorporated by</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reference to Exhibit 10.4 of Sabre Corporation’s Registration Statement on Form S-1 filed with the Securities and Exchange Commission on January 21,</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First Lien Intercreditor Agreement, dated as of May 9, 2012, among Sabre Inc., Sabre Holdings Corporation, the other grantors party thereto, Deutsche</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Bank AG New York Branch, as administrative agent and authorized representative for the Credit Agreement secured parties, Wells Fargo Bank, National</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Association, as the Initial First Lien Collateral Agent and initial additional authorized representative, each Additional First Lien Collateral Agent and each</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additional Authorized Representative (incorporated by reference to Exhibit 10.5 of Sabre Corporation’s Registration Statement on Form S-1 filed with the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First Incremental Term Facility Amendment to Amended and Restated Credit Agreement, dated as of September 30, 2013, among Sabre Inc., Sabre</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Holdings Corporation, the subsidiary guarantors party thereto, and Bank of America, N.A., as incremental term lender and administrative agent</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(incorporated by reference to Exhibit 10.7 of Sabre Corporation’s Registration Statement on Form S-1 filed with the Securities and Exchange Commission</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Sovereign Holdings, Inc. Management Equity Incentive Plan adopted June 11, 2007, as amended April 22, 2010 (incorporated by reference to Exhibit</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10.8 of Sabre Corporation’s Registration Statement on Form S-1 filed with the 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Form of Non Qualified Stock Option Grant Agreement under Sovereign Holdings, Inc. Management Equity Incentive Plan adopted June 11, 2007, as</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amended April 22, 2010 (incorporated by reference to Exhibit 10.9 of Sabre Corporation’s Registration Statement on Form S-1 filed with the Securities</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Sovereign Holdings, Inc. 2012 Management Equity Incentive Plan adopted September 14, 2012 (incorporated by reference to Exhibit 10.16 of Sabre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Corporation’s Registration Statement on Form S-1 filed with the 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10.10+</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Form of Non Qualified Stock Option Grant Agreement under the Sovereign Holdings, Inc. 2012 Management Equity Incentive Plan (incorporated by</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reference to Exhibit 10.17 of Sabre Corporation’s Registration Statement on Form S-1 filed with the Securities and Exchange Commission on January 21,</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10.11+</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Form of Restricted Stock Unit Grant Agreement under the Sovereign Holdings, Inc. 2012 Management Equity Incentive Plan (incorporated by reference to</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Exhibit 10.18 of Sabre Corporation’s Registration Statement on Form S-1 filed with the 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10.12+</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Form of Restricted Stock Unit Grant Agreement for Non Employee Directors under the Sovereign Holdings, Inc. 2012 Management Equity Incentive Plan</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(incorporated by reference to Exhibit 10.20 of Sabre Corporation’s Registration Statement on Form S-1 filed with the Securities and Exchange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10.13+</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Form of Non Qualified Stock Option Grant Agreement for Non Employee Directors under the Sovereign Holdings, Inc. 2012 Management Equity Incentive</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Plan (incorporated by reference to Exhibit 10.21 of Sabre Corporation’s Registration Statement on Form S-1 filed with the Securities and Exchange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10.14+</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Employment Agreement by and among Sabre Holdings Corporation, Sabre Inc., Sovereign Holdings, Inc. and Thomas Klein, dated August 14,</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2013(incorporated by reference to Exhibit 10.22 of Sabre Corporation’s Registration Statement on Form S-1 filed with the Securities and Exchange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10.15+</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Employment Agreement by and between Sovereign Holdings, Inc. and William Robinson, dated December 5, 2013 (incorporated by reference to Exhibit</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10.24 of Sabre Corporation’s Registration Statement on Form S-1 filed with the 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10.16+</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Employment Agreement by and between Sovereign Holdings, Inc. and Deborah Kerr, dated March 7, 2013 (incorporated by reference to Exhibit 10.32 of</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Sabre Corporation’s Registration Statement on Form S-1 filed with the 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10.17+</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Employment Agreement by and between Sovereign Holdings, Inc. and Rick Simonson, dated March 5, 2013 (incorporated by reference to Exhibit 10.33</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of Sabre Corporation’s Registration Statement on Form S-1 filed with the 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10.18+</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Employment Agreement by and between Sovereign Holdings, Inc. and Hugh Jones, dated July 29, 2009 (incorporated by reference to Exhibit 10.36 of</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Sabre Corporation’s Registration Statement on Form S-1 filed with the 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10.19+</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Employment Agreement by and between Sovereign Holdings, Inc. and Greg Webb, dated February 2, 2011 (incorporated by reference to Exhibit 10.37 of</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Sabre Corporation’s Registration Statement on Form S-1 filed with the Securities and Exchange Commission on January 21,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10.20</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Amendment No. 1 to Amended and Restated Credit Agreement, dated as of February 20, 2014, among Sabre GLBL Inc., Sabre Holdings Corporation,</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each of the other Loan Parties, Bank of America, N.A., as administrative agent and the Lenders thereto (incorporated by reference to Exhibit 10.38 of</w:t>
            </w:r>
          </w:p>
        </w:tc>
      </w:tr>
    </w:tbl>
    <w:p>
      <w:pPr>
        <w:ind w:left="1400" w:right="400"/>
        <w:spacing w:after="0" w:line="245" w:lineRule="auto"/>
        <w:rPr>
          <w:sz w:val="20"/>
          <w:szCs w:val="20"/>
          <w:color w:val="auto"/>
        </w:rPr>
      </w:pPr>
      <w:r>
        <w:rPr>
          <w:rFonts w:ascii="Arial" w:cs="Arial" w:eastAsia="Arial" w:hAnsi="Arial"/>
          <w:sz w:val="15"/>
          <w:szCs w:val="15"/>
          <w:color w:val="auto"/>
        </w:rPr>
        <w:t>Sabre Corporation’s Amendment No. 1 to the Registration Statement on Form S-1 filed with the Securities and Exchange Commission on March 10, 2014).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78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2"/>
        </w:trPr>
        <w:tc>
          <w:tcPr>
            <w:tcW w:w="1380" w:type="dxa"/>
            <w:vAlign w:val="bottom"/>
            <w:gridSpan w:val="2"/>
          </w:tcPr>
          <w:p>
            <w:pPr>
              <w:ind w:left="380"/>
              <w:spacing w:after="0"/>
              <w:rPr>
                <w:sz w:val="20"/>
                <w:szCs w:val="20"/>
                <w:color w:val="auto"/>
              </w:rPr>
            </w:pPr>
            <w:r>
              <w:rPr>
                <w:rFonts w:ascii="Arial" w:cs="Arial" w:eastAsia="Arial" w:hAnsi="Arial"/>
                <w:sz w:val="15"/>
                <w:szCs w:val="15"/>
                <w:b w:val="1"/>
                <w:bCs w:val="1"/>
                <w:color w:val="auto"/>
              </w:rPr>
              <w:t>Exhibit</w:t>
            </w:r>
          </w:p>
        </w:tc>
        <w:tc>
          <w:tcPr>
            <w:tcW w:w="10040" w:type="dxa"/>
            <w:vAlign w:val="bottom"/>
          </w:tcPr>
          <w:p>
            <w:pPr>
              <w:spacing w:after="0"/>
              <w:rPr>
                <w:sz w:val="14"/>
                <w:szCs w:val="14"/>
                <w:color w:val="auto"/>
              </w:rPr>
            </w:pPr>
          </w:p>
        </w:tc>
      </w:tr>
      <w:tr>
        <w:trPr>
          <w:trHeight w:val="205"/>
        </w:trPr>
        <w:tc>
          <w:tcPr>
            <w:tcW w:w="1380" w:type="dxa"/>
            <w:vAlign w:val="bottom"/>
            <w:gridSpan w:val="2"/>
          </w:tcPr>
          <w:p>
            <w:pPr>
              <w:ind w:left="360"/>
              <w:spacing w:after="0"/>
              <w:rPr>
                <w:sz w:val="20"/>
                <w:szCs w:val="20"/>
                <w:color w:val="auto"/>
              </w:rPr>
            </w:pPr>
            <w:r>
              <w:rPr>
                <w:rFonts w:ascii="Arial" w:cs="Arial" w:eastAsia="Arial" w:hAnsi="Arial"/>
                <w:sz w:val="15"/>
                <w:szCs w:val="15"/>
                <w:b w:val="1"/>
                <w:bCs w:val="1"/>
                <w:color w:val="auto"/>
              </w:rPr>
              <w:t>Number</w:t>
            </w:r>
          </w:p>
        </w:tc>
        <w:tc>
          <w:tcPr>
            <w:tcW w:w="10040" w:type="dxa"/>
            <w:vAlign w:val="bottom"/>
          </w:tcPr>
          <w:p>
            <w:pPr>
              <w:ind w:left="4220"/>
              <w:spacing w:after="0"/>
              <w:rPr>
                <w:sz w:val="20"/>
                <w:szCs w:val="20"/>
                <w:color w:val="auto"/>
              </w:rPr>
            </w:pPr>
            <w:r>
              <w:rPr>
                <w:rFonts w:ascii="Arial" w:cs="Arial" w:eastAsia="Arial" w:hAnsi="Arial"/>
                <w:sz w:val="15"/>
                <w:szCs w:val="15"/>
                <w:b w:val="1"/>
                <w:bCs w:val="1"/>
                <w:color w:val="auto"/>
              </w:rPr>
              <w:t>Description of Exhibits</w:t>
            </w:r>
          </w:p>
        </w:tc>
      </w:tr>
      <w:tr>
        <w:trPr>
          <w:trHeight w:val="198"/>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17"/>
                <w:szCs w:val="17"/>
                <w:color w:val="auto"/>
              </w:rPr>
            </w:pPr>
          </w:p>
        </w:tc>
        <w:tc>
          <w:tcPr>
            <w:tcW w:w="100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First Revolver Extension Amendment to Amended and Restated Credit Agreement, dated as of February 20, 2014, among Sabre GLBL Inc., Sabre</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Holdings Corporation, each of the other Loan Parties, Bank of America, N.A., as administrative agent and the Revolving Credit Lenders thereto</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(incorporated by reference to Exhibit 10.39 of Sabre Corporation’s Amendment No. 1 to the Registration Statement on Form S-1 filed with the Securities</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and Exchange Commission on March 10,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10.22</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First Incremental Revolving Credit Facility Amendment to Amended and Restated Credit Agreement, dated as of February 20, 2014, among Sabre GLBL</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Inc., Sabre Holdings Corporation, each of the other Loan Parties, Bank of America, N.A., as administrative agent and the Revolving Credit Lenders</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thereto (incorporated by reference to Exhibit 10.40 of Sabre Corporation’s Amendment No. 1 to the Registration Statement on Form S-1 filed with the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Securities and Exchange Commission on March 10,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10.23</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Income Tax Receivable Agreement dated as of April 23, 2014 between Sabre Corporation and Sovereign Manager Co-Invest, LLC (incorporated by</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reference to Exhibit 10.1 of Sabre’s Corporation Current Report on Form 8-K filed with the Securities and Exchange Commission on April 23,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10.24</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Amended and Restated Stockholders’ Agreement dated as of April 23, 2014 by and among Sabre Corporation and the stockholders party thereto</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(incorporated by reference to Exhibit 10.2 of Sabre’s Corporation Current Report on Form 8-K filed with the Securities and Exchange Commission on April</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23,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10.25+</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Form of Director and Officer Indemnification Agreement (incorporated by reference to Exhibit 10.46 of Sabre Corporation’s Amendment No. 6 to the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Registration Statement on Form S-1 filed with the Securities and Exchange Commission on April 4,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10.26+</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Letter by and between Sovereign Holdings, Inc., Sabre Holdings Corporation and Sabre Inc. and Lawrence W. Kellner, dated August 30, 2013</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(incorporated by reference to Exhibit 10.47 of Sabre Corporation’s Amendment No. 3 to the Registration Statement on Form S-1 filed with the Securities</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and Exchange Commission on March 26,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10.27+</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Sabre Corporation 2014 Omnibus Incentive Compensation Plan (incorporated by reference to Exhibit 10.48 of Sabre Corporation’s Amendment No. 3 to</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the Registration Statement on Form S-1 filed with the Securities and Exchange Commission on March 26,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10.28+</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Form of Restricted Stock Unit Grant Agreement under the Sabre Corporation 2014 Omnibus Incentive Compensation Plan (incorporated by reference to</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Exhibit 10.49 of Sabre Corporation’s Quarterly Report on Form 10-Q filed with the Securities and Exchange Commission on May 5, 2015).</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10.29+</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Form of Non Qualified Stock Option Grant Agreement under the Sabre Corporation 2014 Omnibus Incentive Compensation Plan (incorporated by</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reference to Exhibit 10.50 of Sabre Corporation’s Quarterly Report on Form 10-Q filed with the Securities and Exchange Commission on May 5, 2015).</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10.30+</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Form of Restricted Stock Unit Annual Grant Agreement for Non Employee Directors under the Sabre Corporation 2014 Omnibus Incentive Compensation</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Plan (incorporated by reference to Exhibit 10.51 of Sabre Corporation’s Amendment No. 3 to the Registration Statement on Form S-1 filed with the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Securities and Exchange Commission on March 26,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10.31+</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Form of Restricted Stock Unit Initial Grant Agreement for Non Employee Directors under the Sabre Corporation 2014 Omnibus Incentive Compensation</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Plan (incorporated by reference to Exhibit 10.52 of Sabre Corporation’s Amendment No. 3 to the Registration Statement on Form S-1 filed with the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Securities and Exchange Commission on March 26,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10.32</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Supplement No. 1, dated as of December 31, 2012, to the Pledge and Security Agreement dated as of May 9, 2012, among Sabre Holdings Corporation,</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Sabre Inc., the subsidiary guarantors and Wells Fargo Bank, National Association, as collateral agent for the secured parties (incorporated by reference</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to Exhibit 10.53 of Sabre Corporation’s Amendment No. 4 to the Registration Statement on Form S-1 filed with the Securities and Exchange Commission</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on March 31,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10.33+</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Employment Agreement by and between Sabre Corporation and Rachel Gonzalez dated September 2, 2014 (incorporated by reference to Exhibit 10.55+</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of Sabre’s Corporation Quarterly Report on Form 10-Q filed with the Securities and Exchange Commission on November 12, 2014).</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10.34+</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Sabre Corporation Non-Employee Directors Compensation Deferral Plan dated October 29, 2014 (incorporated by reference to Exhibit 10.57+ of Sabre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Corporation’s Registration Statement on Form S-1 filed with the Securities and Exchange Commission on January 26, 2015).</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10.35</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Second Amended and Restated Stockholders’ Agreement dated as of February 6, 2015 by and among Sabre Corporation and the stockholders party</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thereto (incorporated by reference to Exhibit 10.58 of Sabre Corporation's Annual Report on Form 10-K filed with the Securities and Exchange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Commission on March 3, 2015).</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10.36+</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Form of Award Agreement for Long-Term Stretch Program (incorporated by reference to Exhibit 10.1 of Sabre’s Corporation Current Report on Form 8-K</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filed with the Securities and Exchange Commission on March 13, 2015).</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10.37</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Pledge and Security Agreement, dated as of April 14, 2015, among Sabre GLBL Inc., Sabre Holdings Corporation, the subsidiary guarantors party thereto</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and Wells Fargo Bank, National Association, as collateral agent (incorporated by reference to Exhibit 10.1 of Sabre Corporation’s Current Report on Form</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8-K filed with the Securities and Exchange Commission on April 15, 2015).</w:t>
            </w:r>
          </w:p>
        </w:tc>
      </w:tr>
      <w:tr>
        <w:trPr>
          <w:trHeight w:val="417"/>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20"/>
              <w:spacing w:after="0"/>
              <w:rPr>
                <w:sz w:val="20"/>
                <w:szCs w:val="20"/>
                <w:color w:val="auto"/>
              </w:rPr>
            </w:pPr>
            <w:r>
              <w:rPr>
                <w:rFonts w:ascii="Arial" w:cs="Arial" w:eastAsia="Arial" w:hAnsi="Arial"/>
                <w:sz w:val="15"/>
                <w:szCs w:val="15"/>
                <w:color w:val="auto"/>
              </w:rPr>
              <w:t>108</w:t>
            </w:r>
          </w:p>
        </w:tc>
      </w:tr>
    </w:tbl>
    <w:p>
      <w:pPr>
        <w:sectPr>
          <w:pgSz w:w="11900" w:h="16838" w:orient="portrait"/>
          <w:cols w:equalWidth="0" w:num="1">
            <w:col w:w="11420"/>
          </w:cols>
          <w:pgMar w:left="240" w:top="785"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gridSpan w:val="2"/>
          </w:tcPr>
          <w:p>
            <w:pPr>
              <w:ind w:left="380"/>
              <w:spacing w:after="0"/>
              <w:rPr>
                <w:sz w:val="20"/>
                <w:szCs w:val="20"/>
                <w:color w:val="auto"/>
              </w:rPr>
            </w:pPr>
            <w:r>
              <w:rPr>
                <w:rFonts w:ascii="Arial" w:cs="Arial" w:eastAsia="Arial" w:hAnsi="Arial"/>
                <w:sz w:val="15"/>
                <w:szCs w:val="15"/>
                <w:b w:val="1"/>
                <w:bCs w:val="1"/>
                <w:color w:val="auto"/>
              </w:rPr>
              <w:t>Exhibit</w:t>
            </w:r>
          </w:p>
        </w:tc>
        <w:tc>
          <w:tcPr>
            <w:tcW w:w="10040" w:type="dxa"/>
            <w:vAlign w:val="bottom"/>
          </w:tcPr>
          <w:p>
            <w:pPr>
              <w:spacing w:after="0"/>
              <w:rPr>
                <w:sz w:val="14"/>
                <w:szCs w:val="14"/>
                <w:color w:val="auto"/>
              </w:rPr>
            </w:pPr>
          </w:p>
        </w:tc>
      </w:tr>
      <w:tr>
        <w:trPr>
          <w:trHeight w:val="205"/>
        </w:trPr>
        <w:tc>
          <w:tcPr>
            <w:tcW w:w="1380" w:type="dxa"/>
            <w:vAlign w:val="bottom"/>
            <w:gridSpan w:val="2"/>
          </w:tcPr>
          <w:p>
            <w:pPr>
              <w:ind w:left="360"/>
              <w:spacing w:after="0"/>
              <w:rPr>
                <w:sz w:val="20"/>
                <w:szCs w:val="20"/>
                <w:color w:val="auto"/>
              </w:rPr>
            </w:pPr>
            <w:r>
              <w:rPr>
                <w:rFonts w:ascii="Arial" w:cs="Arial" w:eastAsia="Arial" w:hAnsi="Arial"/>
                <w:sz w:val="15"/>
                <w:szCs w:val="15"/>
                <w:b w:val="1"/>
                <w:bCs w:val="1"/>
                <w:color w:val="auto"/>
              </w:rPr>
              <w:t>Number</w:t>
            </w:r>
          </w:p>
        </w:tc>
        <w:tc>
          <w:tcPr>
            <w:tcW w:w="10040" w:type="dxa"/>
            <w:vAlign w:val="bottom"/>
          </w:tcPr>
          <w:p>
            <w:pPr>
              <w:ind w:left="4220"/>
              <w:spacing w:after="0"/>
              <w:rPr>
                <w:sz w:val="20"/>
                <w:szCs w:val="20"/>
                <w:color w:val="auto"/>
              </w:rPr>
            </w:pPr>
            <w:r>
              <w:rPr>
                <w:rFonts w:ascii="Arial" w:cs="Arial" w:eastAsia="Arial" w:hAnsi="Arial"/>
                <w:sz w:val="15"/>
                <w:szCs w:val="15"/>
                <w:b w:val="1"/>
                <w:bCs w:val="1"/>
                <w:color w:val="auto"/>
              </w:rPr>
              <w:t>Description of Exhibits</w:t>
            </w:r>
          </w:p>
        </w:tc>
      </w:tr>
      <w:tr>
        <w:trPr>
          <w:trHeight w:val="198"/>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10.38+</w:t>
            </w:r>
          </w:p>
        </w:tc>
        <w:tc>
          <w:tcPr>
            <w:tcW w:w="120" w:type="dxa"/>
            <w:vAlign w:val="bottom"/>
          </w:tcPr>
          <w:p>
            <w:pPr>
              <w:spacing w:after="0"/>
              <w:rPr>
                <w:sz w:val="17"/>
                <w:szCs w:val="17"/>
                <w:color w:val="auto"/>
              </w:rPr>
            </w:pPr>
          </w:p>
        </w:tc>
        <w:tc>
          <w:tcPr>
            <w:tcW w:w="100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Employment Agreement by and between Sabre Corporation and Sean Menke, dated August 29, 2015 (incorporated by reference to Exhibit 10.61 of</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Sabre Corporation’s Current Report on Form 10-Q filed with the Securities and Exchange Commission on October 29, 2015).</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10.39+</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Amendment to Letter Agreement by and between Sabre Corporation and Greg Webb, dated September 8, 2015 (incorporated by reference to Exhibit</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10.1 of Sabre Corporation’s Current Report on Form 8-K filed with the Securities and Exchange Commission on September 9, 2015).</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10.40</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Pledge and Security Agreement, dated as of November 9, 2015, among Sabre GLBL Inc., Sabre Holdings Corporation, the subsidiary guarantors party</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thereto and Wells Fargo Bank, National Association, as collateral agent (incorporated by reference to Exhibit 10.1 of Sabre Corporation’s Current Report</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on Form 8-K filed with the Securities and Exchange Commission on November 9, 2015).</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10.41+</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Sabre Corporation Executive Deferred Compensation Plan (incorporated by reference to Exhibit 10.1 of Sabre Corporation’s Current Report on Form 8-K</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filed with the Securities and Exchange Commission on November 16, 2015).</w:t>
            </w:r>
          </w:p>
        </w:tc>
      </w:tr>
      <w:tr>
        <w:trPr>
          <w:trHeight w:val="221"/>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10.42†</w:t>
            </w:r>
          </w:p>
        </w:tc>
        <w:tc>
          <w:tcPr>
            <w:tcW w:w="10040" w:type="dxa"/>
            <w:vAlign w:val="bottom"/>
          </w:tcPr>
          <w:p>
            <w:pPr>
              <w:ind w:left="20"/>
              <w:spacing w:after="0"/>
              <w:rPr>
                <w:sz w:val="20"/>
                <w:szCs w:val="20"/>
                <w:color w:val="auto"/>
              </w:rPr>
            </w:pPr>
            <w:r>
              <w:rPr>
                <w:rFonts w:ascii="Arial" w:cs="Arial" w:eastAsia="Arial" w:hAnsi="Arial"/>
                <w:sz w:val="15"/>
                <w:szCs w:val="15"/>
                <w:color w:val="auto"/>
              </w:rPr>
              <w:t>Master Services Agreement dated as of November 1, 2015, between Sabre GLBL, Inc. and HP Enterprise Services, LLC, as provider.</w:t>
            </w:r>
          </w:p>
        </w:tc>
      </w:tr>
      <w:tr>
        <w:trPr>
          <w:trHeight w:val="240"/>
        </w:trPr>
        <w:tc>
          <w:tcPr>
            <w:tcW w:w="1260" w:type="dxa"/>
            <w:vAlign w:val="bottom"/>
          </w:tcPr>
          <w:p>
            <w:pPr>
              <w:ind w:left="20"/>
              <w:spacing w:after="0"/>
              <w:rPr>
                <w:sz w:val="20"/>
                <w:szCs w:val="20"/>
                <w:color w:val="auto"/>
              </w:rPr>
            </w:pPr>
            <w:r>
              <w:rPr>
                <w:rFonts w:ascii="Arial" w:cs="Arial" w:eastAsia="Arial" w:hAnsi="Arial"/>
                <w:sz w:val="15"/>
                <w:szCs w:val="15"/>
                <w:color w:val="auto"/>
              </w:rPr>
              <w:t>10.43+</w:t>
            </w:r>
          </w:p>
        </w:tc>
        <w:tc>
          <w:tcPr>
            <w:tcW w:w="12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Sabre Corporation 2016 Omnibus Incentive Compensation Plan (incorporated by reference to Exhibit 10.49 of Sabre Corporation’s Current Report on</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Form 8-K filed with the Securities and Exchange Commission on May 26,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10.44+</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Form of Restricted Stock Unit Grant Agreement under the Sabre Corporation 2016 Omnibus Incentive Compensation Plan (incorporated by reference to</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Exhibit 10.49 of Sabre Corporation’s Quarterly Report on Form 10-Q filed with the Securities and Exchange Commission on April 28,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10.45+</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Form of Non-Qualified Stock Option Grant Agreement under the Sabre Corporation 2016 Omnibus Incentive Compensation Plan (incorporated by</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reference to Exhibit 10.49 of Sabre Corporation’s Quarterly Report on Form 10-Q filed with the Securities and Exchange Commission on April 28,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10.46+</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Joinder Agreement to Second Amended and Restated Stockholders' Agreement, dated January 5, 2016, by Sovereign Co-Invest II, LLC (incorporated by</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reference to Exhibit 10.66 of Sabre Corporation’s Quarterly Report on Form 10-Q filed with the Securities and Exchange Commission on Aril 28,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10.47+</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Joinder Agreement to Amended and Restated Registration Rights Agreement, dated January 5, 2016, by Sovereign Co-Invest II, LLC (incorporated by</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reference to Exhibit 10.67 of Sabre Corporation’s Quarterly Report on Form 10-Q filed with the Securities and Exchange Commission on Aril 28,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10.48+</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Separation Agreement by and between Sabre Corporation and Tom Klein, dated June 20, 2016 (incorporated by reference to Exhibit 10.1 of Sabre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Corporation’s Current Report on Form 8-K filed with the Securities and Exchange Commission on June 20,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10.49</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Revolving Facility Refinancing Amendment to Amended and Restated Credit Agreement, dated July 18, 2016, among Sabre GLBL Inc., Sabre Holdings</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Corporation, each of the other Loan Parties party thereto, Bank of America, N.A., as Administrative Agent and the Revolving Credit Lenders party thereto</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(incorporated by reference to Exhibit 10.1 of Sabre Corporation’s Current Report on Form 8-K filed with the Securities and Exchange Commission on July</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19,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10.50</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Amendment No. 2 to Amended and Restated Credit Agreement, dated July 18, 2016, among Sabre GLBL Inc., Sabre Holdings Corporation, each of the</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8"/>
              </w:rPr>
              <w:t>other Loan Parties party thereto, Bank of America, N.A., as Administrative Agent and the Lenders party thereto (incorporated by reference to Exhibit 10.2</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of Sabre Corporation’s Current Report on Form 8-K filed with the Securities and Exchange Commission on July 19,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10.51</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Second Incremental Term Facility Amendment to Amended and Restated Credit Agreement, dated July 18, 2016, among Sabre GLBL Inc., Sabre</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Holdings Corporation, each of the other Loan Parties party thereto, Bank of America, N.A., as Administrative Agent and the Incremental Term A Lenders</w:t>
            </w:r>
          </w:p>
        </w:tc>
      </w:tr>
      <w:tr>
        <w:trPr>
          <w:trHeight w:val="172"/>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party thereto (incorporated by reference to Exhibit 10.3 of Sabre Corporation’s Current Report on Form 8-K filed with the Securities and Exchange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Commission on July 19,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10.52+</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Second Amendment to Letter Agreement by and between the Corporation and Greg Webb, dated June 15, 2016 (incorporated by reference to Exhibit</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10.69 of Sabre Corporation’s Quarterly Report on Form 10-Q filed with the Securities and Exchange Commission on August 2,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10.53+</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Letter Agreement by and between Sabre Corporation and Alex Alt, dated August 31, 2016 (incorporated by reference to Exhibit 10.74 of Sabre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Corporation’s Quarterly Report on Form 10-Q filed with the Securities and Exchange Commission on November 2,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10.54+</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Employment Agreement by and between Sabre Corporation and Sean Menke, dated December 15, 2016 (incorporated by reference to Exhibit 10.1 of</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Sabre Corporation’s Current Report on Form 8-K filed with the Securities and Exchange Commission on December 16,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10.55+</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w w:val="99"/>
              </w:rPr>
              <w:t>Letter Agreement by and between Sabre Corporation and Lawrence W. Kellner, dated December 15, 2016 (incorporated by reference to Exhibit 10.2 of</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Sabre Corporation’s Current Report on Form 8-K filed with the Securities and Exchange Commission on December 16, 2016).</w:t>
            </w:r>
          </w:p>
        </w:tc>
      </w:tr>
      <w:tr>
        <w:trPr>
          <w:trHeight w:val="215"/>
        </w:trPr>
        <w:tc>
          <w:tcPr>
            <w:tcW w:w="1260" w:type="dxa"/>
            <w:vAlign w:val="bottom"/>
          </w:tcPr>
          <w:p>
            <w:pPr>
              <w:ind w:left="20"/>
              <w:spacing w:after="0"/>
              <w:rPr>
                <w:sz w:val="20"/>
                <w:szCs w:val="20"/>
                <w:color w:val="auto"/>
              </w:rPr>
            </w:pPr>
            <w:r>
              <w:rPr>
                <w:rFonts w:ascii="Arial" w:cs="Arial" w:eastAsia="Arial" w:hAnsi="Arial"/>
                <w:sz w:val="15"/>
                <w:szCs w:val="15"/>
                <w:color w:val="auto"/>
              </w:rPr>
              <w:t>10.56*</w:t>
            </w:r>
          </w:p>
        </w:tc>
        <w:tc>
          <w:tcPr>
            <w:tcW w:w="12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Amendment dated December 22, 2016, to that certain Master Services Agreement dated as of November 1, 2015 by and between HP Enterprise</w:t>
            </w:r>
          </w:p>
        </w:tc>
      </w:tr>
      <w:tr>
        <w:trPr>
          <w:trHeight w:val="177"/>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Services, LLC and Sabre GLBL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785"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2"/>
        </w:trPr>
        <w:tc>
          <w:tcPr>
            <w:tcW w:w="1380" w:type="dxa"/>
            <w:vAlign w:val="bottom"/>
            <w:gridSpan w:val="2"/>
          </w:tcPr>
          <w:p>
            <w:pPr>
              <w:ind w:left="380"/>
              <w:spacing w:after="0"/>
              <w:rPr>
                <w:sz w:val="20"/>
                <w:szCs w:val="20"/>
                <w:color w:val="auto"/>
              </w:rPr>
            </w:pPr>
            <w:r>
              <w:rPr>
                <w:rFonts w:ascii="Arial" w:cs="Arial" w:eastAsia="Arial" w:hAnsi="Arial"/>
                <w:sz w:val="15"/>
                <w:szCs w:val="15"/>
                <w:b w:val="1"/>
                <w:bCs w:val="1"/>
                <w:color w:val="auto"/>
              </w:rPr>
              <w:t>Exhibit</w:t>
            </w:r>
          </w:p>
        </w:tc>
        <w:tc>
          <w:tcPr>
            <w:tcW w:w="10040" w:type="dxa"/>
            <w:vAlign w:val="bottom"/>
          </w:tcPr>
          <w:p>
            <w:pPr>
              <w:spacing w:after="0"/>
              <w:rPr>
                <w:sz w:val="14"/>
                <w:szCs w:val="14"/>
                <w:color w:val="auto"/>
              </w:rPr>
            </w:pPr>
          </w:p>
        </w:tc>
      </w:tr>
      <w:tr>
        <w:trPr>
          <w:trHeight w:val="205"/>
        </w:trPr>
        <w:tc>
          <w:tcPr>
            <w:tcW w:w="1380" w:type="dxa"/>
            <w:vAlign w:val="bottom"/>
            <w:gridSpan w:val="2"/>
          </w:tcPr>
          <w:p>
            <w:pPr>
              <w:ind w:left="360"/>
              <w:spacing w:after="0"/>
              <w:rPr>
                <w:sz w:val="20"/>
                <w:szCs w:val="20"/>
                <w:color w:val="auto"/>
              </w:rPr>
            </w:pPr>
            <w:r>
              <w:rPr>
                <w:rFonts w:ascii="Arial" w:cs="Arial" w:eastAsia="Arial" w:hAnsi="Arial"/>
                <w:sz w:val="15"/>
                <w:szCs w:val="15"/>
                <w:b w:val="1"/>
                <w:bCs w:val="1"/>
                <w:color w:val="auto"/>
              </w:rPr>
              <w:t>Number</w:t>
            </w:r>
          </w:p>
        </w:tc>
        <w:tc>
          <w:tcPr>
            <w:tcW w:w="10040" w:type="dxa"/>
            <w:vAlign w:val="bottom"/>
          </w:tcPr>
          <w:p>
            <w:pPr>
              <w:ind w:left="4220"/>
              <w:spacing w:after="0"/>
              <w:rPr>
                <w:sz w:val="20"/>
                <w:szCs w:val="20"/>
                <w:color w:val="auto"/>
              </w:rPr>
            </w:pPr>
            <w:r>
              <w:rPr>
                <w:rFonts w:ascii="Arial" w:cs="Arial" w:eastAsia="Arial" w:hAnsi="Arial"/>
                <w:sz w:val="15"/>
                <w:szCs w:val="15"/>
                <w:b w:val="1"/>
                <w:bCs w:val="1"/>
                <w:color w:val="auto"/>
              </w:rPr>
              <w:t>Description of Exhibits</w:t>
            </w:r>
          </w:p>
        </w:tc>
      </w:tr>
      <w:tr>
        <w:trPr>
          <w:trHeight w:val="203"/>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10.57+*</w:t>
            </w:r>
          </w:p>
        </w:tc>
        <w:tc>
          <w:tcPr>
            <w:tcW w:w="120" w:type="dxa"/>
            <w:vAlign w:val="bottom"/>
          </w:tcPr>
          <w:p>
            <w:pPr>
              <w:spacing w:after="0"/>
              <w:rPr>
                <w:sz w:val="17"/>
                <w:szCs w:val="17"/>
                <w:color w:val="auto"/>
              </w:rPr>
            </w:pPr>
          </w:p>
        </w:tc>
        <w:tc>
          <w:tcPr>
            <w:tcW w:w="100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Form of Executive Chairman Restricted Stock Unit Agreement under the Sabre Corporation 2016 Omnibus Incentive Compensation Plan.</w:t>
            </w:r>
          </w:p>
        </w:tc>
      </w:tr>
      <w:tr>
        <w:trPr>
          <w:trHeight w:val="233"/>
        </w:trPr>
        <w:tc>
          <w:tcPr>
            <w:tcW w:w="1260" w:type="dxa"/>
            <w:vAlign w:val="bottom"/>
          </w:tcPr>
          <w:p>
            <w:pPr>
              <w:ind w:left="20"/>
              <w:spacing w:after="0"/>
              <w:rPr>
                <w:sz w:val="20"/>
                <w:szCs w:val="20"/>
                <w:color w:val="auto"/>
              </w:rPr>
            </w:pPr>
            <w:r>
              <w:rPr>
                <w:rFonts w:ascii="Arial" w:cs="Arial" w:eastAsia="Arial" w:hAnsi="Arial"/>
                <w:sz w:val="15"/>
                <w:szCs w:val="15"/>
                <w:color w:val="auto"/>
              </w:rPr>
              <w:t>10.58+*</w:t>
            </w:r>
          </w:p>
        </w:tc>
        <w:tc>
          <w:tcPr>
            <w:tcW w:w="120" w:type="dxa"/>
            <w:vAlign w:val="bottom"/>
          </w:tcPr>
          <w:p>
            <w:pPr>
              <w:spacing w:after="0"/>
              <w:rPr>
                <w:sz w:val="20"/>
                <w:szCs w:val="20"/>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Form of Executive Chairman Stock Option Grant Agreement under the Sabre Corporation 2016 Omnibus Incentive Compensation Plan.</w:t>
            </w:r>
          </w:p>
        </w:tc>
      </w:tr>
      <w:tr>
        <w:trPr>
          <w:trHeight w:val="245"/>
        </w:trPr>
        <w:tc>
          <w:tcPr>
            <w:tcW w:w="1260" w:type="dxa"/>
            <w:vAlign w:val="bottom"/>
          </w:tcPr>
          <w:p>
            <w:pPr>
              <w:ind w:left="20"/>
              <w:spacing w:after="0"/>
              <w:rPr>
                <w:sz w:val="20"/>
                <w:szCs w:val="20"/>
                <w:color w:val="auto"/>
              </w:rPr>
            </w:pPr>
            <w:r>
              <w:rPr>
                <w:rFonts w:ascii="Arial" w:cs="Arial" w:eastAsia="Arial" w:hAnsi="Arial"/>
                <w:sz w:val="15"/>
                <w:szCs w:val="15"/>
                <w:color w:val="auto"/>
              </w:rPr>
              <w:t>21.1*</w:t>
            </w:r>
          </w:p>
        </w:tc>
        <w:tc>
          <w:tcPr>
            <w:tcW w:w="120" w:type="dxa"/>
            <w:vAlign w:val="bottom"/>
          </w:tcPr>
          <w:p>
            <w:pPr>
              <w:spacing w:after="0"/>
              <w:rPr>
                <w:sz w:val="21"/>
                <w:szCs w:val="21"/>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List of Subsidiaries</w:t>
            </w:r>
          </w:p>
        </w:tc>
      </w:tr>
      <w:tr>
        <w:trPr>
          <w:trHeight w:val="245"/>
        </w:trPr>
        <w:tc>
          <w:tcPr>
            <w:tcW w:w="1260" w:type="dxa"/>
            <w:vAlign w:val="bottom"/>
          </w:tcPr>
          <w:p>
            <w:pPr>
              <w:ind w:left="20"/>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21"/>
                <w:szCs w:val="21"/>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Consent of Ernst &amp; Young LLP</w:t>
            </w:r>
          </w:p>
        </w:tc>
      </w:tr>
      <w:tr>
        <w:trPr>
          <w:trHeight w:val="245"/>
        </w:trPr>
        <w:tc>
          <w:tcPr>
            <w:tcW w:w="1260" w:type="dxa"/>
            <w:vAlign w:val="bottom"/>
          </w:tcPr>
          <w:p>
            <w:pPr>
              <w:ind w:left="20"/>
              <w:spacing w:after="0"/>
              <w:rPr>
                <w:sz w:val="20"/>
                <w:szCs w:val="20"/>
                <w:color w:val="auto"/>
              </w:rPr>
            </w:pPr>
            <w:r>
              <w:rPr>
                <w:rFonts w:ascii="Arial" w:cs="Arial" w:eastAsia="Arial" w:hAnsi="Arial"/>
                <w:sz w:val="15"/>
                <w:szCs w:val="15"/>
                <w:color w:val="auto"/>
              </w:rPr>
              <w:t>24.1*</w:t>
            </w:r>
          </w:p>
        </w:tc>
        <w:tc>
          <w:tcPr>
            <w:tcW w:w="120" w:type="dxa"/>
            <w:vAlign w:val="bottom"/>
          </w:tcPr>
          <w:p>
            <w:pPr>
              <w:spacing w:after="0"/>
              <w:rPr>
                <w:sz w:val="21"/>
                <w:szCs w:val="21"/>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Powers of Attorney (included on signature page)</w:t>
            </w:r>
          </w:p>
        </w:tc>
      </w:tr>
      <w:tr>
        <w:trPr>
          <w:trHeight w:val="245"/>
        </w:trPr>
        <w:tc>
          <w:tcPr>
            <w:tcW w:w="1260" w:type="dxa"/>
            <w:vAlign w:val="bottom"/>
          </w:tcPr>
          <w:p>
            <w:pPr>
              <w:ind w:left="20"/>
              <w:spacing w:after="0"/>
              <w:rPr>
                <w:sz w:val="20"/>
                <w:szCs w:val="20"/>
                <w:color w:val="auto"/>
              </w:rPr>
            </w:pPr>
            <w:r>
              <w:rPr>
                <w:rFonts w:ascii="Arial" w:cs="Arial" w:eastAsia="Arial" w:hAnsi="Arial"/>
                <w:sz w:val="15"/>
                <w:szCs w:val="15"/>
                <w:color w:val="auto"/>
              </w:rPr>
              <w:t>31.1*</w:t>
            </w:r>
          </w:p>
        </w:tc>
        <w:tc>
          <w:tcPr>
            <w:tcW w:w="120" w:type="dxa"/>
            <w:vAlign w:val="bottom"/>
          </w:tcPr>
          <w:p>
            <w:pPr>
              <w:spacing w:after="0"/>
              <w:rPr>
                <w:sz w:val="21"/>
                <w:szCs w:val="21"/>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r>
      <w:tr>
        <w:trPr>
          <w:trHeight w:val="245"/>
        </w:trPr>
        <w:tc>
          <w:tcPr>
            <w:tcW w:w="1260" w:type="dxa"/>
            <w:vAlign w:val="bottom"/>
          </w:tcPr>
          <w:p>
            <w:pPr>
              <w:ind w:left="20"/>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21"/>
                <w:szCs w:val="21"/>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r>
      <w:tr>
        <w:trPr>
          <w:trHeight w:val="245"/>
        </w:trPr>
        <w:tc>
          <w:tcPr>
            <w:tcW w:w="1260" w:type="dxa"/>
            <w:vAlign w:val="bottom"/>
          </w:tcPr>
          <w:p>
            <w:pPr>
              <w:ind w:left="20"/>
              <w:spacing w:after="0"/>
              <w:rPr>
                <w:sz w:val="20"/>
                <w:szCs w:val="20"/>
                <w:color w:val="auto"/>
              </w:rPr>
            </w:pPr>
            <w:r>
              <w:rPr>
                <w:rFonts w:ascii="Arial" w:cs="Arial" w:eastAsia="Arial" w:hAnsi="Arial"/>
                <w:sz w:val="15"/>
                <w:szCs w:val="15"/>
                <w:color w:val="auto"/>
              </w:rPr>
              <w:t>32.1*</w:t>
            </w:r>
          </w:p>
        </w:tc>
        <w:tc>
          <w:tcPr>
            <w:tcW w:w="120" w:type="dxa"/>
            <w:vAlign w:val="bottom"/>
          </w:tcPr>
          <w:p>
            <w:pPr>
              <w:spacing w:after="0"/>
              <w:rPr>
                <w:sz w:val="21"/>
                <w:szCs w:val="21"/>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r>
      <w:tr>
        <w:trPr>
          <w:trHeight w:val="245"/>
        </w:trPr>
        <w:tc>
          <w:tcPr>
            <w:tcW w:w="1260" w:type="dxa"/>
            <w:vAlign w:val="bottom"/>
          </w:tcPr>
          <w:p>
            <w:pPr>
              <w:ind w:left="20"/>
              <w:spacing w:after="0"/>
              <w:rPr>
                <w:sz w:val="20"/>
                <w:szCs w:val="20"/>
                <w:color w:val="auto"/>
              </w:rPr>
            </w:pPr>
            <w:r>
              <w:rPr>
                <w:rFonts w:ascii="Arial" w:cs="Arial" w:eastAsia="Arial" w:hAnsi="Arial"/>
                <w:sz w:val="15"/>
                <w:szCs w:val="15"/>
                <w:color w:val="auto"/>
              </w:rPr>
              <w:t>32.2*</w:t>
            </w:r>
          </w:p>
        </w:tc>
        <w:tc>
          <w:tcPr>
            <w:tcW w:w="120" w:type="dxa"/>
            <w:vAlign w:val="bottom"/>
          </w:tcPr>
          <w:p>
            <w:pPr>
              <w:spacing w:after="0"/>
              <w:rPr>
                <w:sz w:val="21"/>
                <w:szCs w:val="21"/>
                <w:color w:val="auto"/>
              </w:rPr>
            </w:pPr>
          </w:p>
        </w:tc>
        <w:tc>
          <w:tcPr>
            <w:tcW w:w="10040" w:type="dxa"/>
            <w:vAlign w:val="bottom"/>
          </w:tcPr>
          <w:p>
            <w:pPr>
              <w:ind w:left="2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r>
      <w:tr>
        <w:trPr>
          <w:trHeight w:val="245"/>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101.INS*</w:t>
            </w:r>
          </w:p>
        </w:tc>
        <w:tc>
          <w:tcPr>
            <w:tcW w:w="10040" w:type="dxa"/>
            <w:vAlign w:val="bottom"/>
          </w:tcPr>
          <w:p>
            <w:pPr>
              <w:ind w:left="20"/>
              <w:spacing w:after="0"/>
              <w:rPr>
                <w:sz w:val="20"/>
                <w:szCs w:val="20"/>
                <w:color w:val="auto"/>
              </w:rPr>
            </w:pPr>
            <w:r>
              <w:rPr>
                <w:rFonts w:ascii="Arial" w:cs="Arial" w:eastAsia="Arial" w:hAnsi="Arial"/>
                <w:sz w:val="15"/>
                <w:szCs w:val="15"/>
                <w:color w:val="auto"/>
              </w:rPr>
              <w:t>XBRL Instance Document</w:t>
            </w:r>
          </w:p>
        </w:tc>
      </w:tr>
      <w:tr>
        <w:trPr>
          <w:trHeight w:val="245"/>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101.SCH*</w:t>
            </w:r>
          </w:p>
        </w:tc>
        <w:tc>
          <w:tcPr>
            <w:tcW w:w="10040" w:type="dxa"/>
            <w:vAlign w:val="bottom"/>
          </w:tcPr>
          <w:p>
            <w:pPr>
              <w:ind w:left="20"/>
              <w:spacing w:after="0"/>
              <w:rPr>
                <w:sz w:val="20"/>
                <w:szCs w:val="20"/>
                <w:color w:val="auto"/>
              </w:rPr>
            </w:pPr>
            <w:r>
              <w:rPr>
                <w:rFonts w:ascii="Arial" w:cs="Arial" w:eastAsia="Arial" w:hAnsi="Arial"/>
                <w:sz w:val="15"/>
                <w:szCs w:val="15"/>
                <w:color w:val="auto"/>
              </w:rPr>
              <w:t>XBRL Taxonomy Extension Schema</w:t>
            </w:r>
          </w:p>
        </w:tc>
      </w:tr>
      <w:tr>
        <w:trPr>
          <w:trHeight w:val="245"/>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101.CAL*</w:t>
            </w:r>
          </w:p>
        </w:tc>
        <w:tc>
          <w:tcPr>
            <w:tcW w:w="10040" w:type="dxa"/>
            <w:vAlign w:val="bottom"/>
          </w:tcPr>
          <w:p>
            <w:pPr>
              <w:ind w:left="20"/>
              <w:spacing w:after="0"/>
              <w:rPr>
                <w:sz w:val="20"/>
                <w:szCs w:val="20"/>
                <w:color w:val="auto"/>
              </w:rPr>
            </w:pPr>
            <w:r>
              <w:rPr>
                <w:rFonts w:ascii="Arial" w:cs="Arial" w:eastAsia="Arial" w:hAnsi="Arial"/>
                <w:sz w:val="15"/>
                <w:szCs w:val="15"/>
                <w:color w:val="auto"/>
              </w:rPr>
              <w:t>XBRL Taxonomy Extension Calculation Linkbase</w:t>
            </w:r>
          </w:p>
        </w:tc>
      </w:tr>
      <w:tr>
        <w:trPr>
          <w:trHeight w:val="245"/>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101.DEF*</w:t>
            </w:r>
          </w:p>
        </w:tc>
        <w:tc>
          <w:tcPr>
            <w:tcW w:w="10040" w:type="dxa"/>
            <w:vAlign w:val="bottom"/>
          </w:tcPr>
          <w:p>
            <w:pPr>
              <w:ind w:left="20"/>
              <w:spacing w:after="0"/>
              <w:rPr>
                <w:sz w:val="20"/>
                <w:szCs w:val="20"/>
                <w:color w:val="auto"/>
              </w:rPr>
            </w:pPr>
            <w:r>
              <w:rPr>
                <w:rFonts w:ascii="Arial" w:cs="Arial" w:eastAsia="Arial" w:hAnsi="Arial"/>
                <w:sz w:val="15"/>
                <w:szCs w:val="15"/>
                <w:color w:val="auto"/>
              </w:rPr>
              <w:t>XBRL Taxonomy Extension Definition Linkbase</w:t>
            </w:r>
          </w:p>
        </w:tc>
      </w:tr>
      <w:tr>
        <w:trPr>
          <w:trHeight w:val="245"/>
        </w:trPr>
        <w:tc>
          <w:tcPr>
            <w:tcW w:w="1380" w:type="dxa"/>
            <w:vAlign w:val="bottom"/>
            <w:gridSpan w:val="2"/>
          </w:tcPr>
          <w:p>
            <w:pPr>
              <w:ind w:left="20"/>
              <w:spacing w:after="0"/>
              <w:rPr>
                <w:sz w:val="20"/>
                <w:szCs w:val="20"/>
                <w:color w:val="auto"/>
              </w:rPr>
            </w:pPr>
            <w:r>
              <w:rPr>
                <w:rFonts w:ascii="Arial" w:cs="Arial" w:eastAsia="Arial" w:hAnsi="Arial"/>
                <w:sz w:val="15"/>
                <w:szCs w:val="15"/>
                <w:color w:val="auto"/>
              </w:rPr>
              <w:t>101.LAB*</w:t>
            </w:r>
          </w:p>
        </w:tc>
        <w:tc>
          <w:tcPr>
            <w:tcW w:w="10040" w:type="dxa"/>
            <w:vAlign w:val="bottom"/>
          </w:tcPr>
          <w:p>
            <w:pPr>
              <w:ind w:left="20"/>
              <w:spacing w:after="0"/>
              <w:rPr>
                <w:sz w:val="20"/>
                <w:szCs w:val="20"/>
                <w:color w:val="auto"/>
              </w:rPr>
            </w:pPr>
            <w:r>
              <w:rPr>
                <w:rFonts w:ascii="Arial" w:cs="Arial" w:eastAsia="Arial" w:hAnsi="Arial"/>
                <w:sz w:val="15"/>
                <w:szCs w:val="15"/>
                <w:color w:val="auto"/>
              </w:rPr>
              <w:t>XBRL Taxonomy Extension Label Linkbase</w:t>
            </w:r>
          </w:p>
        </w:tc>
      </w:tr>
    </w:tbl>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w:t>
      </w:r>
    </w:p>
    <w:p>
      <w:pPr>
        <w:ind w:left="260" w:hanging="237"/>
        <w:spacing w:after="0" w:line="229" w:lineRule="auto"/>
        <w:tabs>
          <w:tab w:leader="none" w:pos="260" w:val="left"/>
        </w:tabs>
        <w:numPr>
          <w:ilvl w:val="0"/>
          <w:numId w:val="43"/>
        </w:numPr>
        <w:rPr>
          <w:rFonts w:ascii="Arial" w:cs="Arial" w:eastAsia="Arial" w:hAnsi="Arial"/>
          <w:sz w:val="29"/>
          <w:szCs w:val="29"/>
          <w:color w:val="auto"/>
          <w:vertAlign w:val="subscript"/>
        </w:rPr>
      </w:pPr>
      <w:r>
        <w:rPr>
          <w:rFonts w:ascii="Arial" w:cs="Arial" w:eastAsia="Arial" w:hAnsi="Arial"/>
          <w:sz w:val="15"/>
          <w:szCs w:val="15"/>
          <w:color w:val="auto"/>
        </w:rPr>
        <w:t>Indicates management contract or compensatory plan or arrangement.</w:t>
      </w:r>
    </w:p>
    <w:p>
      <w:pPr>
        <w:ind w:left="260" w:hanging="237"/>
        <w:spacing w:after="0" w:line="195" w:lineRule="auto"/>
        <w:tabs>
          <w:tab w:leader="none" w:pos="260" w:val="left"/>
        </w:tabs>
        <w:numPr>
          <w:ilvl w:val="0"/>
          <w:numId w:val="44"/>
        </w:numPr>
        <w:rPr>
          <w:rFonts w:ascii="Arial" w:cs="Arial" w:eastAsia="Arial" w:hAnsi="Arial"/>
          <w:sz w:val="29"/>
          <w:szCs w:val="29"/>
          <w:color w:val="auto"/>
          <w:vertAlign w:val="subscript"/>
        </w:rPr>
      </w:pPr>
      <w:r>
        <w:rPr>
          <w:rFonts w:ascii="Arial" w:cs="Arial" w:eastAsia="Arial" w:hAnsi="Arial"/>
          <w:sz w:val="15"/>
          <w:szCs w:val="15"/>
          <w:color w:val="auto"/>
        </w:rPr>
        <w:t>Confidential treatment has been granted to portions of this exhibit by the Securities and Exchange Commission.</w:t>
      </w:r>
    </w:p>
    <w:p>
      <w:pPr>
        <w:ind w:left="260" w:hanging="237"/>
        <w:spacing w:after="0" w:line="194" w:lineRule="auto"/>
        <w:tabs>
          <w:tab w:leader="none" w:pos="260" w:val="left"/>
        </w:tabs>
        <w:numPr>
          <w:ilvl w:val="0"/>
          <w:numId w:val="45"/>
        </w:numPr>
        <w:rPr>
          <w:rFonts w:ascii="Arial" w:cs="Arial" w:eastAsia="Arial" w:hAnsi="Arial"/>
          <w:sz w:val="29"/>
          <w:szCs w:val="29"/>
          <w:color w:val="auto"/>
          <w:vertAlign w:val="subscript"/>
        </w:rPr>
      </w:pPr>
      <w:r>
        <w:rPr>
          <w:rFonts w:ascii="Arial" w:cs="Arial" w:eastAsia="Arial" w:hAnsi="Arial"/>
          <w:sz w:val="15"/>
          <w:szCs w:val="15"/>
          <w:color w:val="auto"/>
        </w:rPr>
        <w:t>Filed herewith.</w:t>
      </w:r>
    </w:p>
    <w:p>
      <w:pPr>
        <w:spacing w:after="0" w:line="345"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687"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5"/>
          <w:szCs w:val="15"/>
          <w:b w:val="1"/>
          <w:bCs w:val="1"/>
          <w:color w:val="auto"/>
        </w:rPr>
        <w:t>SIGNATURES</w:t>
      </w:r>
    </w:p>
    <w:p>
      <w:pPr>
        <w:spacing w:after="0" w:line="263" w:lineRule="exact"/>
        <w:rPr>
          <w:sz w:val="20"/>
          <w:szCs w:val="20"/>
          <w:color w:val="auto"/>
        </w:rPr>
      </w:pPr>
    </w:p>
    <w:p>
      <w:pPr>
        <w:jc w:val="both"/>
        <w:ind w:firstLine="454"/>
        <w:spacing w:after="0" w:line="245"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7460"/>
        <w:spacing w:after="0"/>
        <w:rPr>
          <w:sz w:val="20"/>
          <w:szCs w:val="20"/>
          <w:color w:val="auto"/>
        </w:rPr>
      </w:pPr>
      <w:r>
        <w:rPr>
          <w:rFonts w:ascii="Arial" w:cs="Arial" w:eastAsia="Arial" w:hAnsi="Arial"/>
          <w:sz w:val="15"/>
          <w:szCs w:val="15"/>
          <w:b w:val="1"/>
          <w:bCs w:val="1"/>
          <w:color w:val="auto"/>
        </w:rPr>
        <w:t>SABRE CORPORATION</w:t>
      </w:r>
    </w:p>
    <w:p>
      <w:pPr>
        <w:spacing w:after="0" w:line="312" w:lineRule="exact"/>
        <w:rPr>
          <w:sz w:val="20"/>
          <w:szCs w:val="20"/>
          <w:color w:val="auto"/>
        </w:rPr>
      </w:pPr>
    </w:p>
    <w:p>
      <w:pPr>
        <w:ind w:left="20"/>
        <w:spacing w:after="0"/>
        <w:tabs>
          <w:tab w:leader="none" w:pos="580" w:val="left"/>
          <w:tab w:leader="none" w:pos="7180" w:val="left"/>
        </w:tabs>
        <w:rPr>
          <w:sz w:val="20"/>
          <w:szCs w:val="20"/>
          <w:color w:val="auto"/>
        </w:rPr>
      </w:pPr>
      <w:r>
        <w:rPr>
          <w:rFonts w:ascii="Arial" w:cs="Arial" w:eastAsia="Arial" w:hAnsi="Arial"/>
          <w:sz w:val="15"/>
          <w:szCs w:val="15"/>
          <w:color w:val="auto"/>
        </w:rPr>
        <w:t>Date:</w:t>
        <w:tab/>
        <w:t>February 17, 2017</w:t>
      </w:r>
      <w:r>
        <w:rPr>
          <w:sz w:val="20"/>
          <w:szCs w:val="20"/>
          <w:color w:val="auto"/>
        </w:rPr>
        <w:tab/>
      </w:r>
      <w:r>
        <w:rPr>
          <w:rFonts w:ascii="Arial" w:cs="Arial" w:eastAsia="Arial" w:hAnsi="Arial"/>
          <w:sz w:val="14"/>
          <w:szCs w:val="14"/>
          <w:color w:val="auto"/>
        </w:rPr>
        <w:t>By: /s/ Richard A. Simonson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13970</wp:posOffset>
            </wp:positionV>
            <wp:extent cx="253936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9365" cy="7620"/>
                    </a:xfrm>
                    <a:prstGeom prst="rect">
                      <a:avLst/>
                    </a:prstGeom>
                    <a:noFill/>
                  </pic:spPr>
                </pic:pic>
              </a:graphicData>
            </a:graphic>
          </wp:anchor>
        </w:drawing>
      </w:r>
    </w:p>
    <w:p>
      <w:pPr>
        <w:spacing w:after="0" w:line="53"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Richard A. Simonson</w:t>
      </w:r>
    </w:p>
    <w:p>
      <w:pPr>
        <w:spacing w:after="0" w:line="73"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Executive Vice President and</w:t>
      </w:r>
    </w:p>
    <w:p>
      <w:pPr>
        <w:spacing w:after="0" w:line="73"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Chief Financial Officer</w:t>
      </w:r>
    </w:p>
    <w:p>
      <w:pPr>
        <w:spacing w:after="0" w:line="220" w:lineRule="exact"/>
        <w:rPr>
          <w:sz w:val="20"/>
          <w:szCs w:val="20"/>
          <w:color w:val="auto"/>
        </w:rPr>
      </w:pPr>
    </w:p>
    <w:p>
      <w:pPr>
        <w:jc w:val="both"/>
        <w:ind w:firstLine="454"/>
        <w:spacing w:after="0"/>
        <w:rPr>
          <w:sz w:val="20"/>
          <w:szCs w:val="20"/>
          <w:color w:val="auto"/>
        </w:rPr>
      </w:pPr>
      <w:r>
        <w:rPr>
          <w:rFonts w:ascii="Arial" w:cs="Arial" w:eastAsia="Arial" w:hAnsi="Arial"/>
          <w:sz w:val="15"/>
          <w:szCs w:val="15"/>
          <w:color w:val="auto"/>
        </w:rPr>
        <w:t>KNOW ALL MEN BY THESE PRESENTS, that each individual whose signature appears below constitutes and appoints Sean Menke, Richard A. Simonson, Rachel A. Gonzalez and Chris Nester, and each of them, his or her true and lawful attorney-in-fact and agent, with full power of substitution, for him or her and in his or her name, place and stead, in any and all capacities, to execute any or all amendments to this Annual Report on Form 10-K and to file the same, with all exhibits thereto, and all documents in connection therewith, with the Securities and Exchange Commission, granting unto said attorney-in-fact and agent,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his or her substitute or substitutes, may lawfully do or cause to be done by virtue hereof.</w:t>
      </w:r>
    </w:p>
    <w:p>
      <w:pPr>
        <w:spacing w:after="0" w:line="105" w:lineRule="exact"/>
        <w:rPr>
          <w:sz w:val="20"/>
          <w:szCs w:val="20"/>
          <w:color w:val="auto"/>
        </w:rPr>
      </w:pPr>
    </w:p>
    <w:p>
      <w:pPr>
        <w:ind w:right="200" w:firstLine="441"/>
        <w:spacing w:after="0" w:line="279"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Sean Menke</w:t>
            </w:r>
          </w:p>
        </w:tc>
        <w:tc>
          <w:tcPr>
            <w:tcW w:w="4780" w:type="dxa"/>
            <w:vAlign w:val="bottom"/>
          </w:tcPr>
          <w:p>
            <w:pPr>
              <w:ind w:left="360"/>
              <w:spacing w:after="0"/>
              <w:rPr>
                <w:sz w:val="20"/>
                <w:szCs w:val="20"/>
                <w:color w:val="auto"/>
              </w:rPr>
            </w:pPr>
            <w:r>
              <w:rPr>
                <w:rFonts w:ascii="Arial" w:cs="Arial" w:eastAsia="Arial" w:hAnsi="Arial"/>
                <w:sz w:val="15"/>
                <w:szCs w:val="15"/>
                <w:color w:val="auto"/>
              </w:rPr>
              <w:t>President and Chief Executive Officer and 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Sean Menke</w:t>
            </w:r>
          </w:p>
        </w:tc>
        <w:tc>
          <w:tcPr>
            <w:tcW w:w="4780" w:type="dxa"/>
            <w:vAlign w:val="bottom"/>
          </w:tcPr>
          <w:p>
            <w:pPr>
              <w:ind w:left="360"/>
              <w:spacing w:after="0"/>
              <w:rPr>
                <w:sz w:val="20"/>
                <w:szCs w:val="20"/>
                <w:color w:val="auto"/>
              </w:rPr>
            </w:pPr>
            <w:r>
              <w:rPr>
                <w:rFonts w:ascii="Arial" w:cs="Arial" w:eastAsia="Arial" w:hAnsi="Arial"/>
                <w:sz w:val="15"/>
                <w:szCs w:val="15"/>
                <w:color w:val="auto"/>
              </w:rPr>
              <w:t>(Principal Executive Officer)</w:t>
            </w:r>
          </w:p>
        </w:tc>
        <w:tc>
          <w:tcPr>
            <w:tcW w:w="2560" w:type="dxa"/>
            <w:vAlign w:val="bottom"/>
          </w:tcPr>
          <w:p>
            <w:pPr>
              <w:spacing w:after="0"/>
              <w:rPr>
                <w:sz w:val="17"/>
                <w:szCs w:val="17"/>
                <w:color w:val="auto"/>
              </w:rPr>
            </w:pPr>
          </w:p>
        </w:tc>
      </w:tr>
      <w:tr>
        <w:trPr>
          <w:trHeight w:val="45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Richard A. Simonson</w:t>
            </w:r>
          </w:p>
        </w:tc>
        <w:tc>
          <w:tcPr>
            <w:tcW w:w="4780" w:type="dxa"/>
            <w:vAlign w:val="bottom"/>
          </w:tcPr>
          <w:p>
            <w:pPr>
              <w:ind w:left="360"/>
              <w:spacing w:after="0"/>
              <w:rPr>
                <w:sz w:val="20"/>
                <w:szCs w:val="20"/>
                <w:color w:val="auto"/>
              </w:rPr>
            </w:pPr>
            <w:r>
              <w:rPr>
                <w:rFonts w:ascii="Arial" w:cs="Arial" w:eastAsia="Arial" w:hAnsi="Arial"/>
                <w:sz w:val="15"/>
                <w:szCs w:val="15"/>
                <w:color w:val="auto"/>
              </w:rPr>
              <w:t>Executive Vice President and Chief Financial Officer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Richard A. Simonson</w:t>
            </w:r>
          </w:p>
        </w:tc>
        <w:tc>
          <w:tcPr>
            <w:tcW w:w="4780" w:type="dxa"/>
            <w:vAlign w:val="bottom"/>
          </w:tcPr>
          <w:p>
            <w:pPr>
              <w:ind w:left="360"/>
              <w:spacing w:after="0"/>
              <w:rPr>
                <w:sz w:val="20"/>
                <w:szCs w:val="20"/>
                <w:color w:val="auto"/>
              </w:rPr>
            </w:pPr>
            <w:r>
              <w:rPr>
                <w:rFonts w:ascii="Arial" w:cs="Arial" w:eastAsia="Arial" w:hAnsi="Arial"/>
                <w:sz w:val="15"/>
                <w:szCs w:val="15"/>
                <w:color w:val="auto"/>
              </w:rPr>
              <w:t>(Principal Financial Officer)</w:t>
            </w:r>
          </w:p>
        </w:tc>
        <w:tc>
          <w:tcPr>
            <w:tcW w:w="2560" w:type="dxa"/>
            <w:vAlign w:val="bottom"/>
          </w:tcPr>
          <w:p>
            <w:pPr>
              <w:spacing w:after="0"/>
              <w:rPr>
                <w:sz w:val="17"/>
                <w:szCs w:val="17"/>
                <w:color w:val="auto"/>
              </w:rPr>
            </w:pPr>
          </w:p>
        </w:tc>
      </w:tr>
      <w:tr>
        <w:trPr>
          <w:trHeight w:val="45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Jami B. Kindle</w:t>
            </w:r>
          </w:p>
        </w:tc>
        <w:tc>
          <w:tcPr>
            <w:tcW w:w="4780" w:type="dxa"/>
            <w:vAlign w:val="bottom"/>
          </w:tcPr>
          <w:p>
            <w:pPr>
              <w:ind w:left="360"/>
              <w:spacing w:after="0"/>
              <w:rPr>
                <w:sz w:val="20"/>
                <w:szCs w:val="20"/>
                <w:color w:val="auto"/>
              </w:rPr>
            </w:pPr>
            <w:r>
              <w:rPr>
                <w:rFonts w:ascii="Arial" w:cs="Arial" w:eastAsia="Arial" w:hAnsi="Arial"/>
                <w:sz w:val="15"/>
                <w:szCs w:val="15"/>
                <w:color w:val="auto"/>
              </w:rPr>
              <w:t>Vice President and Corporate Controller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Jami B. Kindle</w:t>
            </w:r>
          </w:p>
        </w:tc>
        <w:tc>
          <w:tcPr>
            <w:tcW w:w="4780" w:type="dxa"/>
            <w:vAlign w:val="bottom"/>
          </w:tcPr>
          <w:p>
            <w:pPr>
              <w:ind w:left="360"/>
              <w:spacing w:after="0"/>
              <w:rPr>
                <w:sz w:val="20"/>
                <w:szCs w:val="20"/>
                <w:color w:val="auto"/>
              </w:rPr>
            </w:pPr>
            <w:r>
              <w:rPr>
                <w:rFonts w:ascii="Arial" w:cs="Arial" w:eastAsia="Arial" w:hAnsi="Arial"/>
                <w:sz w:val="15"/>
                <w:szCs w:val="15"/>
                <w:color w:val="auto"/>
              </w:rPr>
              <w:t>(Principal Accounting Officer)</w:t>
            </w:r>
          </w:p>
        </w:tc>
        <w:tc>
          <w:tcPr>
            <w:tcW w:w="2560" w:type="dxa"/>
            <w:vAlign w:val="bottom"/>
          </w:tcPr>
          <w:p>
            <w:pPr>
              <w:spacing w:after="0"/>
              <w:rPr>
                <w:sz w:val="17"/>
                <w:szCs w:val="17"/>
                <w:color w:val="auto"/>
              </w:rPr>
            </w:pPr>
          </w:p>
        </w:tc>
      </w:tr>
      <w:tr>
        <w:trPr>
          <w:trHeight w:val="43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Lawrence W. Kellner</w:t>
            </w:r>
          </w:p>
        </w:tc>
        <w:tc>
          <w:tcPr>
            <w:tcW w:w="4780" w:type="dxa"/>
            <w:vAlign w:val="bottom"/>
          </w:tcPr>
          <w:p>
            <w:pPr>
              <w:ind w:left="360"/>
              <w:spacing w:after="0"/>
              <w:rPr>
                <w:sz w:val="20"/>
                <w:szCs w:val="20"/>
                <w:color w:val="auto"/>
              </w:rPr>
            </w:pPr>
            <w:r>
              <w:rPr>
                <w:rFonts w:ascii="Arial" w:cs="Arial" w:eastAsia="Arial" w:hAnsi="Arial"/>
                <w:sz w:val="15"/>
                <w:szCs w:val="15"/>
                <w:color w:val="auto"/>
              </w:rPr>
              <w:t>Executive Chairman of the Board and 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Lawrence W. Kellner</w:t>
            </w:r>
          </w:p>
        </w:tc>
        <w:tc>
          <w:tcPr>
            <w:tcW w:w="47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5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George Bravante, Jr.</w:t>
            </w:r>
          </w:p>
        </w:tc>
        <w:tc>
          <w:tcPr>
            <w:tcW w:w="4780" w:type="dxa"/>
            <w:vAlign w:val="bottom"/>
          </w:tcPr>
          <w:p>
            <w:pPr>
              <w:ind w:left="360"/>
              <w:spacing w:after="0"/>
              <w:rPr>
                <w:sz w:val="20"/>
                <w:szCs w:val="20"/>
                <w:color w:val="auto"/>
              </w:rPr>
            </w:pPr>
            <w:r>
              <w:rPr>
                <w:rFonts w:ascii="Arial" w:cs="Arial" w:eastAsia="Arial" w:hAnsi="Arial"/>
                <w:sz w:val="15"/>
                <w:szCs w:val="15"/>
                <w:color w:val="auto"/>
              </w:rPr>
              <w:t>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George Bravante, Jr.</w:t>
            </w:r>
          </w:p>
        </w:tc>
        <w:tc>
          <w:tcPr>
            <w:tcW w:w="47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3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Renée James</w:t>
            </w:r>
          </w:p>
        </w:tc>
        <w:tc>
          <w:tcPr>
            <w:tcW w:w="4780" w:type="dxa"/>
            <w:vAlign w:val="bottom"/>
          </w:tcPr>
          <w:p>
            <w:pPr>
              <w:ind w:left="360"/>
              <w:spacing w:after="0"/>
              <w:rPr>
                <w:sz w:val="20"/>
                <w:szCs w:val="20"/>
                <w:color w:val="auto"/>
              </w:rPr>
            </w:pPr>
            <w:r>
              <w:rPr>
                <w:rFonts w:ascii="Arial" w:cs="Arial" w:eastAsia="Arial" w:hAnsi="Arial"/>
                <w:sz w:val="15"/>
                <w:szCs w:val="15"/>
                <w:color w:val="auto"/>
              </w:rPr>
              <w:t>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Renée James</w:t>
            </w:r>
          </w:p>
        </w:tc>
        <w:tc>
          <w:tcPr>
            <w:tcW w:w="47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5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Gary Kusin</w:t>
            </w:r>
          </w:p>
        </w:tc>
        <w:tc>
          <w:tcPr>
            <w:tcW w:w="4780" w:type="dxa"/>
            <w:vAlign w:val="bottom"/>
          </w:tcPr>
          <w:p>
            <w:pPr>
              <w:ind w:left="360"/>
              <w:spacing w:after="0"/>
              <w:rPr>
                <w:sz w:val="20"/>
                <w:szCs w:val="20"/>
                <w:color w:val="auto"/>
              </w:rPr>
            </w:pPr>
            <w:r>
              <w:rPr>
                <w:rFonts w:ascii="Arial" w:cs="Arial" w:eastAsia="Arial" w:hAnsi="Arial"/>
                <w:sz w:val="15"/>
                <w:szCs w:val="15"/>
                <w:color w:val="auto"/>
              </w:rPr>
              <w:t>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Gary Kusin</w:t>
            </w:r>
          </w:p>
        </w:tc>
        <w:tc>
          <w:tcPr>
            <w:tcW w:w="47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5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Greg Mondre</w:t>
            </w:r>
          </w:p>
        </w:tc>
        <w:tc>
          <w:tcPr>
            <w:tcW w:w="4780" w:type="dxa"/>
            <w:vAlign w:val="bottom"/>
          </w:tcPr>
          <w:p>
            <w:pPr>
              <w:ind w:left="360"/>
              <w:spacing w:after="0"/>
              <w:rPr>
                <w:sz w:val="20"/>
                <w:szCs w:val="20"/>
                <w:color w:val="auto"/>
              </w:rPr>
            </w:pPr>
            <w:r>
              <w:rPr>
                <w:rFonts w:ascii="Arial" w:cs="Arial" w:eastAsia="Arial" w:hAnsi="Arial"/>
                <w:sz w:val="15"/>
                <w:szCs w:val="15"/>
                <w:color w:val="auto"/>
              </w:rPr>
              <w:t>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Greg Mondre</w:t>
            </w:r>
          </w:p>
        </w:tc>
        <w:tc>
          <w:tcPr>
            <w:tcW w:w="47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5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Judy Odom</w:t>
            </w:r>
          </w:p>
        </w:tc>
        <w:tc>
          <w:tcPr>
            <w:tcW w:w="4780" w:type="dxa"/>
            <w:vAlign w:val="bottom"/>
          </w:tcPr>
          <w:p>
            <w:pPr>
              <w:ind w:left="360"/>
              <w:spacing w:after="0"/>
              <w:rPr>
                <w:sz w:val="20"/>
                <w:szCs w:val="20"/>
                <w:color w:val="auto"/>
              </w:rPr>
            </w:pPr>
            <w:r>
              <w:rPr>
                <w:rFonts w:ascii="Arial" w:cs="Arial" w:eastAsia="Arial" w:hAnsi="Arial"/>
                <w:sz w:val="15"/>
                <w:szCs w:val="15"/>
                <w:color w:val="auto"/>
              </w:rPr>
              <w:t>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Judy Odom</w:t>
            </w:r>
          </w:p>
        </w:tc>
        <w:tc>
          <w:tcPr>
            <w:tcW w:w="47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5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Joseph Osnoss</w:t>
            </w:r>
          </w:p>
        </w:tc>
        <w:tc>
          <w:tcPr>
            <w:tcW w:w="4780" w:type="dxa"/>
            <w:vAlign w:val="bottom"/>
          </w:tcPr>
          <w:p>
            <w:pPr>
              <w:ind w:left="360"/>
              <w:spacing w:after="0"/>
              <w:rPr>
                <w:sz w:val="20"/>
                <w:szCs w:val="20"/>
                <w:color w:val="auto"/>
              </w:rPr>
            </w:pPr>
            <w:r>
              <w:rPr>
                <w:rFonts w:ascii="Arial" w:cs="Arial" w:eastAsia="Arial" w:hAnsi="Arial"/>
                <w:sz w:val="15"/>
                <w:szCs w:val="15"/>
                <w:color w:val="auto"/>
              </w:rPr>
              <w:t>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Joseph Osnoss</w:t>
            </w:r>
          </w:p>
        </w:tc>
        <w:tc>
          <w:tcPr>
            <w:tcW w:w="47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5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Karl Peterson</w:t>
            </w:r>
          </w:p>
        </w:tc>
        <w:tc>
          <w:tcPr>
            <w:tcW w:w="4780" w:type="dxa"/>
            <w:vAlign w:val="bottom"/>
          </w:tcPr>
          <w:p>
            <w:pPr>
              <w:ind w:left="360"/>
              <w:spacing w:after="0"/>
              <w:rPr>
                <w:sz w:val="20"/>
                <w:szCs w:val="20"/>
                <w:color w:val="auto"/>
              </w:rPr>
            </w:pPr>
            <w:r>
              <w:rPr>
                <w:rFonts w:ascii="Arial" w:cs="Arial" w:eastAsia="Arial" w:hAnsi="Arial"/>
                <w:sz w:val="15"/>
                <w:szCs w:val="15"/>
                <w:color w:val="auto"/>
              </w:rPr>
              <w:t>Director</w:t>
            </w:r>
          </w:p>
        </w:tc>
        <w:tc>
          <w:tcPr>
            <w:tcW w:w="2560" w:type="dxa"/>
            <w:vAlign w:val="bottom"/>
          </w:tcPr>
          <w:p>
            <w:pPr>
              <w:ind w:left="1340"/>
              <w:spacing w:after="0"/>
              <w:rPr>
                <w:sz w:val="20"/>
                <w:szCs w:val="20"/>
                <w:color w:val="auto"/>
              </w:rPr>
            </w:pPr>
            <w:r>
              <w:rPr>
                <w:rFonts w:ascii="Arial" w:cs="Arial" w:eastAsia="Arial" w:hAnsi="Arial"/>
                <w:sz w:val="15"/>
                <w:szCs w:val="15"/>
                <w:color w:val="auto"/>
                <w:w w:val="97"/>
              </w:rPr>
              <w:t>February 17, 2017</w:t>
            </w:r>
          </w:p>
        </w:tc>
      </w:tr>
      <w:tr>
        <w:trPr>
          <w:trHeight w:val="203"/>
        </w:trPr>
        <w:tc>
          <w:tcPr>
            <w:tcW w:w="3460" w:type="dxa"/>
            <w:vAlign w:val="bottom"/>
          </w:tcPr>
          <w:p>
            <w:pPr>
              <w:ind w:left="20"/>
              <w:spacing w:after="0"/>
              <w:rPr>
                <w:sz w:val="20"/>
                <w:szCs w:val="20"/>
                <w:color w:val="auto"/>
              </w:rPr>
            </w:pPr>
            <w:r>
              <w:rPr>
                <w:rFonts w:ascii="Arial" w:cs="Arial" w:eastAsia="Arial" w:hAnsi="Arial"/>
                <w:sz w:val="15"/>
                <w:szCs w:val="15"/>
                <w:color w:val="auto"/>
              </w:rPr>
              <w:t>Karl Peterson</w:t>
            </w:r>
          </w:p>
        </w:tc>
        <w:tc>
          <w:tcPr>
            <w:tcW w:w="478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50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Zane Rowe</w:t>
            </w:r>
          </w:p>
        </w:tc>
        <w:tc>
          <w:tcPr>
            <w:tcW w:w="4780" w:type="dxa"/>
            <w:vAlign w:val="bottom"/>
          </w:tcPr>
          <w:p>
            <w:pPr>
              <w:ind w:left="360"/>
              <w:spacing w:after="0"/>
              <w:rPr>
                <w:sz w:val="20"/>
                <w:szCs w:val="20"/>
                <w:color w:val="auto"/>
              </w:rPr>
            </w:pPr>
            <w:r>
              <w:rPr>
                <w:rFonts w:ascii="Arial" w:cs="Arial" w:eastAsia="Arial" w:hAnsi="Arial"/>
                <w:sz w:val="15"/>
                <w:szCs w:val="15"/>
                <w:color w:val="auto"/>
              </w:rPr>
              <w:t>Director</w:t>
            </w:r>
          </w:p>
        </w:tc>
        <w:tc>
          <w:tcPr>
            <w:tcW w:w="2560" w:type="dxa"/>
            <w:vAlign w:val="bottom"/>
          </w:tcPr>
          <w:p>
            <w:pPr>
              <w:ind w:left="1000"/>
              <w:spacing w:after="0"/>
              <w:rPr>
                <w:sz w:val="20"/>
                <w:szCs w:val="20"/>
                <w:color w:val="auto"/>
              </w:rPr>
            </w:pPr>
            <w:r>
              <w:rPr>
                <w:rFonts w:ascii="Arial" w:cs="Arial" w:eastAsia="Arial" w:hAnsi="Arial"/>
                <w:sz w:val="15"/>
                <w:szCs w:val="15"/>
                <w:color w:val="auto"/>
              </w:rPr>
              <w:t>February 17, 2017</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Zane Rowe</w:t>
            </w:r>
          </w:p>
        </w:tc>
        <w:tc>
          <w:tcPr>
            <w:tcW w:w="47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17"/>
        </w:trPr>
        <w:tc>
          <w:tcPr>
            <w:tcW w:w="3460" w:type="dxa"/>
            <w:vAlign w:val="bottom"/>
          </w:tcPr>
          <w:p>
            <w:pPr>
              <w:spacing w:after="0"/>
              <w:rPr>
                <w:sz w:val="24"/>
                <w:szCs w:val="24"/>
                <w:color w:val="auto"/>
              </w:rPr>
            </w:pPr>
          </w:p>
        </w:tc>
        <w:tc>
          <w:tcPr>
            <w:tcW w:w="4780" w:type="dxa"/>
            <w:vAlign w:val="bottom"/>
          </w:tcPr>
          <w:p>
            <w:pPr>
              <w:ind w:left="2140"/>
              <w:spacing w:after="0"/>
              <w:rPr>
                <w:sz w:val="20"/>
                <w:szCs w:val="20"/>
                <w:color w:val="auto"/>
              </w:rPr>
            </w:pPr>
            <w:r>
              <w:rPr>
                <w:rFonts w:ascii="Arial" w:cs="Arial" w:eastAsia="Arial" w:hAnsi="Arial"/>
                <w:sz w:val="15"/>
                <w:szCs w:val="15"/>
                <w:color w:val="auto"/>
              </w:rPr>
              <w:t>111</w:t>
            </w:r>
          </w:p>
        </w:tc>
        <w:tc>
          <w:tcPr>
            <w:tcW w:w="2560" w:type="dxa"/>
            <w:vAlign w:val="bottom"/>
          </w:tcPr>
          <w:p>
            <w:pPr>
              <w:spacing w:after="0"/>
              <w:rPr>
                <w:sz w:val="24"/>
                <w:szCs w:val="24"/>
                <w:color w:val="auto"/>
              </w:rPr>
            </w:pPr>
          </w:p>
        </w:tc>
      </w:tr>
    </w:tbl>
    <w:p>
      <w:pPr>
        <w:sectPr>
          <w:pgSz w:w="11900" w:h="16838" w:orient="portrait"/>
          <w:cols w:equalWidth="0" w:num="1">
            <w:col w:w="11420"/>
          </w:cols>
          <w:pgMar w:left="240" w:top="54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5"/>
          <w:szCs w:val="15"/>
          <w:b w:val="1"/>
          <w:bCs w:val="1"/>
          <w:color w:val="auto"/>
        </w:rPr>
        <w:t>SABRE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II — VALUATION AND QUALIFYING ACCOUNTS</w:t>
      </w:r>
    </w:p>
    <w:p>
      <w:pPr>
        <w:jc w:val="center"/>
        <w:spacing w:after="0"/>
        <w:rPr>
          <w:sz w:val="20"/>
          <w:szCs w:val="20"/>
          <w:color w:val="auto"/>
        </w:rPr>
      </w:pPr>
      <w:r>
        <w:rPr>
          <w:rFonts w:ascii="Arial" w:cs="Arial" w:eastAsia="Arial" w:hAnsi="Arial"/>
          <w:sz w:val="15"/>
          <w:szCs w:val="15"/>
          <w:b w:val="1"/>
          <w:bCs w:val="1"/>
          <w:color w:val="auto"/>
        </w:rPr>
        <w:t>DECEMBER 31, 2016, 2015 AND 2014</w:t>
      </w:r>
    </w:p>
    <w:p>
      <w:pPr>
        <w:jc w:val="center"/>
        <w:spacing w:after="0"/>
        <w:rPr>
          <w:sz w:val="20"/>
          <w:szCs w:val="20"/>
          <w:color w:val="auto"/>
        </w:rPr>
      </w:pPr>
      <w:r>
        <w:rPr>
          <w:rFonts w:ascii="Arial" w:cs="Arial" w:eastAsia="Arial" w:hAnsi="Arial"/>
          <w:sz w:val="15"/>
          <w:szCs w:val="15"/>
          <w:b w:val="1"/>
          <w:bCs w:val="1"/>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Charged to</w:t>
            </w: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23"/>
        </w:trPr>
        <w:tc>
          <w:tcPr>
            <w:tcW w:w="4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Balance at</w:t>
            </w:r>
          </w:p>
        </w:tc>
        <w:tc>
          <w:tcPr>
            <w:tcW w:w="180" w:type="dxa"/>
            <w:vAlign w:val="bottom"/>
          </w:tcPr>
          <w:p>
            <w:pPr>
              <w:spacing w:after="0"/>
              <w:rPr>
                <w:sz w:val="10"/>
                <w:szCs w:val="10"/>
                <w:color w:val="auto"/>
              </w:rPr>
            </w:pPr>
          </w:p>
        </w:tc>
        <w:tc>
          <w:tcPr>
            <w:tcW w:w="1300" w:type="dxa"/>
            <w:vAlign w:val="bottom"/>
            <w:gridSpan w:val="2"/>
          </w:tcPr>
          <w:p>
            <w:pPr>
              <w:jc w:val="center"/>
              <w:ind w:right="300"/>
              <w:spacing w:after="0" w:line="123" w:lineRule="exact"/>
              <w:rPr>
                <w:sz w:val="20"/>
                <w:szCs w:val="20"/>
                <w:color w:val="auto"/>
              </w:rPr>
            </w:pPr>
            <w:r>
              <w:rPr>
                <w:rFonts w:ascii="Arial" w:cs="Arial" w:eastAsia="Arial" w:hAnsi="Arial"/>
                <w:sz w:val="11"/>
                <w:szCs w:val="11"/>
                <w:b w:val="1"/>
                <w:bCs w:val="1"/>
                <w:color w:val="auto"/>
              </w:rPr>
              <w:t>Expense or</w:t>
            </w:r>
          </w:p>
        </w:tc>
        <w:tc>
          <w:tcPr>
            <w:tcW w:w="200" w:type="dxa"/>
            <w:vAlign w:val="bottom"/>
          </w:tcPr>
          <w:p>
            <w:pPr>
              <w:spacing w:after="0"/>
              <w:rPr>
                <w:sz w:val="10"/>
                <w:szCs w:val="10"/>
                <w:color w:val="auto"/>
              </w:rPr>
            </w:pPr>
          </w:p>
        </w:tc>
        <w:tc>
          <w:tcPr>
            <w:tcW w:w="1500" w:type="dxa"/>
            <w:vAlign w:val="bottom"/>
            <w:gridSpan w:val="2"/>
          </w:tcPr>
          <w:p>
            <w:pPr>
              <w:jc w:val="center"/>
              <w:ind w:right="320"/>
              <w:spacing w:after="0" w:line="123" w:lineRule="exact"/>
              <w:rPr>
                <w:sz w:val="20"/>
                <w:szCs w:val="20"/>
                <w:color w:val="auto"/>
              </w:rPr>
            </w:pPr>
            <w:r>
              <w:rPr>
                <w:rFonts w:ascii="Arial" w:cs="Arial" w:eastAsia="Arial" w:hAnsi="Arial"/>
                <w:sz w:val="11"/>
                <w:szCs w:val="11"/>
                <w:b w:val="1"/>
                <w:bCs w:val="1"/>
                <w:color w:val="auto"/>
              </w:rPr>
              <w:t>Write-offs and</w:t>
            </w:r>
          </w:p>
        </w:tc>
        <w:tc>
          <w:tcPr>
            <w:tcW w:w="160" w:type="dxa"/>
            <w:vAlign w:val="bottom"/>
          </w:tcPr>
          <w:p>
            <w:pPr>
              <w:spacing w:after="0"/>
              <w:rPr>
                <w:sz w:val="10"/>
                <w:szCs w:val="10"/>
                <w:color w:val="auto"/>
              </w:rPr>
            </w:pPr>
          </w:p>
        </w:tc>
        <w:tc>
          <w:tcPr>
            <w:tcW w:w="1060" w:type="dxa"/>
            <w:vAlign w:val="bottom"/>
          </w:tcPr>
          <w:p>
            <w:pPr>
              <w:jc w:val="right"/>
              <w:ind w:right="249"/>
              <w:spacing w:after="0" w:line="123" w:lineRule="exact"/>
              <w:rPr>
                <w:sz w:val="20"/>
                <w:szCs w:val="20"/>
                <w:color w:val="auto"/>
              </w:rPr>
            </w:pPr>
            <w:r>
              <w:rPr>
                <w:rFonts w:ascii="Arial" w:cs="Arial" w:eastAsia="Arial" w:hAnsi="Arial"/>
                <w:sz w:val="11"/>
                <w:szCs w:val="11"/>
                <w:b w:val="1"/>
                <w:bCs w:val="1"/>
                <w:color w:val="auto"/>
              </w:rPr>
              <w:t>Balance at</w:t>
            </w:r>
          </w:p>
        </w:tc>
      </w:tr>
      <w:tr>
        <w:trPr>
          <w:trHeight w:val="159"/>
        </w:trPr>
        <w:tc>
          <w:tcPr>
            <w:tcW w:w="4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Beginning</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Other Accounts</w:t>
            </w:r>
          </w:p>
        </w:tc>
        <w:tc>
          <w:tcPr>
            <w:tcW w:w="20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Other Adjustments</w:t>
            </w:r>
          </w:p>
        </w:tc>
        <w:tc>
          <w:tcPr>
            <w:tcW w:w="160" w:type="dxa"/>
            <w:vAlign w:val="bottom"/>
          </w:tcPr>
          <w:p>
            <w:pPr>
              <w:spacing w:after="0"/>
              <w:rPr>
                <w:sz w:val="13"/>
                <w:szCs w:val="13"/>
                <w:color w:val="auto"/>
              </w:rPr>
            </w:pPr>
          </w:p>
        </w:tc>
        <w:tc>
          <w:tcPr>
            <w:tcW w:w="1060" w:type="dxa"/>
            <w:vAlign w:val="bottom"/>
          </w:tcPr>
          <w:p>
            <w:pPr>
              <w:jc w:val="right"/>
              <w:ind w:right="169"/>
              <w:spacing w:after="0"/>
              <w:rPr>
                <w:sz w:val="20"/>
                <w:szCs w:val="20"/>
                <w:color w:val="auto"/>
              </w:rPr>
            </w:pPr>
            <w:r>
              <w:rPr>
                <w:rFonts w:ascii="Arial" w:cs="Arial" w:eastAsia="Arial" w:hAnsi="Arial"/>
                <w:sz w:val="11"/>
                <w:szCs w:val="11"/>
                <w:b w:val="1"/>
                <w:bCs w:val="1"/>
                <w:color w:val="auto"/>
              </w:rPr>
              <w:t>End of Period</w:t>
            </w:r>
          </w:p>
        </w:tc>
      </w:tr>
      <w:tr>
        <w:trPr>
          <w:trHeight w:val="213"/>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Allowance for Doubtful Accounts</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37"/>
        </w:trPr>
        <w:tc>
          <w:tcPr>
            <w:tcW w:w="4260" w:type="dxa"/>
            <w:vAlign w:val="bottom"/>
          </w:tcPr>
          <w:p>
            <w:pPr>
              <w:ind w:left="240"/>
              <w:spacing w:after="0"/>
              <w:rPr>
                <w:sz w:val="20"/>
                <w:szCs w:val="20"/>
                <w:color w:val="auto"/>
              </w:rPr>
            </w:pPr>
            <w:r>
              <w:rPr>
                <w:rFonts w:ascii="Arial" w:cs="Arial" w:eastAsia="Arial" w:hAnsi="Arial"/>
                <w:sz w:val="15"/>
                <w:szCs w:val="15"/>
                <w:color w:val="auto"/>
              </w:rPr>
              <w:t>Year ended December 31, 2016</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32.3</w:t>
            </w:r>
          </w:p>
        </w:tc>
        <w:tc>
          <w:tcPr>
            <w:tcW w:w="120" w:type="dxa"/>
            <w:vAlign w:val="bottom"/>
          </w:tcPr>
          <w:p>
            <w:pPr>
              <w:spacing w:after="0"/>
              <w:rPr>
                <w:sz w:val="20"/>
                <w:szCs w:val="20"/>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20"/>
                <w:szCs w:val="20"/>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37.1</w:t>
            </w:r>
          </w:p>
        </w:tc>
      </w:tr>
      <w:tr>
        <w:trPr>
          <w:trHeight w:val="254"/>
        </w:trPr>
        <w:tc>
          <w:tcPr>
            <w:tcW w:w="42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Year ended December 31, 2015</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27.5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8.6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32.3</w:t>
            </w:r>
          </w:p>
        </w:tc>
      </w:tr>
      <w:tr>
        <w:trPr>
          <w:trHeight w:val="237"/>
        </w:trPr>
        <w:tc>
          <w:tcPr>
            <w:tcW w:w="4260" w:type="dxa"/>
            <w:vAlign w:val="bottom"/>
          </w:tcPr>
          <w:p>
            <w:pPr>
              <w:ind w:left="240"/>
              <w:spacing w:after="0"/>
              <w:rPr>
                <w:sz w:val="20"/>
                <w:szCs w:val="20"/>
                <w:color w:val="auto"/>
              </w:rPr>
            </w:pPr>
            <w:r>
              <w:rPr>
                <w:rFonts w:ascii="Arial" w:cs="Arial" w:eastAsia="Arial" w:hAnsi="Arial"/>
                <w:sz w:val="15"/>
                <w:szCs w:val="15"/>
                <w:color w:val="auto"/>
              </w:rPr>
              <w:t>Year ended December 31, 2014</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25.9</w:t>
            </w:r>
          </w:p>
        </w:tc>
        <w:tc>
          <w:tcPr>
            <w:tcW w:w="120" w:type="dxa"/>
            <w:vAlign w:val="bottom"/>
          </w:tcPr>
          <w:p>
            <w:pPr>
              <w:spacing w:after="0"/>
              <w:rPr>
                <w:sz w:val="20"/>
                <w:szCs w:val="20"/>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20"/>
                <w:szCs w:val="20"/>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27.5</w:t>
            </w:r>
          </w:p>
        </w:tc>
      </w:tr>
      <w:tr>
        <w:trPr>
          <w:trHeight w:val="23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Valuation Allowance for Deferred Tax Assets</w:t>
            </w:r>
          </w:p>
        </w:tc>
        <w:tc>
          <w:tcPr>
            <w:tcW w:w="15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7"/>
        </w:trPr>
        <w:tc>
          <w:tcPr>
            <w:tcW w:w="4260" w:type="dxa"/>
            <w:vAlign w:val="bottom"/>
          </w:tcPr>
          <w:p>
            <w:pPr>
              <w:ind w:left="240"/>
              <w:spacing w:after="0"/>
              <w:rPr>
                <w:sz w:val="20"/>
                <w:szCs w:val="20"/>
                <w:color w:val="auto"/>
              </w:rPr>
            </w:pPr>
            <w:r>
              <w:rPr>
                <w:rFonts w:ascii="Arial" w:cs="Arial" w:eastAsia="Arial" w:hAnsi="Arial"/>
                <w:sz w:val="15"/>
                <w:szCs w:val="15"/>
                <w:color w:val="auto"/>
              </w:rPr>
              <w:t>Year ended December 31, 2016</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80.7</w:t>
            </w:r>
          </w:p>
        </w:tc>
        <w:tc>
          <w:tcPr>
            <w:tcW w:w="120" w:type="dxa"/>
            <w:vAlign w:val="bottom"/>
          </w:tcPr>
          <w:p>
            <w:pPr>
              <w:spacing w:after="0"/>
              <w:rPr>
                <w:sz w:val="20"/>
                <w:szCs w:val="20"/>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0"/>
                <w:szCs w:val="20"/>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74.5</w:t>
            </w:r>
          </w:p>
        </w:tc>
      </w:tr>
      <w:tr>
        <w:trPr>
          <w:trHeight w:val="254"/>
        </w:trPr>
        <w:tc>
          <w:tcPr>
            <w:tcW w:w="42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Year ended December 31, 2015</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160.0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80.7</w:t>
            </w:r>
          </w:p>
        </w:tc>
      </w:tr>
      <w:tr>
        <w:trPr>
          <w:trHeight w:val="237"/>
        </w:trPr>
        <w:tc>
          <w:tcPr>
            <w:tcW w:w="4260" w:type="dxa"/>
            <w:vAlign w:val="bottom"/>
          </w:tcPr>
          <w:p>
            <w:pPr>
              <w:ind w:left="240"/>
              <w:spacing w:after="0"/>
              <w:rPr>
                <w:sz w:val="20"/>
                <w:szCs w:val="20"/>
                <w:color w:val="auto"/>
              </w:rPr>
            </w:pPr>
            <w:r>
              <w:rPr>
                <w:rFonts w:ascii="Arial" w:cs="Arial" w:eastAsia="Arial" w:hAnsi="Arial"/>
                <w:sz w:val="15"/>
                <w:szCs w:val="15"/>
                <w:color w:val="auto"/>
              </w:rPr>
              <w:t>Year ended December 31, 2014</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253.1</w:t>
            </w:r>
          </w:p>
        </w:tc>
        <w:tc>
          <w:tcPr>
            <w:tcW w:w="120" w:type="dxa"/>
            <w:vAlign w:val="bottom"/>
          </w:tcPr>
          <w:p>
            <w:pPr>
              <w:spacing w:after="0"/>
              <w:rPr>
                <w:sz w:val="20"/>
                <w:szCs w:val="20"/>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(79.3)</w:t>
            </w:r>
          </w:p>
        </w:tc>
        <w:tc>
          <w:tcPr>
            <w:tcW w:w="120" w:type="dxa"/>
            <w:vAlign w:val="bottom"/>
          </w:tcPr>
          <w:p>
            <w:pPr>
              <w:spacing w:after="0"/>
              <w:rPr>
                <w:sz w:val="20"/>
                <w:szCs w:val="20"/>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160.0</w:t>
            </w:r>
          </w:p>
        </w:tc>
      </w:tr>
      <w:tr>
        <w:trPr>
          <w:trHeight w:val="23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Reserve for Value-Added Tax Receivables</w:t>
            </w:r>
          </w:p>
        </w:tc>
        <w:tc>
          <w:tcPr>
            <w:tcW w:w="15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7"/>
        </w:trPr>
        <w:tc>
          <w:tcPr>
            <w:tcW w:w="4260" w:type="dxa"/>
            <w:vAlign w:val="bottom"/>
          </w:tcPr>
          <w:p>
            <w:pPr>
              <w:ind w:left="240"/>
              <w:spacing w:after="0"/>
              <w:rPr>
                <w:sz w:val="20"/>
                <w:szCs w:val="20"/>
                <w:color w:val="auto"/>
              </w:rPr>
            </w:pPr>
            <w:r>
              <w:rPr>
                <w:rFonts w:ascii="Arial" w:cs="Arial" w:eastAsia="Arial" w:hAnsi="Arial"/>
                <w:sz w:val="15"/>
                <w:szCs w:val="15"/>
                <w:color w:val="auto"/>
              </w:rPr>
              <w:t>Year ended December 31, 2016</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0"/>
                <w:szCs w:val="20"/>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0"/>
                <w:szCs w:val="20"/>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29"/>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0.3</w:t>
            </w:r>
          </w:p>
        </w:tc>
      </w:tr>
      <w:tr>
        <w:trPr>
          <w:trHeight w:val="254"/>
        </w:trPr>
        <w:tc>
          <w:tcPr>
            <w:tcW w:w="42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Year ended December 31, 2015</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1.8</w:t>
            </w:r>
          </w:p>
        </w:tc>
      </w:tr>
      <w:tr>
        <w:trPr>
          <w:trHeight w:val="228"/>
        </w:trPr>
        <w:tc>
          <w:tcPr>
            <w:tcW w:w="4260" w:type="dxa"/>
            <w:vAlign w:val="bottom"/>
          </w:tcPr>
          <w:p>
            <w:pPr>
              <w:ind w:left="240"/>
              <w:spacing w:after="0"/>
              <w:rPr>
                <w:sz w:val="20"/>
                <w:szCs w:val="20"/>
                <w:color w:val="auto"/>
              </w:rPr>
            </w:pPr>
            <w:r>
              <w:rPr>
                <w:rFonts w:ascii="Arial" w:cs="Arial" w:eastAsia="Arial" w:hAnsi="Arial"/>
                <w:sz w:val="15"/>
                <w:szCs w:val="15"/>
                <w:color w:val="auto"/>
              </w:rPr>
              <w:t>Year ended December 31, 2014</w:t>
            </w:r>
          </w:p>
        </w:tc>
        <w:tc>
          <w:tcPr>
            <w:tcW w:w="1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9"/>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9"/>
                <w:szCs w:val="19"/>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30"/>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9"/>
                <w:szCs w:val="19"/>
                <w:color w:val="auto"/>
              </w:rPr>
            </w:pP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9"/>
              <w:spacing w:after="0"/>
              <w:rPr>
                <w:sz w:val="20"/>
                <w:szCs w:val="20"/>
                <w:color w:val="auto"/>
              </w:rPr>
            </w:pPr>
            <w:r>
              <w:rPr>
                <w:rFonts w:ascii="Arial" w:cs="Arial" w:eastAsia="Arial" w:hAnsi="Arial"/>
                <w:sz w:val="15"/>
                <w:szCs w:val="15"/>
                <w:color w:val="auto"/>
              </w:rPr>
              <w:t>6.9</w:t>
            </w:r>
          </w:p>
        </w:tc>
      </w:tr>
      <w:tr>
        <w:trPr>
          <w:trHeight w:val="417"/>
        </w:trPr>
        <w:tc>
          <w:tcPr>
            <w:tcW w:w="4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112</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4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5"/>
          <w:szCs w:val="15"/>
          <w:b w:val="1"/>
          <w:bCs w:val="1"/>
          <w:color w:val="auto"/>
        </w:rPr>
        <w:t>EXHIBIT 10.56</w:t>
      </w:r>
    </w:p>
    <w:p>
      <w:pPr>
        <w:spacing w:after="0" w:line="171" w:lineRule="exact"/>
        <w:rPr>
          <w:sz w:val="20"/>
          <w:szCs w:val="20"/>
          <w:color w:val="auto"/>
        </w:rPr>
      </w:pPr>
    </w:p>
    <w:p>
      <w:pPr>
        <w:jc w:val="center"/>
        <w:ind w:left="2080"/>
        <w:spacing w:after="0"/>
        <w:rPr>
          <w:sz w:val="20"/>
          <w:szCs w:val="20"/>
          <w:color w:val="auto"/>
        </w:rPr>
      </w:pPr>
      <w:r>
        <w:rPr>
          <w:rFonts w:ascii="Arial" w:cs="Arial" w:eastAsia="Arial" w:hAnsi="Arial"/>
          <w:sz w:val="15"/>
          <w:szCs w:val="15"/>
          <w:b w:val="1"/>
          <w:bCs w:val="1"/>
          <w:color w:val="auto"/>
        </w:rPr>
        <w:t>AMENDMENT NUMBER 8 TO</w:t>
      </w:r>
    </w:p>
    <w:p>
      <w:pPr>
        <w:spacing w:after="0" w:line="17" w:lineRule="exact"/>
        <w:rPr>
          <w:sz w:val="20"/>
          <w:szCs w:val="20"/>
          <w:color w:val="auto"/>
        </w:rPr>
      </w:pPr>
    </w:p>
    <w:p>
      <w:pPr>
        <w:jc w:val="center"/>
        <w:ind w:left="2080"/>
        <w:spacing w:after="0"/>
        <w:rPr>
          <w:sz w:val="20"/>
          <w:szCs w:val="20"/>
          <w:color w:val="auto"/>
        </w:rPr>
      </w:pPr>
      <w:r>
        <w:rPr>
          <w:rFonts w:ascii="Arial" w:cs="Arial" w:eastAsia="Arial" w:hAnsi="Arial"/>
          <w:sz w:val="15"/>
          <w:szCs w:val="15"/>
          <w:b w:val="1"/>
          <w:bCs w:val="1"/>
          <w:color w:val="auto"/>
        </w:rPr>
        <w:t>MASTER SERVICE AGREEMENT</w:t>
      </w:r>
    </w:p>
    <w:p>
      <w:pPr>
        <w:spacing w:after="0" w:line="190" w:lineRule="exact"/>
        <w:rPr>
          <w:sz w:val="20"/>
          <w:szCs w:val="20"/>
          <w:color w:val="auto"/>
        </w:rPr>
      </w:pPr>
    </w:p>
    <w:p>
      <w:pPr>
        <w:jc w:val="both"/>
        <w:ind w:left="2" w:right="20" w:firstLine="294"/>
        <w:spacing w:after="0" w:line="254" w:lineRule="auto"/>
        <w:rPr>
          <w:sz w:val="20"/>
          <w:szCs w:val="20"/>
          <w:color w:val="auto"/>
        </w:rPr>
      </w:pPr>
      <w:r>
        <w:rPr>
          <w:rFonts w:ascii="Arial" w:cs="Arial" w:eastAsia="Arial" w:hAnsi="Arial"/>
          <w:sz w:val="15"/>
          <w:szCs w:val="15"/>
          <w:color w:val="auto"/>
        </w:rPr>
        <w:t>This Amendment Number 8 (“</w:t>
      </w:r>
      <w:r>
        <w:rPr>
          <w:rFonts w:ascii="Arial" w:cs="Arial" w:eastAsia="Arial" w:hAnsi="Arial"/>
          <w:sz w:val="15"/>
          <w:szCs w:val="15"/>
          <w:b w:val="1"/>
          <w:bCs w:val="1"/>
          <w:i w:val="1"/>
          <w:iCs w:val="1"/>
          <w:color w:val="auto"/>
        </w:rPr>
        <w:t>Amendment 8</w:t>
      </w:r>
      <w:r>
        <w:rPr>
          <w:rFonts w:ascii="Arial" w:cs="Arial" w:eastAsia="Arial" w:hAnsi="Arial"/>
          <w:sz w:val="15"/>
          <w:szCs w:val="15"/>
          <w:color w:val="auto"/>
        </w:rPr>
        <w:t>” or “</w:t>
      </w:r>
      <w:r>
        <w:rPr>
          <w:rFonts w:ascii="Arial" w:cs="Arial" w:eastAsia="Arial" w:hAnsi="Arial"/>
          <w:sz w:val="15"/>
          <w:szCs w:val="15"/>
          <w:b w:val="1"/>
          <w:bCs w:val="1"/>
          <w:i w:val="1"/>
          <w:iCs w:val="1"/>
          <w:color w:val="auto"/>
        </w:rPr>
        <w:t>Amendment</w:t>
      </w:r>
      <w:r>
        <w:rPr>
          <w:rFonts w:ascii="Arial" w:cs="Arial" w:eastAsia="Arial" w:hAnsi="Arial"/>
          <w:sz w:val="15"/>
          <w:szCs w:val="15"/>
          <w:color w:val="auto"/>
        </w:rPr>
        <w:t>”), dated December 22, 2016 (“</w:t>
      </w:r>
      <w:r>
        <w:rPr>
          <w:rFonts w:ascii="Arial" w:cs="Arial" w:eastAsia="Arial" w:hAnsi="Arial"/>
          <w:sz w:val="15"/>
          <w:szCs w:val="15"/>
          <w:b w:val="1"/>
          <w:bCs w:val="1"/>
          <w:i w:val="1"/>
          <w:iCs w:val="1"/>
          <w:color w:val="auto"/>
        </w:rPr>
        <w:t>Amendment 8 Effective Date</w:t>
      </w:r>
      <w:r>
        <w:rPr>
          <w:rFonts w:ascii="Arial" w:cs="Arial" w:eastAsia="Arial" w:hAnsi="Arial"/>
          <w:sz w:val="15"/>
          <w:szCs w:val="15"/>
          <w:color w:val="auto"/>
        </w:rPr>
        <w:t>”), by and between HP Enterprise Services, LLC (“</w:t>
      </w:r>
      <w:r>
        <w:rPr>
          <w:rFonts w:ascii="Arial" w:cs="Arial" w:eastAsia="Arial" w:hAnsi="Arial"/>
          <w:sz w:val="15"/>
          <w:szCs w:val="15"/>
          <w:b w:val="1"/>
          <w:bCs w:val="1"/>
          <w:i w:val="1"/>
          <w:iCs w:val="1"/>
          <w:color w:val="auto"/>
        </w:rPr>
        <w:t>Provider</w:t>
      </w:r>
      <w:r>
        <w:rPr>
          <w:rFonts w:ascii="Arial" w:cs="Arial" w:eastAsia="Arial" w:hAnsi="Arial"/>
          <w:sz w:val="15"/>
          <w:szCs w:val="15"/>
          <w:color w:val="auto"/>
        </w:rPr>
        <w:t>”) and Sabre GLBL Inc. (“</w:t>
      </w:r>
      <w:r>
        <w:rPr>
          <w:rFonts w:ascii="Arial" w:cs="Arial" w:eastAsia="Arial" w:hAnsi="Arial"/>
          <w:sz w:val="15"/>
          <w:szCs w:val="15"/>
          <w:b w:val="1"/>
          <w:bCs w:val="1"/>
          <w:i w:val="1"/>
          <w:iCs w:val="1"/>
          <w:color w:val="auto"/>
        </w:rPr>
        <w:t>Customer</w:t>
      </w:r>
      <w:r>
        <w:rPr>
          <w:rFonts w:ascii="Arial" w:cs="Arial" w:eastAsia="Arial" w:hAnsi="Arial"/>
          <w:sz w:val="15"/>
          <w:szCs w:val="15"/>
          <w:color w:val="auto"/>
        </w:rPr>
        <w:t>”) amends that certain Master Services Agreement by and between Provider and Customer, dated as of November 1, 2015 (as used herein, the “</w:t>
      </w:r>
      <w:r>
        <w:rPr>
          <w:rFonts w:ascii="Arial" w:cs="Arial" w:eastAsia="Arial" w:hAnsi="Arial"/>
          <w:sz w:val="15"/>
          <w:szCs w:val="15"/>
          <w:b w:val="1"/>
          <w:bCs w:val="1"/>
          <w:i w:val="1"/>
          <w:iCs w:val="1"/>
          <w:color w:val="auto"/>
        </w:rPr>
        <w:t>Master Agreement</w:t>
      </w:r>
      <w:r>
        <w:rPr>
          <w:rFonts w:ascii="Arial" w:cs="Arial" w:eastAsia="Arial" w:hAnsi="Arial"/>
          <w:sz w:val="15"/>
          <w:szCs w:val="15"/>
          <w:color w:val="auto"/>
        </w:rPr>
        <w:t>” or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w:t>
      </w:r>
    </w:p>
    <w:p>
      <w:pPr>
        <w:spacing w:after="0" w:line="225" w:lineRule="exact"/>
        <w:rPr>
          <w:sz w:val="20"/>
          <w:szCs w:val="20"/>
          <w:color w:val="auto"/>
        </w:rPr>
      </w:pPr>
    </w:p>
    <w:p>
      <w:pPr>
        <w:ind w:left="5362"/>
        <w:spacing w:after="0"/>
        <w:rPr>
          <w:sz w:val="20"/>
          <w:szCs w:val="20"/>
          <w:color w:val="auto"/>
        </w:rPr>
      </w:pPr>
      <w:r>
        <w:rPr>
          <w:rFonts w:ascii="Arial" w:cs="Arial" w:eastAsia="Arial" w:hAnsi="Arial"/>
          <w:sz w:val="15"/>
          <w:szCs w:val="15"/>
          <w:b w:val="1"/>
          <w:bCs w:val="1"/>
          <w:color w:val="auto"/>
        </w:rPr>
        <w:t>RECITALS</w:t>
      </w:r>
    </w:p>
    <w:p>
      <w:pPr>
        <w:spacing w:after="0" w:line="103" w:lineRule="exact"/>
        <w:rPr>
          <w:sz w:val="20"/>
          <w:szCs w:val="20"/>
          <w:color w:val="auto"/>
        </w:rPr>
      </w:pPr>
    </w:p>
    <w:p>
      <w:pPr>
        <w:ind w:left="582"/>
        <w:spacing w:after="0"/>
        <w:rPr>
          <w:sz w:val="20"/>
          <w:szCs w:val="20"/>
          <w:color w:val="auto"/>
        </w:rPr>
      </w:pPr>
      <w:r>
        <w:rPr>
          <w:rFonts w:ascii="Arial" w:cs="Arial" w:eastAsia="Arial" w:hAnsi="Arial"/>
          <w:sz w:val="15"/>
          <w:szCs w:val="15"/>
          <w:color w:val="auto"/>
        </w:rPr>
        <w:t>WHEREAS, Customer and Provider desire to amend certain terms and conditions of the Master Agreement, as further described herein.</w:t>
      </w:r>
    </w:p>
    <w:p>
      <w:pPr>
        <w:spacing w:after="0" w:line="171" w:lineRule="exact"/>
        <w:rPr>
          <w:sz w:val="20"/>
          <w:szCs w:val="20"/>
          <w:color w:val="auto"/>
        </w:rPr>
      </w:pPr>
    </w:p>
    <w:p>
      <w:pPr>
        <w:ind w:left="582"/>
        <w:spacing w:after="0"/>
        <w:rPr>
          <w:sz w:val="20"/>
          <w:szCs w:val="20"/>
          <w:color w:val="auto"/>
        </w:rPr>
      </w:pPr>
      <w:r>
        <w:rPr>
          <w:rFonts w:ascii="Arial" w:cs="Arial" w:eastAsia="Arial" w:hAnsi="Arial"/>
          <w:sz w:val="15"/>
          <w:szCs w:val="15"/>
          <w:color w:val="auto"/>
        </w:rPr>
        <w:t>NOW, THEREFORE, in consideration of the mutual covenants contained herein, Customer and Provider hereby agree as follows:</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of the Master Agreement is hereby amended to read as follows:</w:t>
      </w:r>
    </w:p>
    <w:p>
      <w:pPr>
        <w:spacing w:after="0" w:line="183" w:lineRule="exact"/>
        <w:rPr>
          <w:sz w:val="20"/>
          <w:szCs w:val="20"/>
          <w:color w:val="auto"/>
        </w:rPr>
      </w:pPr>
    </w:p>
    <w:p>
      <w:pPr>
        <w:jc w:val="both"/>
        <w:ind w:left="582" w:right="20"/>
        <w:spacing w:after="0" w:line="280" w:lineRule="auto"/>
        <w:rPr>
          <w:sz w:val="20"/>
          <w:szCs w:val="20"/>
          <w:color w:val="auto"/>
        </w:rPr>
      </w:pPr>
      <w:r>
        <w:rPr>
          <w:rFonts w:ascii="Arial" w:cs="Arial" w:eastAsia="Arial" w:hAnsi="Arial"/>
          <w:sz w:val="14"/>
          <w:szCs w:val="14"/>
          <w:color w:val="auto"/>
        </w:rPr>
        <w:t xml:space="preserve">“Unless earlier terminated in accordance with the provisions of this Master Agreement, this Master Agreement will commence as of the Effective Date and will remain in effect until the later of: (i) December 31, 2023; or (ii) the anniversary of the first date on which no Service Agreement is in effect between the Parties (the </w:t>
      </w:r>
      <w:r>
        <w:rPr>
          <w:rFonts w:ascii="Arial" w:cs="Arial" w:eastAsia="Arial" w:hAnsi="Arial"/>
          <w:sz w:val="14"/>
          <w:szCs w:val="14"/>
          <w:b w:val="1"/>
          <w:bCs w:val="1"/>
          <w:i w:val="1"/>
          <w:iCs w:val="1"/>
          <w:color w:val="auto"/>
        </w:rPr>
        <w:t>“Term”</w:t>
      </w:r>
      <w:r>
        <w:rPr>
          <w:rFonts w:ascii="Arial" w:cs="Arial" w:eastAsia="Arial" w:hAnsi="Arial"/>
          <w:sz w:val="14"/>
          <w:szCs w:val="14"/>
          <w:color w:val="auto"/>
        </w:rPr>
        <w: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5"/>
          <w:szCs w:val="15"/>
          <w:u w:val="single" w:color="auto"/>
          <w:color w:val="auto"/>
        </w:rPr>
        <w:t>Section 18.1(f)</w:t>
      </w:r>
      <w:r>
        <w:rPr>
          <w:rFonts w:ascii="Arial" w:cs="Arial" w:eastAsia="Arial" w:hAnsi="Arial"/>
          <w:sz w:val="15"/>
          <w:szCs w:val="15"/>
          <w:color w:val="auto"/>
        </w:rPr>
        <w:t xml:space="preserve"> of the Master Agreement is hereby amended to read as follows:</w:t>
      </w:r>
    </w:p>
    <w:p>
      <w:pPr>
        <w:spacing w:after="0" w:line="183" w:lineRule="exact"/>
        <w:rPr>
          <w:sz w:val="20"/>
          <w:szCs w:val="20"/>
          <w:color w:val="auto"/>
        </w:rPr>
      </w:pPr>
    </w:p>
    <w:p>
      <w:pPr>
        <w:jc w:val="both"/>
        <w:ind w:left="582" w:right="20"/>
        <w:spacing w:after="0" w:line="239" w:lineRule="auto"/>
        <w:rPr>
          <w:sz w:val="20"/>
          <w:szCs w:val="20"/>
          <w:color w:val="auto"/>
        </w:rPr>
      </w:pPr>
      <w:r>
        <w:rPr>
          <w:rFonts w:ascii="Arial" w:cs="Arial" w:eastAsia="Arial" w:hAnsi="Arial"/>
          <w:sz w:val="15"/>
          <w:szCs w:val="15"/>
          <w:color w:val="auto"/>
        </w:rPr>
        <w:t>“In the event of a Change of Control of Provider, upon Notice of termination to Provider given not later than 12 months after the occurrence of such Change of Control, effective as of the termination date specified in such Notice of termination. Notwithstanding the foregoing, this Section 18.1(f) shall not apply to any change of control of the Enterprise Services business unit of Hewlett Packard Enterprise Co. (“HPEC”), or any other part of HPEC’s business which is divested in connection with the ES-CSC Merger. Customer will not terminate the Agreement, any Service Agreements, or other documents governed by the Agreement as a result of the ES- CSC Merger. “ES-CSC Merger” means any transaction associated with the proposed merger of the Enterprise Services business unit of HPEC with Computer Sciences Corporation, as announced on May 24, 2016. Customer will not unreasonably delay executing and will promptly approve and execute any novation agreement or other document necessary to effect such assignment, transfer or novation in connection with the ES-CSC Merger, provided that such novation agreement does not otherwise alter the substance of the current contracts between the Parties.”</w:t>
      </w:r>
    </w:p>
    <w:p>
      <w:pPr>
        <w:spacing w:after="0" w:line="153" w:lineRule="exact"/>
        <w:rPr>
          <w:sz w:val="20"/>
          <w:szCs w:val="20"/>
          <w:color w:val="auto"/>
        </w:rPr>
      </w:pPr>
    </w:p>
    <w:p>
      <w:pPr>
        <w:ind w:left="582" w:hanging="582"/>
        <w:spacing w:after="0"/>
        <w:tabs>
          <w:tab w:leader="none" w:pos="582"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Counterparts</w:t>
      </w:r>
      <w:r>
        <w:rPr>
          <w:rFonts w:ascii="Arial" w:cs="Arial" w:eastAsia="Arial" w:hAnsi="Arial"/>
          <w:sz w:val="15"/>
          <w:szCs w:val="15"/>
          <w:color w:val="auto"/>
        </w:rPr>
        <w:t>. This Amendment may be executed in several counterparts, all of which taken together shall constitute a single agreement between the Parties.</w:t>
      </w:r>
    </w:p>
    <w:p>
      <w:pPr>
        <w:spacing w:after="0" w:line="170" w:lineRule="exact"/>
        <w:rPr>
          <w:rFonts w:ascii="Arial" w:cs="Arial" w:eastAsia="Arial" w:hAnsi="Arial"/>
          <w:sz w:val="15"/>
          <w:szCs w:val="15"/>
          <w:color w:val="auto"/>
        </w:rPr>
      </w:pPr>
    </w:p>
    <w:p>
      <w:pPr>
        <w:ind w:left="582" w:right="240" w:hanging="582"/>
        <w:spacing w:after="0" w:line="270" w:lineRule="auto"/>
        <w:tabs>
          <w:tab w:leader="none" w:pos="582"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Defined terms</w:t>
      </w:r>
      <w:r>
        <w:rPr>
          <w:rFonts w:ascii="Arial" w:cs="Arial" w:eastAsia="Arial" w:hAnsi="Arial"/>
          <w:sz w:val="15"/>
          <w:szCs w:val="15"/>
          <w:color w:val="auto"/>
        </w:rPr>
        <w:t>. Unless otherwise defined herein, the capitalized terms used in this Amendment shall have the same meaning assigned to such capitalized terms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Agreement.</w:t>
      </w:r>
    </w:p>
    <w:p>
      <w:pPr>
        <w:spacing w:after="0" w:line="127" w:lineRule="exact"/>
        <w:rPr>
          <w:rFonts w:ascii="Arial" w:cs="Arial" w:eastAsia="Arial" w:hAnsi="Arial"/>
          <w:sz w:val="15"/>
          <w:szCs w:val="15"/>
          <w:color w:val="auto"/>
        </w:rPr>
      </w:pPr>
    </w:p>
    <w:p>
      <w:pPr>
        <w:jc w:val="both"/>
        <w:ind w:left="582" w:right="20" w:hanging="582"/>
        <w:spacing w:after="0" w:line="281" w:lineRule="auto"/>
        <w:tabs>
          <w:tab w:leader="none" w:pos="582"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Ratifications</w:t>
      </w:r>
      <w:r>
        <w:rPr>
          <w:rFonts w:ascii="Arial" w:cs="Arial" w:eastAsia="Arial" w:hAnsi="Arial"/>
          <w:sz w:val="14"/>
          <w:szCs w:val="14"/>
          <w:color w:val="auto"/>
        </w:rPr>
        <w:t>. The terms and provisions set forth in this Amendment shall modify and supersede all inconsistent terms and provisions set forth in the Agreement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all prior agreements, letters, proposals, discussions and other documents) regarding the matters addressed in this Amendment</w:t>
      </w:r>
      <w:r>
        <w:rPr>
          <w:rFonts w:ascii="Arial" w:cs="Arial" w:eastAsia="Arial" w:hAnsi="Arial"/>
          <w:sz w:val="14"/>
          <w:szCs w:val="14"/>
          <w:color w:val="3366FF"/>
        </w:rPr>
        <w:t>.</w:t>
      </w:r>
      <w:r>
        <w:rPr>
          <w:rFonts w:ascii="Arial" w:cs="Arial" w:eastAsia="Arial" w:hAnsi="Arial"/>
          <w:sz w:val="14"/>
          <w:szCs w:val="14"/>
          <w:color w:val="auto"/>
        </w:rPr>
        <w:t xml:space="preserve"> Except as otherwise expressly modified herein, all other terms and conditions of the Agreement shall remain in full force and effect and are ratified and confirmed as if set forth herein verbatim.</w:t>
      </w:r>
    </w:p>
    <w:p>
      <w:pPr>
        <w:sectPr>
          <w:pgSz w:w="11900" w:h="16838" w:orient="portrait"/>
          <w:cols w:equalWidth="0" w:num="1">
            <w:col w:w="11442"/>
          </w:cols>
          <w:pgMar w:left="238" w:top="516" w:right="2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auto"/>
        </w:rPr>
        <w:t>IN WITNESS WHEREOF, Provider and Customer have each caused this Amendment to be executed as below:</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SABRE GLBL INC.</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Signature: /s/ Richard A. Simonson</w:t>
      </w:r>
    </w:p>
    <w:p>
      <w:pPr>
        <w:spacing w:after="0" w:line="171"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color w:val="auto"/>
        </w:rPr>
        <w:t>Name:</w:t>
        <w:tab/>
        <w:t>Richard A. Simonson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Title: CFO</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Date: 12/23/2016</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HP Enterprise Services, LLC</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Signature: /s/ Simon Branch-Evans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Name: Simon Branch-Evans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Title: VP and AE Sabre Account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Date: 12/22/2016</w:t>
      </w:r>
    </w:p>
    <w:p>
      <w:pPr>
        <w:sectPr>
          <w:pgSz w:w="11900" w:h="16838" w:orient="portrait"/>
          <w:cols w:equalWidth="0" w:num="1">
            <w:col w:w="10199"/>
          </w:cols>
          <w:pgMar w:left="260" w:top="533"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10.57</w:t>
      </w:r>
    </w:p>
    <w:p>
      <w:pPr>
        <w:spacing w:after="0" w:line="200" w:lineRule="exact"/>
        <w:rPr>
          <w:sz w:val="20"/>
          <w:szCs w:val="20"/>
          <w:color w:val="auto"/>
        </w:rPr>
      </w:pPr>
    </w:p>
    <w:p>
      <w:pPr>
        <w:spacing w:after="0" w:line="232" w:lineRule="exact"/>
        <w:rPr>
          <w:sz w:val="20"/>
          <w:szCs w:val="20"/>
          <w:color w:val="auto"/>
        </w:rPr>
      </w:pPr>
    </w:p>
    <w:p>
      <w:pPr>
        <w:jc w:val="center"/>
        <w:ind w:right="38"/>
        <w:spacing w:after="0"/>
        <w:rPr>
          <w:sz w:val="20"/>
          <w:szCs w:val="20"/>
          <w:color w:val="auto"/>
        </w:rPr>
      </w:pPr>
      <w:r>
        <w:rPr>
          <w:rFonts w:ascii="Arial" w:cs="Arial" w:eastAsia="Arial" w:hAnsi="Arial"/>
          <w:sz w:val="20"/>
          <w:szCs w:val="20"/>
          <w:b w:val="1"/>
          <w:bCs w:val="1"/>
          <w:color w:val="auto"/>
        </w:rPr>
        <w:t>SABRE CORPORATION</w:t>
      </w:r>
    </w:p>
    <w:p>
      <w:pPr>
        <w:spacing w:after="0" w:line="25" w:lineRule="exact"/>
        <w:rPr>
          <w:sz w:val="20"/>
          <w:szCs w:val="20"/>
          <w:color w:val="auto"/>
        </w:rPr>
      </w:pPr>
    </w:p>
    <w:p>
      <w:pPr>
        <w:jc w:val="center"/>
        <w:ind w:right="38"/>
        <w:spacing w:after="0"/>
        <w:rPr>
          <w:sz w:val="20"/>
          <w:szCs w:val="20"/>
          <w:color w:val="auto"/>
        </w:rPr>
      </w:pPr>
      <w:r>
        <w:rPr>
          <w:rFonts w:ascii="Arial" w:cs="Arial" w:eastAsia="Arial" w:hAnsi="Arial"/>
          <w:sz w:val="20"/>
          <w:szCs w:val="20"/>
          <w:b w:val="1"/>
          <w:bCs w:val="1"/>
          <w:color w:val="auto"/>
        </w:rPr>
        <w:t>2016 OMNIBUS INCENTIVE COMPENSATION PLAN</w:t>
      </w:r>
    </w:p>
    <w:p>
      <w:pPr>
        <w:spacing w:after="0" w:line="1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FORM OF NON-EMPLOYEE DIRECTOR</w:t>
      </w:r>
    </w:p>
    <w:p>
      <w:pPr>
        <w:spacing w:after="0" w:line="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RESTRICTED STOCK UNIT GRANT AGREEMENT</w:t>
      </w:r>
    </w:p>
    <w:p>
      <w:pPr>
        <w:spacing w:after="0" w:line="184" w:lineRule="exact"/>
        <w:rPr>
          <w:sz w:val="20"/>
          <w:szCs w:val="20"/>
          <w:color w:val="auto"/>
        </w:rPr>
      </w:pPr>
    </w:p>
    <w:p>
      <w:pPr>
        <w:ind w:left="1182"/>
        <w:spacing w:after="0"/>
        <w:rPr>
          <w:sz w:val="20"/>
          <w:szCs w:val="20"/>
          <w:color w:val="auto"/>
        </w:rPr>
      </w:pPr>
      <w:r>
        <w:rPr>
          <w:rFonts w:ascii="Arial" w:cs="Arial" w:eastAsia="Arial" w:hAnsi="Arial"/>
          <w:sz w:val="19"/>
          <w:szCs w:val="19"/>
          <w:color w:val="auto"/>
        </w:rPr>
        <w:t>THIS AGREEMENT, made as of this _______________________ between Sabre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w:t>
      </w:r>
    </w:p>
    <w:p>
      <w:pPr>
        <w:spacing w:after="0" w:line="30"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_______________________ (the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84" w:lineRule="exact"/>
        <w:rPr>
          <w:sz w:val="20"/>
          <w:szCs w:val="20"/>
          <w:color w:val="auto"/>
        </w:rPr>
      </w:pPr>
    </w:p>
    <w:p>
      <w:pPr>
        <w:ind w:left="2" w:right="120" w:firstLine="1177"/>
        <w:spacing w:after="0" w:line="249" w:lineRule="auto"/>
        <w:rPr>
          <w:sz w:val="20"/>
          <w:szCs w:val="20"/>
          <w:color w:val="auto"/>
        </w:rPr>
      </w:pPr>
      <w:r>
        <w:rPr>
          <w:rFonts w:ascii="Arial" w:cs="Arial" w:eastAsia="Arial" w:hAnsi="Arial"/>
          <w:sz w:val="20"/>
          <w:szCs w:val="20"/>
          <w:color w:val="auto"/>
        </w:rPr>
        <w:t>WHEREAS, the Company has adopted the Sabre Corporation 2016 Omnibus Incentive Compensation Plan (the “</w:t>
      </w:r>
      <w:r>
        <w:rPr>
          <w:rFonts w:ascii="Arial" w:cs="Arial" w:eastAsia="Arial" w:hAnsi="Arial"/>
          <w:sz w:val="20"/>
          <w:szCs w:val="20"/>
          <w:u w:val="single" w:color="auto"/>
          <w:color w:val="auto"/>
        </w:rPr>
        <w:t>Plan</w:t>
      </w:r>
      <w:r>
        <w:rPr>
          <w:rFonts w:ascii="Arial" w:cs="Arial" w:eastAsia="Arial" w:hAnsi="Arial"/>
          <w:sz w:val="20"/>
          <w:szCs w:val="20"/>
          <w:color w:val="auto"/>
        </w:rPr>
        <w:t>”) to promote the interests of the Company and its stockholders by providing the employees and non-employee directors of the Company, who are largely responsible for the management, growth, and protection of the business of the Company, with incentives and rewards to encourage them to continue in the service of the Company;</w:t>
      </w:r>
    </w:p>
    <w:p>
      <w:pPr>
        <w:spacing w:after="0" w:line="174" w:lineRule="exact"/>
        <w:rPr>
          <w:sz w:val="20"/>
          <w:szCs w:val="20"/>
          <w:color w:val="auto"/>
        </w:rPr>
      </w:pPr>
    </w:p>
    <w:p>
      <w:pPr>
        <w:ind w:left="2" w:right="120" w:firstLine="1177"/>
        <w:spacing w:after="0" w:line="262" w:lineRule="auto"/>
        <w:rPr>
          <w:sz w:val="20"/>
          <w:szCs w:val="20"/>
          <w:color w:val="auto"/>
        </w:rPr>
      </w:pPr>
      <w:r>
        <w:rPr>
          <w:rFonts w:ascii="Arial" w:cs="Arial" w:eastAsia="Arial" w:hAnsi="Arial"/>
          <w:sz w:val="20"/>
          <w:szCs w:val="20"/>
          <w:color w:val="auto"/>
        </w:rPr>
        <w:t>WHEREAS, Section 7 of the Plan provides for the Grant to Participants of Other Stock-Based Awards, including restricted stock units (“</w:t>
      </w:r>
      <w:r>
        <w:rPr>
          <w:rFonts w:ascii="Arial" w:cs="Arial" w:eastAsia="Arial" w:hAnsi="Arial"/>
          <w:sz w:val="20"/>
          <w:szCs w:val="20"/>
          <w:u w:val="single" w:color="auto"/>
          <w:color w:val="auto"/>
        </w:rPr>
        <w:t>RSUs</w:t>
      </w:r>
      <w:r>
        <w:rPr>
          <w:rFonts w:ascii="Arial" w:cs="Arial" w:eastAsia="Arial" w:hAnsi="Arial"/>
          <w:sz w:val="20"/>
          <w:szCs w:val="20"/>
          <w:color w:val="auto"/>
        </w:rPr>
        <w:t>”).</w:t>
      </w:r>
    </w:p>
    <w:p>
      <w:pPr>
        <w:spacing w:after="0" w:line="160" w:lineRule="exact"/>
        <w:rPr>
          <w:sz w:val="20"/>
          <w:szCs w:val="20"/>
          <w:color w:val="auto"/>
        </w:rPr>
      </w:pPr>
    </w:p>
    <w:p>
      <w:pPr>
        <w:ind w:left="2" w:right="280" w:firstLine="1177"/>
        <w:spacing w:after="0" w:line="262" w:lineRule="auto"/>
        <w:rPr>
          <w:sz w:val="20"/>
          <w:szCs w:val="20"/>
          <w:color w:val="auto"/>
        </w:rPr>
      </w:pPr>
      <w:r>
        <w:rPr>
          <w:rFonts w:ascii="Arial" w:cs="Arial" w:eastAsia="Arial" w:hAnsi="Arial"/>
          <w:sz w:val="20"/>
          <w:szCs w:val="20"/>
          <w:color w:val="auto"/>
        </w:rPr>
        <w:t>NOW, THEREFORE, in consideration of the premises and the mutual covenants hereinafter set forth, the parties hereto hereby agree as follows:</w:t>
      </w:r>
    </w:p>
    <w:p>
      <w:pPr>
        <w:spacing w:after="0" w:line="160" w:lineRule="exact"/>
        <w:rPr>
          <w:sz w:val="20"/>
          <w:szCs w:val="20"/>
          <w:color w:val="auto"/>
        </w:rPr>
      </w:pPr>
    </w:p>
    <w:p>
      <w:pPr>
        <w:ind w:left="582" w:right="120" w:hanging="582"/>
        <w:spacing w:after="0" w:line="249" w:lineRule="auto"/>
        <w:tabs>
          <w:tab w:leader="none" w:pos="58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Grant of RSUs</w:t>
      </w:r>
      <w:r>
        <w:rPr>
          <w:rFonts w:ascii="Arial" w:cs="Arial" w:eastAsia="Arial" w:hAnsi="Arial"/>
          <w:sz w:val="20"/>
          <w:szCs w:val="20"/>
          <w:color w:val="auto"/>
        </w:rPr>
        <w:t>. Pursuant to, and subject to, the terms and conditions set forth herein and in the Plan, the Company hereby grants to the Participant ________ RSUs. Each RSU granted hereunder represents the right to receive one share of the Company’s Common Stock on the Settlement Date (as defined herein), upon the terms and subject to the conditions (including the vesting conditions) set forth in this Agreement and the Plan.</w:t>
      </w:r>
    </w:p>
    <w:p>
      <w:pPr>
        <w:spacing w:after="0" w:line="174" w:lineRule="exact"/>
        <w:rPr>
          <w:rFonts w:ascii="Arial" w:cs="Arial" w:eastAsia="Arial" w:hAnsi="Arial"/>
          <w:sz w:val="20"/>
          <w:szCs w:val="20"/>
          <w:color w:val="auto"/>
        </w:rPr>
      </w:pPr>
    </w:p>
    <w:p>
      <w:pPr>
        <w:ind w:left="582" w:hanging="582"/>
        <w:spacing w:after="0"/>
        <w:tabs>
          <w:tab w:leader="none" w:pos="58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Grant Date</w:t>
      </w:r>
      <w:r>
        <w:rPr>
          <w:rFonts w:ascii="Arial" w:cs="Arial" w:eastAsia="Arial" w:hAnsi="Arial"/>
          <w:sz w:val="20"/>
          <w:szCs w:val="20"/>
          <w:color w:val="auto"/>
        </w:rPr>
        <w:t>. The grant date of the RSUs is ____________________ (the “</w:t>
      </w:r>
      <w:r>
        <w:rPr>
          <w:rFonts w:ascii="Arial" w:cs="Arial" w:eastAsia="Arial" w:hAnsi="Arial"/>
          <w:sz w:val="20"/>
          <w:szCs w:val="20"/>
          <w:u w:val="single" w:color="auto"/>
          <w:color w:val="auto"/>
        </w:rPr>
        <w:t>Grant Date</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582" w:hanging="582"/>
        <w:spacing w:after="0"/>
        <w:tabs>
          <w:tab w:leader="none" w:pos="58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Vesting of RSUs</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582" w:hanging="287"/>
        <w:spacing w:after="0"/>
        <w:tabs>
          <w:tab w:leader="none" w:pos="582"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RSUs shall vest with respect to __________________________________________</w:t>
      </w:r>
    </w:p>
    <w:p>
      <w:pPr>
        <w:spacing w:after="0" w:line="18" w:lineRule="exact"/>
        <w:rPr>
          <w:rFonts w:ascii="Arial" w:cs="Arial" w:eastAsia="Arial" w:hAnsi="Arial"/>
          <w:sz w:val="20"/>
          <w:szCs w:val="20"/>
          <w:color w:val="auto"/>
        </w:rPr>
      </w:pPr>
    </w:p>
    <w:p>
      <w:pPr>
        <w:ind w:left="582" w:right="240"/>
        <w:spacing w:after="0" w:line="263" w:lineRule="auto"/>
        <w:rPr>
          <w:rFonts w:ascii="Arial" w:cs="Arial" w:eastAsia="Arial" w:hAnsi="Arial"/>
          <w:sz w:val="20"/>
          <w:szCs w:val="20"/>
          <w:color w:val="auto"/>
        </w:rPr>
      </w:pPr>
      <w:r>
        <w:rPr>
          <w:rFonts w:ascii="Arial" w:cs="Arial" w:eastAsia="Arial" w:hAnsi="Arial"/>
          <w:sz w:val="19"/>
          <w:szCs w:val="19"/>
          <w:color w:val="auto"/>
        </w:rPr>
        <w:t>__________________________________________________________________________________________, subject in all cases to the Participant’s continued Employment (which, as defined in the Plan, includes provision of services as a director) through each such date (each such date, a “Vesting Date”) except as provided in Section 3(b) hereof.</w:t>
      </w:r>
    </w:p>
    <w:p>
      <w:pPr>
        <w:spacing w:after="0" w:line="161" w:lineRule="exact"/>
        <w:rPr>
          <w:rFonts w:ascii="Arial" w:cs="Arial" w:eastAsia="Arial" w:hAnsi="Arial"/>
          <w:sz w:val="20"/>
          <w:szCs w:val="20"/>
          <w:color w:val="auto"/>
        </w:rPr>
      </w:pPr>
    </w:p>
    <w:p>
      <w:pPr>
        <w:ind w:left="582" w:right="220" w:hanging="287"/>
        <w:spacing w:after="0" w:line="253" w:lineRule="auto"/>
        <w:tabs>
          <w:tab w:leader="none" w:pos="582" w:val="left"/>
        </w:tabs>
        <w:numPr>
          <w:ilvl w:val="1"/>
          <w:numId w:val="47"/>
        </w:numPr>
        <w:rPr>
          <w:rFonts w:ascii="Arial" w:cs="Arial" w:eastAsia="Arial" w:hAnsi="Arial"/>
          <w:sz w:val="20"/>
          <w:szCs w:val="20"/>
          <w:color w:val="auto"/>
        </w:rPr>
      </w:pPr>
      <w:r>
        <w:rPr>
          <w:rFonts w:ascii="Arial" w:cs="Arial" w:eastAsia="Arial" w:hAnsi="Arial"/>
          <w:sz w:val="20"/>
          <w:szCs w:val="20"/>
          <w:color w:val="auto"/>
        </w:rPr>
        <w:t>In the event (1) the Participant’s Employment terminates prior to the applicable Vesting Date for any reason other than the Participant’s termination of Employment due to voluntary retirement, or (2) of a Change in Control, all of the Participant’s outstanding, unvested RSUs will vest as of such termination of Employment.</w:t>
      </w:r>
    </w:p>
    <w:p>
      <w:pPr>
        <w:spacing w:after="0" w:line="168" w:lineRule="exact"/>
        <w:rPr>
          <w:rFonts w:ascii="Arial" w:cs="Arial" w:eastAsia="Arial" w:hAnsi="Arial"/>
          <w:sz w:val="20"/>
          <w:szCs w:val="20"/>
          <w:color w:val="auto"/>
        </w:rPr>
      </w:pPr>
    </w:p>
    <w:p>
      <w:pPr>
        <w:ind w:left="582" w:right="420" w:hanging="287"/>
        <w:spacing w:after="0" w:line="262" w:lineRule="auto"/>
        <w:tabs>
          <w:tab w:leader="none" w:pos="582" w:val="left"/>
        </w:tabs>
        <w:numPr>
          <w:ilvl w:val="1"/>
          <w:numId w:val="47"/>
        </w:numPr>
        <w:rPr>
          <w:rFonts w:ascii="Arial" w:cs="Arial" w:eastAsia="Arial" w:hAnsi="Arial"/>
          <w:sz w:val="20"/>
          <w:szCs w:val="20"/>
          <w:color w:val="auto"/>
        </w:rPr>
      </w:pPr>
      <w:r>
        <w:rPr>
          <w:rFonts w:ascii="Arial" w:cs="Arial" w:eastAsia="Arial" w:hAnsi="Arial"/>
          <w:sz w:val="20"/>
          <w:szCs w:val="20"/>
          <w:color w:val="auto"/>
        </w:rPr>
        <w:t>In the event the Participant’s Employment terminates prior to the applicable Vesting Date due to voluntary retirement, such unvested RSUs will be immediately forfeited as of such termination of Employment.</w:t>
      </w:r>
    </w:p>
    <w:p>
      <w:pPr>
        <w:spacing w:after="0" w:line="160" w:lineRule="exact"/>
        <w:rPr>
          <w:rFonts w:ascii="Arial" w:cs="Arial" w:eastAsia="Arial" w:hAnsi="Arial"/>
          <w:sz w:val="20"/>
          <w:szCs w:val="20"/>
          <w:color w:val="auto"/>
        </w:rPr>
      </w:pPr>
    </w:p>
    <w:p>
      <w:pPr>
        <w:ind w:left="582" w:right="100" w:hanging="582"/>
        <w:spacing w:after="0" w:line="249" w:lineRule="auto"/>
        <w:tabs>
          <w:tab w:leader="none" w:pos="58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Settlement of any vested RSUs granted hereunder (including any RSUs that become vested in connection with a Qualifying Termination) will be made in the form of shares of Common Stock within 90 days following the end of the calendar quarter in which the Participant’s termination of Employment occurs, but in no event later than December 31 of the year in which the Participant’s Employment is terminated (such date, the “Settlement Date”).</w:t>
      </w:r>
    </w:p>
    <w:p>
      <w:pPr>
        <w:spacing w:after="0" w:line="174" w:lineRule="exact"/>
        <w:rPr>
          <w:rFonts w:ascii="Arial" w:cs="Arial" w:eastAsia="Arial" w:hAnsi="Arial"/>
          <w:sz w:val="20"/>
          <w:szCs w:val="20"/>
          <w:color w:val="auto"/>
        </w:rPr>
      </w:pPr>
    </w:p>
    <w:p>
      <w:pPr>
        <w:ind w:left="582" w:hanging="582"/>
        <w:spacing w:after="0" w:line="295" w:lineRule="auto"/>
        <w:tabs>
          <w:tab w:leader="none" w:pos="58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xml:space="preserve"> Dividend equivalents will accrue on vested RSUs and will be notionally credited on each dividend payment date in respect of Common Stock with additional RSUs (such additional RSUs, the “Dividend Equivalent RSUs”). On each dividend payment date, the number of Dividend Equivalent RSUs that will be credited will be equal to the quotient determined by dividing (a) the product determined by multiplying (i) one hundred percent (100%) of each dividend declared and paid by the Company on the Common Stock on a per share basis by (ii) the number of vested RSUs on the record date for the payment of any such dividend, by (b) the Fair Market Value of a share of Common Stock on the dividend payment date for such dividend, in each case, with fractions computed to three decimal places. The Dividend Equivalent RSUs will in all cases be subject to the same terms and conditions, including but not limited to those related to transferability and settlement, that apply to the RSUs granted pursuant to this Agreement.</w:t>
      </w:r>
    </w:p>
    <w:p>
      <w:pPr>
        <w:spacing w:after="0" w:line="138" w:lineRule="exact"/>
        <w:rPr>
          <w:rFonts w:ascii="Arial" w:cs="Arial" w:eastAsia="Arial" w:hAnsi="Arial"/>
          <w:sz w:val="17"/>
          <w:szCs w:val="17"/>
          <w:color w:val="auto"/>
        </w:rPr>
      </w:pPr>
    </w:p>
    <w:p>
      <w:pPr>
        <w:ind w:left="582" w:right="180" w:hanging="582"/>
        <w:spacing w:after="0" w:line="307" w:lineRule="auto"/>
        <w:tabs>
          <w:tab w:leader="none" w:pos="58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w:t>
      </w:r>
    </w:p>
    <w:p>
      <w:pPr>
        <w:spacing w:after="0" w:line="128" w:lineRule="exact"/>
        <w:rPr>
          <w:rFonts w:ascii="Arial" w:cs="Arial" w:eastAsia="Arial" w:hAnsi="Arial"/>
          <w:sz w:val="17"/>
          <w:szCs w:val="17"/>
          <w:color w:val="auto"/>
        </w:rPr>
      </w:pPr>
    </w:p>
    <w:p>
      <w:pPr>
        <w:ind w:left="582" w:right="120" w:hanging="582"/>
        <w:spacing w:after="0" w:line="247" w:lineRule="auto"/>
        <w:tabs>
          <w:tab w:leader="none" w:pos="58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w:t>
      </w:r>
    </w:p>
    <w:p>
      <w:pPr>
        <w:spacing w:after="0" w:line="174" w:lineRule="exact"/>
        <w:rPr>
          <w:rFonts w:ascii="Arial" w:cs="Arial" w:eastAsia="Arial" w:hAnsi="Arial"/>
          <w:sz w:val="20"/>
          <w:szCs w:val="20"/>
          <w:color w:val="auto"/>
        </w:rPr>
      </w:pPr>
    </w:p>
    <w:p>
      <w:pPr>
        <w:ind w:left="582" w:right="20" w:hanging="582"/>
        <w:spacing w:after="0" w:line="272" w:lineRule="auto"/>
        <w:tabs>
          <w:tab w:leader="none" w:pos="58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sectPr>
          <w:pgSz w:w="11900" w:h="16838" w:orient="portrait"/>
          <w:cols w:equalWidth="0" w:num="1">
            <w:col w:w="11422"/>
          </w:cols>
          <w:pgMar w:left="238" w:top="347" w:right="239" w:bottom="0" w:gutter="0" w:footer="0" w:header="0"/>
        </w:sectPr>
      </w:pPr>
    </w:p>
    <w:bookmarkStart w:id="117" w:name="page118"/>
    <w:bookmarkEnd w:id="117"/>
    <w:p>
      <w:pPr>
        <w:spacing w:after="0" w:line="93" w:lineRule="exact"/>
        <w:rPr>
          <w:sz w:val="20"/>
          <w:szCs w:val="20"/>
          <w:color w:val="auto"/>
        </w:rPr>
      </w:pPr>
    </w:p>
    <w:p>
      <w:pPr>
        <w:ind w:left="582" w:right="120" w:hanging="582"/>
        <w:spacing w:after="0" w:line="234" w:lineRule="exact"/>
        <w:tabs>
          <w:tab w:leader="none" w:pos="5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Participant acknowledges that, regardless of any action taken by the Company or, if different, the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Participant’s participation in the Plan and legally applicable to the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RSU, including, but not limited to, the grant, vesting or settlement of the RSUs, the subsequent sale of shares of Common Stock acquired pursuant to such settlement and the receipt of any dividends and/or dividend equivalent; and (ii) 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85" w:lineRule="exact"/>
        <w:rPr>
          <w:sz w:val="20"/>
          <w:szCs w:val="20"/>
          <w:color w:val="auto"/>
        </w:rPr>
      </w:pPr>
    </w:p>
    <w:p>
      <w:pPr>
        <w:ind w:left="582" w:right="60" w:firstLine="1178"/>
        <w:spacing w:after="0" w:line="293" w:lineRule="auto"/>
        <w:rPr>
          <w:sz w:val="20"/>
          <w:szCs w:val="20"/>
          <w:color w:val="auto"/>
        </w:rPr>
      </w:pPr>
      <w:r>
        <w:rPr>
          <w:rFonts w:ascii="Arial" w:cs="Arial" w:eastAsia="Arial" w:hAnsi="Arial"/>
          <w:sz w:val="17"/>
          <w:szCs w:val="17"/>
          <w:color w:val="auto"/>
        </w:rPr>
        <w:t>Prior to the relevant taxable or tax withholding event, as applicable, the Participant agrees to make adequate arrangements satisfactory to the Company and/or the Employer to satisfy all Tax-Related Items. In this regard, the Participant authorizes the Company and/or the Employer, or their respective agents, at their discretion, to satisfy any applicable withholding obligations with regard to all Tax-Related Items by one or a combination of the following: (a) withholding from the Participant’s wages or other cash compensation paid to the Participant by the Company and/or the Employer; or (b) withholding from proceeds of the sale of shares of Common Stock acquired upon vesting/settlement of the RSUs either through a voluntary sale or through a mandatory sale arranged by the Company (on the Participant’s behalf pursuant to this authorization); or (c) withholding in shares of Common Stock to be issued upon settlement of the RSUs, provided, however that the Committee (as constituted in accordance with Rule 16b-3 under the Exchange Act) shall establish the method of withholding from alternatives (a)-(c) herein and, if the Committee does not exercise its discretion prior to the Tax-Related Items withholding event, then the Participant shall be entitled to elect the method of withholding from the alternatives above.</w:t>
      </w:r>
    </w:p>
    <w:p>
      <w:pPr>
        <w:spacing w:after="0" w:line="140" w:lineRule="exact"/>
        <w:rPr>
          <w:sz w:val="20"/>
          <w:szCs w:val="20"/>
          <w:color w:val="auto"/>
        </w:rPr>
      </w:pPr>
    </w:p>
    <w:p>
      <w:pPr>
        <w:ind w:left="582"/>
        <w:spacing w:after="0" w:line="299" w:lineRule="auto"/>
        <w:rPr>
          <w:sz w:val="20"/>
          <w:szCs w:val="20"/>
          <w:color w:val="auto"/>
        </w:rPr>
      </w:pPr>
      <w:r>
        <w:rPr>
          <w:rFonts w:ascii="Arial" w:cs="Arial" w:eastAsia="Arial" w:hAnsi="Arial"/>
          <w:sz w:val="17"/>
          <w:szCs w:val="17"/>
          <w:color w:val="auto"/>
        </w:rPr>
        <w:t>Depending on the withholding method, the Company may withhold or account for Tax-Related Items by considering applicable minimum statutory withholding rates or other applicable withholding rates, including maximum applicable rates, in which case the Participant may receive a refund of any over-withheld amount in cash and will have no entitlement to the Common Stock equivalent. If the obligation for Tax-Related Items is satisfied by withholding in shares of Common Stock, for tax purposes, the Participant is deemed to have been issued the full number of shares of Common Stock subject to the vested RSUs, notwithstanding that a number of the shares of Common Stock are held back solely for the purpose of paying the Tax-Related Items.</w:t>
      </w:r>
    </w:p>
    <w:p>
      <w:pPr>
        <w:spacing w:after="0" w:line="133" w:lineRule="exact"/>
        <w:rPr>
          <w:sz w:val="20"/>
          <w:szCs w:val="20"/>
          <w:color w:val="auto"/>
        </w:rPr>
      </w:pPr>
    </w:p>
    <w:p>
      <w:pPr>
        <w:ind w:left="582" w:right="160"/>
        <w:spacing w:after="0" w:line="307" w:lineRule="auto"/>
        <w:rPr>
          <w:sz w:val="20"/>
          <w:szCs w:val="20"/>
          <w:color w:val="auto"/>
        </w:rPr>
      </w:pPr>
      <w:r>
        <w:rPr>
          <w:rFonts w:ascii="Arial" w:cs="Arial" w:eastAsia="Arial" w:hAnsi="Arial"/>
          <w:sz w:val="17"/>
          <w:szCs w:val="17"/>
          <w:color w:val="auto"/>
        </w:rPr>
        <w:t>Finally, 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of the sale of shares of Common Stock if the Participant fails to comply with the Participant’s obligations in connection with the Tax-Related Items.</w:t>
      </w:r>
    </w:p>
    <w:p>
      <w:pPr>
        <w:spacing w:after="0" w:line="128" w:lineRule="exact"/>
        <w:rPr>
          <w:sz w:val="20"/>
          <w:szCs w:val="20"/>
          <w:color w:val="auto"/>
        </w:rPr>
      </w:pPr>
    </w:p>
    <w:p>
      <w:pPr>
        <w:ind w:left="582" w:right="20" w:hanging="582"/>
        <w:spacing w:after="0" w:line="295" w:lineRule="auto"/>
        <w:tabs>
          <w:tab w:leader="none" w:pos="582"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Construction of Agreement</w:t>
      </w:r>
      <w:r>
        <w:rPr>
          <w:rFonts w:ascii="Arial" w:cs="Arial" w:eastAsia="Arial" w:hAnsi="Arial"/>
          <w:sz w:val="17"/>
          <w:szCs w:val="17"/>
          <w:color w:val="auto"/>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spacing w:after="0" w:line="138" w:lineRule="exact"/>
        <w:rPr>
          <w:rFonts w:ascii="Arial" w:cs="Arial" w:eastAsia="Arial" w:hAnsi="Arial"/>
          <w:sz w:val="17"/>
          <w:szCs w:val="17"/>
          <w:color w:val="auto"/>
        </w:rPr>
      </w:pPr>
    </w:p>
    <w:p>
      <w:pPr>
        <w:ind w:left="582" w:hanging="582"/>
        <w:spacing w:after="0" w:line="261" w:lineRule="auto"/>
        <w:tabs>
          <w:tab w:leader="none" w:pos="5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Delays or Omissions</w:t>
      </w:r>
      <w:r>
        <w:rPr>
          <w:rFonts w:ascii="Arial" w:cs="Arial" w:eastAsia="Arial" w:hAnsi="Arial"/>
          <w:sz w:val="19"/>
          <w:szCs w:val="19"/>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164" w:lineRule="exact"/>
        <w:rPr>
          <w:rFonts w:ascii="Arial" w:cs="Arial" w:eastAsia="Arial" w:hAnsi="Arial"/>
          <w:sz w:val="19"/>
          <w:szCs w:val="19"/>
          <w:color w:val="auto"/>
        </w:rPr>
      </w:pPr>
    </w:p>
    <w:p>
      <w:pPr>
        <w:ind w:left="582" w:right="40" w:hanging="582"/>
        <w:spacing w:after="0" w:line="260" w:lineRule="auto"/>
        <w:tabs>
          <w:tab w:leader="none" w:pos="5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Special Employment Rights; No Right to Award</w:t>
      </w:r>
      <w:r>
        <w:rPr>
          <w:rFonts w:ascii="Arial" w:cs="Arial" w:eastAsia="Arial" w:hAnsi="Arial"/>
          <w:sz w:val="19"/>
          <w:szCs w:val="19"/>
          <w:color w:val="auto"/>
        </w:rPr>
        <w:t>. Nothing contained in the Plan or any Award shall confer upon the Participant any right with respect to the continuation of his Employment by or service to the Company or the Employer or interfere in any way with the right of the Company or the Employer at any time to terminate such Employment or service or to increase or decrease the compensation of the Participant from the rate in existence at the time of the grant of the RSUs. 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(ii) the loss or termination of his or her office or Employment with the Company or its Subsidiaries for any reason whatsoever; or (iii) whether or not the termination (and/or giving of notice) is ultimately held to be wrongful or unfair.</w:t>
      </w:r>
    </w:p>
    <w:p>
      <w:pPr>
        <w:spacing w:after="0" w:line="167" w:lineRule="exact"/>
        <w:rPr>
          <w:rFonts w:ascii="Arial" w:cs="Arial" w:eastAsia="Arial" w:hAnsi="Arial"/>
          <w:sz w:val="19"/>
          <w:szCs w:val="19"/>
          <w:color w:val="auto"/>
        </w:rPr>
      </w:pPr>
    </w:p>
    <w:p>
      <w:pPr>
        <w:ind w:left="582" w:right="120" w:hanging="582"/>
        <w:spacing w:after="0" w:line="267" w:lineRule="auto"/>
        <w:tabs>
          <w:tab w:leader="none" w:pos="5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The Participant hereby explicitly and unambiguously consents to the collection, use and transfer, in electronic or other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form, of the Participant’s personal data as described in this Agreement and any other RSU grant materials by and among, as applicable, the Employer, the Company and its other Subsidiaries and Affiliates for the exclusive purpose of implementing, administering and managing the Participant’s participation in the Plan.</w:t>
      </w:r>
    </w:p>
    <w:p>
      <w:pPr>
        <w:spacing w:after="0" w:line="156" w:lineRule="exact"/>
        <w:rPr>
          <w:rFonts w:ascii="Arial" w:cs="Arial" w:eastAsia="Arial" w:hAnsi="Arial"/>
          <w:sz w:val="19"/>
          <w:szCs w:val="19"/>
          <w:color w:val="auto"/>
        </w:rPr>
      </w:pPr>
    </w:p>
    <w:p>
      <w:pPr>
        <w:jc w:val="both"/>
        <w:ind w:left="582"/>
        <w:spacing w:after="0" w:line="302" w:lineRule="auto"/>
        <w:rPr>
          <w:rFonts w:ascii="Arial" w:cs="Arial" w:eastAsia="Arial" w:hAnsi="Arial"/>
          <w:sz w:val="19"/>
          <w:szCs w:val="19"/>
          <w:color w:val="auto"/>
        </w:rPr>
      </w:pPr>
      <w:r>
        <w:rPr>
          <w:rFonts w:ascii="Arial" w:cs="Arial" w:eastAsia="Arial" w:hAnsi="Arial"/>
          <w:sz w:val="17"/>
          <w:szCs w:val="17"/>
          <w:b w:val="1"/>
          <w:bCs w:val="1"/>
          <w:i w:val="1"/>
          <w:iCs w:val="1"/>
          <w:color w:val="auto"/>
        </w:rPr>
        <w:t>The Participant understands that the Company and the Employer may hold certain personal information about the Participant, including, but not limited to, the Participant’s name, home address and telephone number, email address, date of birth, social insurance number, passport or other identification number, salary, nationality, job title, any shares of stock or directorships held in the Company, details of all RSUs or any other entitlement to shares of stock awarded, canceled, exercised, vested, unvested or outstanding in the Participant’s favor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for the exclusive purpose of implementing, administering and managing the Plan.</w:t>
      </w:r>
    </w:p>
    <w:p>
      <w:pPr>
        <w:sectPr>
          <w:pgSz w:w="11900" w:h="16932" w:orient="portrait"/>
          <w:cols w:equalWidth="0" w:num="1">
            <w:col w:w="11422"/>
          </w:cols>
          <w:pgMar w:left="238" w:top="181" w:right="239" w:bottom="0" w:gutter="0" w:footer="0" w:header="0"/>
        </w:sectPr>
      </w:pPr>
    </w:p>
    <w:bookmarkStart w:id="118" w:name="page119"/>
    <w:bookmarkEnd w:id="118"/>
    <w:p>
      <w:pPr>
        <w:ind w:left="582"/>
        <w:spacing w:after="0" w:line="289" w:lineRule="auto"/>
        <w:rPr>
          <w:sz w:val="20"/>
          <w:szCs w:val="20"/>
          <w:color w:val="auto"/>
        </w:rPr>
      </w:pPr>
      <w:r>
        <w:rPr>
          <w:rFonts w:ascii="Arial" w:cs="Arial" w:eastAsia="Arial" w:hAnsi="Arial"/>
          <w:sz w:val="17"/>
          <w:szCs w:val="17"/>
          <w:b w:val="1"/>
          <w:bCs w:val="1"/>
          <w:i w:val="1"/>
          <w:iCs w:val="1"/>
          <w:color w:val="auto"/>
        </w:rPr>
        <w:t>The Participant understands that Data will be transferred to Morgan Stanley Smith Barney or such other stock plan service provider as may be selected by the Company in the future, which is assisting the Company with the implementation, administration and management of the Plan. The Participant understands that the recipients of Data may be located in the United States or elsewhere, and that the recipient’s country (e.g., the United States) may have different data privacy laws and protections than the Participant’s country. The Participant understands that if he or she resides outside the United States, he or she may request a list with the names and addresses of any potential recipients of Data by contacting his or her local human resources representative. The Participant authorizes the Company, Morgan Stanley Smith Barney and any other possible recipients which may assist the Company (presently or in the future) with implementing, administering and managing the Plan to receive, possess, use, retain and transfer Data, in electronic or other form, for the sole purposes of implementing, administering and managing the Participant’s participation in the Plan. The Participant understands that Data will be held only as long as is necessary to implement, administer and manage the Participant’s participation in the Plan. The Participant understands that if he or she resides outside the United States,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with the Employer will not be affected; the only consequence of refusing or withdrawing the Participant’s consent is that the Company would not be able to grant RSUs or other equity awards to the Participant or administer or maintain such awards.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p>
      <w:pPr>
        <w:spacing w:after="0" w:line="150" w:lineRule="exact"/>
        <w:rPr>
          <w:sz w:val="20"/>
          <w:szCs w:val="20"/>
          <w:color w:val="auto"/>
        </w:rPr>
      </w:pPr>
    </w:p>
    <w:p>
      <w:pPr>
        <w:ind w:left="582" w:hanging="582"/>
        <w:spacing w:after="0" w:line="248" w:lineRule="auto"/>
        <w:tabs>
          <w:tab w:leader="none" w:pos="582"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spacing w:after="0" w:line="173" w:lineRule="exact"/>
        <w:rPr>
          <w:rFonts w:ascii="Arial" w:cs="Arial" w:eastAsia="Arial" w:hAnsi="Arial"/>
          <w:sz w:val="20"/>
          <w:szCs w:val="20"/>
          <w:color w:val="auto"/>
        </w:rPr>
      </w:pPr>
    </w:p>
    <w:p>
      <w:pPr>
        <w:ind w:left="582" w:hanging="582"/>
        <w:spacing w:after="0" w:line="294" w:lineRule="auto"/>
        <w:tabs>
          <w:tab w:leader="none" w:pos="58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Clawback Policy</w:t>
      </w:r>
      <w:r>
        <w:rPr>
          <w:rFonts w:ascii="Arial" w:cs="Arial" w:eastAsia="Arial" w:hAnsi="Arial"/>
          <w:sz w:val="17"/>
          <w:szCs w:val="17"/>
          <w:color w:val="auto"/>
        </w:rPr>
        <w:t>. Notwithstanding anything in the Plan to the contrary, the Company or any of its Subsidiaries or Affiliates will be entitled (i) to recoup compensation of whatever kind paid to a Participant under the Plan by the Company or any of its Subsidiaries or Affiliates at any time to the extent permitted or required by applicable law, Company policy and/or the requirements of an exchange on which the Company’s shares of Common Stock are listed for trading, in each case, as in effect from time to time, and (ii) to cancel all or any portion of this RSUs (whether vested or unvested) and/or require repayment of any sums (including, in the case of shares of Common Stock, the value of such shares) or amounts which were received by the Participant in respect of the RSUs in the event the Company believes in good faith that the Participant has breached any existing protective covenants, including but not limited to confidentiality, non-solicitation, non-interference, or non-competition agreements with the Company or any of its Subsidiaries or Affiliates, and by accepting the RSUs pursuant to the Plan and this Agreement, Participant authorizes such clawback and agrees to comply with any Company request or demand for such recoupment.</w:t>
      </w:r>
    </w:p>
    <w:p>
      <w:pPr>
        <w:spacing w:after="0" w:line="371" w:lineRule="exact"/>
        <w:rPr>
          <w:rFonts w:ascii="Arial" w:cs="Arial" w:eastAsia="Arial" w:hAnsi="Arial"/>
          <w:sz w:val="17"/>
          <w:szCs w:val="17"/>
          <w:color w:val="auto"/>
        </w:rPr>
      </w:pPr>
    </w:p>
    <w:p>
      <w:pPr>
        <w:ind w:left="582" w:hanging="582"/>
        <w:spacing w:after="0" w:line="260" w:lineRule="auto"/>
        <w:tabs>
          <w:tab w:leader="none" w:pos="58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Policy Against Insider Trading</w:t>
      </w:r>
      <w:r>
        <w:rPr>
          <w:rFonts w:ascii="Arial" w:cs="Arial" w:eastAsia="Arial" w:hAnsi="Arial"/>
          <w:sz w:val="19"/>
          <w:szCs w:val="19"/>
          <w:color w:val="auto"/>
        </w:rPr>
        <w:t>. By accepting this grant of RSUs, the Participant acknowledges that the Participant is bound by all the terms and conditions of the Company’s insider trading policy as may be in effect from time to time. The Participant further acknowledges that, depending on the Participant’s country, the Participant may be subject to insider trading restrictions and/or market abuse laws, which may affect the Participant’s ability to acquire or sell shares of Common Stock or rights to shares of Common Stock (</w:t>
      </w:r>
      <w:r>
        <w:rPr>
          <w:rFonts w:ascii="Arial" w:cs="Arial" w:eastAsia="Arial" w:hAnsi="Arial"/>
          <w:sz w:val="19"/>
          <w:szCs w:val="19"/>
          <w:i w:val="1"/>
          <w:iCs w:val="1"/>
          <w:color w:val="auto"/>
        </w:rPr>
        <w:t>e.g.</w:t>
      </w:r>
      <w:r>
        <w:rPr>
          <w:rFonts w:ascii="Arial" w:cs="Arial" w:eastAsia="Arial" w:hAnsi="Arial"/>
          <w:sz w:val="19"/>
          <w:szCs w:val="19"/>
          <w:color w:val="auto"/>
        </w:rPr>
        <w:t>, RSUs) under the Plan during such times as the Participant is considered to have “inside information” regarding the Company (as defined by the laws in the Participant’s country). Any restrictions under these laws or regulations are separate from and in addition to any restrictions that may be imposed under the Company’s insider trading policy as may be in effect from time to time. The Participant acknowledges that it is the Participant’s responsibility to comply with any applicable restrictions, and the Participant should speak to his or her personal advisor on this matter.</w:t>
      </w:r>
    </w:p>
    <w:p>
      <w:pPr>
        <w:spacing w:after="0" w:line="163" w:lineRule="exact"/>
        <w:rPr>
          <w:rFonts w:ascii="Arial" w:cs="Arial" w:eastAsia="Arial" w:hAnsi="Arial"/>
          <w:sz w:val="19"/>
          <w:szCs w:val="19"/>
          <w:color w:val="auto"/>
        </w:rPr>
      </w:pPr>
    </w:p>
    <w:p>
      <w:pPr>
        <w:ind w:left="582" w:hanging="582"/>
        <w:spacing w:after="0" w:line="260" w:lineRule="auto"/>
        <w:tabs>
          <w:tab w:leader="none" w:pos="58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Foreign Asset/Account, Exchange Control and Tax Reporting</w:t>
      </w:r>
      <w:r>
        <w:rPr>
          <w:rFonts w:ascii="Arial" w:cs="Arial" w:eastAsia="Arial" w:hAnsi="Arial"/>
          <w:sz w:val="19"/>
          <w:szCs w:val="19"/>
          <w:color w:val="auto"/>
        </w:rPr>
        <w:t>. The Participant may be subject to foreign asset/account, exchange control and/or tax reporting requirements as a result of the acquisition, holding and/or transfer of shares of Common Stock or cash (including dividends and the proceeds arising from the sale of shares of Common Stock) derived from his or her participation in the Plan, to and/or from a brokerage/bank account or legal entity located outside the Participant’s country. The applicable laws of the Participant’s country may require that he or she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should consult his or her personal legal advisor on this matter.</w:t>
      </w:r>
    </w:p>
    <w:p>
      <w:pPr>
        <w:spacing w:after="0" w:line="167" w:lineRule="exact"/>
        <w:rPr>
          <w:rFonts w:ascii="Arial" w:cs="Arial" w:eastAsia="Arial" w:hAnsi="Arial"/>
          <w:sz w:val="19"/>
          <w:szCs w:val="19"/>
          <w:color w:val="auto"/>
        </w:rPr>
      </w:pPr>
    </w:p>
    <w:p>
      <w:pPr>
        <w:ind w:left="582" w:right="120" w:hanging="582"/>
        <w:spacing w:after="0" w:line="262" w:lineRule="auto"/>
        <w:tabs>
          <w:tab w:leader="none" w:pos="582"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an original, but all of which shall constitute one and the same instrument.</w:t>
      </w:r>
    </w:p>
    <w:p>
      <w:pPr>
        <w:spacing w:after="0" w:line="160" w:lineRule="exact"/>
        <w:rPr>
          <w:rFonts w:ascii="Arial" w:cs="Arial" w:eastAsia="Arial" w:hAnsi="Arial"/>
          <w:sz w:val="20"/>
          <w:szCs w:val="20"/>
          <w:color w:val="auto"/>
        </w:rPr>
      </w:pPr>
    </w:p>
    <w:p>
      <w:pPr>
        <w:ind w:left="582" w:right="160" w:hanging="582"/>
        <w:spacing w:after="0" w:line="262" w:lineRule="auto"/>
        <w:tabs>
          <w:tab w:leader="none" w:pos="582"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and enforced in accordance with the laws of the State of Delaware without regard to the provisions governing conflict of laws.</w:t>
      </w:r>
    </w:p>
    <w:p>
      <w:pPr>
        <w:spacing w:after="0" w:line="160" w:lineRule="exact"/>
        <w:rPr>
          <w:rFonts w:ascii="Arial" w:cs="Arial" w:eastAsia="Arial" w:hAnsi="Arial"/>
          <w:sz w:val="20"/>
          <w:szCs w:val="20"/>
          <w:color w:val="auto"/>
        </w:rPr>
      </w:pPr>
    </w:p>
    <w:p>
      <w:pPr>
        <w:ind w:left="582" w:right="40" w:hanging="582"/>
        <w:spacing w:after="0" w:line="249" w:lineRule="auto"/>
        <w:tabs>
          <w:tab w:leader="none" w:pos="582"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Venue</w:t>
      </w:r>
      <w:r>
        <w:rPr>
          <w:rFonts w:ascii="Arial" w:cs="Arial" w:eastAsia="Arial" w:hAnsi="Arial"/>
          <w:sz w:val="20"/>
          <w:szCs w:val="20"/>
          <w:color w:val="auto"/>
        </w:rPr>
        <w:t>. For purposes of litigating any dispute that arises directly or indirectly from the relationship of the parties evidenced by this Award and this Agreement, the parties hereby submit to and consent to the exclusive jurisdiction of the State of Texas and agree that such litigation shall be conducted only in the courts of Tarrant County, Texas, or the federal courts for the Northern District of Texas, and no other courts where the grant of this Award is made and/or to be performed.</w:t>
      </w:r>
    </w:p>
    <w:p>
      <w:pPr>
        <w:spacing w:after="0" w:line="174" w:lineRule="exact"/>
        <w:rPr>
          <w:rFonts w:ascii="Arial" w:cs="Arial" w:eastAsia="Arial" w:hAnsi="Arial"/>
          <w:sz w:val="20"/>
          <w:szCs w:val="20"/>
          <w:color w:val="auto"/>
        </w:rPr>
      </w:pPr>
    </w:p>
    <w:p>
      <w:pPr>
        <w:ind w:left="582" w:hanging="582"/>
        <w:spacing w:after="0"/>
        <w:tabs>
          <w:tab w:leader="none" w:pos="582"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RSUs, the Participant acknowledges, understands and agrees that:</w:t>
      </w:r>
    </w:p>
    <w:p>
      <w:pPr>
        <w:sectPr>
          <w:pgSz w:w="11900" w:h="16838" w:orient="portrait"/>
          <w:cols w:equalWidth="0" w:num="1">
            <w:col w:w="11422"/>
          </w:cols>
          <w:pgMar w:left="238" w:top="292" w:right="239" w:bottom="198" w:gutter="0" w:footer="0" w:header="0"/>
        </w:sectPr>
      </w:pPr>
    </w:p>
    <w:bookmarkStart w:id="119" w:name="page120"/>
    <w:bookmarkEnd w:id="119"/>
    <w:p>
      <w:pPr>
        <w:ind w:left="582" w:right="640" w:firstLine="596"/>
        <w:spacing w:after="0" w:line="275" w:lineRule="auto"/>
        <w:tabs>
          <w:tab w:leader="none" w:pos="1665" w:val="left"/>
        </w:tabs>
        <w:numPr>
          <w:ilvl w:val="1"/>
          <w:numId w:val="51"/>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pacing w:after="0" w:line="147" w:lineRule="exact"/>
        <w:rPr>
          <w:rFonts w:ascii="Arial" w:cs="Arial" w:eastAsia="Arial" w:hAnsi="Arial"/>
          <w:sz w:val="18"/>
          <w:szCs w:val="18"/>
          <w:color w:val="auto"/>
        </w:rPr>
      </w:pPr>
    </w:p>
    <w:p>
      <w:pPr>
        <w:ind w:left="582" w:right="100" w:firstLine="596"/>
        <w:spacing w:after="0" w:line="275" w:lineRule="auto"/>
        <w:tabs>
          <w:tab w:leader="none" w:pos="1675" w:val="left"/>
        </w:tabs>
        <w:numPr>
          <w:ilvl w:val="1"/>
          <w:numId w:val="51"/>
        </w:numPr>
        <w:rPr>
          <w:rFonts w:ascii="Arial" w:cs="Arial" w:eastAsia="Arial" w:hAnsi="Arial"/>
          <w:sz w:val="18"/>
          <w:szCs w:val="18"/>
          <w:color w:val="auto"/>
        </w:rPr>
      </w:pPr>
      <w:r>
        <w:rPr>
          <w:rFonts w:ascii="Arial" w:cs="Arial" w:eastAsia="Arial" w:hAnsi="Arial"/>
          <w:sz w:val="20"/>
          <w:szCs w:val="20"/>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47" w:lineRule="exact"/>
        <w:rPr>
          <w:rFonts w:ascii="Arial" w:cs="Arial" w:eastAsia="Arial" w:hAnsi="Arial"/>
          <w:sz w:val="18"/>
          <w:szCs w:val="18"/>
          <w:color w:val="auto"/>
        </w:rPr>
      </w:pPr>
    </w:p>
    <w:p>
      <w:pPr>
        <w:ind w:left="1662" w:hanging="484"/>
        <w:spacing w:after="0"/>
        <w:tabs>
          <w:tab w:leader="none" w:pos="1662" w:val="left"/>
        </w:tabs>
        <w:numPr>
          <w:ilvl w:val="1"/>
          <w:numId w:val="51"/>
        </w:numPr>
        <w:rPr>
          <w:rFonts w:ascii="Arial" w:cs="Arial" w:eastAsia="Arial" w:hAnsi="Arial"/>
          <w:sz w:val="18"/>
          <w:szCs w:val="18"/>
          <w:color w:val="auto"/>
        </w:rPr>
      </w:pPr>
      <w:r>
        <w:rPr>
          <w:rFonts w:ascii="Arial" w:cs="Arial" w:eastAsia="Arial" w:hAnsi="Arial"/>
          <w:sz w:val="20"/>
          <w:szCs w:val="20"/>
          <w:color w:val="auto"/>
        </w:rPr>
        <w:t>all decisions with respect to future RSU or other grants, if any, will be at the sole discretion of the Company;</w:t>
      </w:r>
    </w:p>
    <w:p>
      <w:pPr>
        <w:spacing w:after="0" w:line="211" w:lineRule="exact"/>
        <w:rPr>
          <w:rFonts w:ascii="Arial" w:cs="Arial" w:eastAsia="Arial" w:hAnsi="Arial"/>
          <w:sz w:val="18"/>
          <w:szCs w:val="18"/>
          <w:color w:val="auto"/>
        </w:rPr>
      </w:pPr>
    </w:p>
    <w:p>
      <w:pPr>
        <w:ind w:left="1682" w:hanging="504"/>
        <w:spacing w:after="0"/>
        <w:tabs>
          <w:tab w:leader="none" w:pos="1682" w:val="left"/>
        </w:tabs>
        <w:numPr>
          <w:ilvl w:val="1"/>
          <w:numId w:val="51"/>
        </w:numPr>
        <w:rPr>
          <w:rFonts w:ascii="Arial" w:cs="Arial" w:eastAsia="Arial" w:hAnsi="Arial"/>
          <w:sz w:val="18"/>
          <w:szCs w:val="18"/>
          <w:color w:val="auto"/>
        </w:rPr>
      </w:pPr>
      <w:r>
        <w:rPr>
          <w:rFonts w:ascii="Arial" w:cs="Arial" w:eastAsia="Arial" w:hAnsi="Arial"/>
          <w:sz w:val="20"/>
          <w:szCs w:val="20"/>
          <w:color w:val="auto"/>
        </w:rPr>
        <w:t>the Participant is voluntarily participating in the Plan;</w:t>
      </w:r>
    </w:p>
    <w:p>
      <w:pPr>
        <w:spacing w:after="0" w:line="211" w:lineRule="exact"/>
        <w:rPr>
          <w:rFonts w:ascii="Arial" w:cs="Arial" w:eastAsia="Arial" w:hAnsi="Arial"/>
          <w:sz w:val="18"/>
          <w:szCs w:val="18"/>
          <w:color w:val="auto"/>
        </w:rPr>
      </w:pPr>
    </w:p>
    <w:p>
      <w:pPr>
        <w:ind w:left="582" w:right="660" w:firstLine="596"/>
        <w:spacing w:after="0" w:line="275" w:lineRule="auto"/>
        <w:tabs>
          <w:tab w:leader="none" w:pos="1665" w:val="left"/>
        </w:tabs>
        <w:numPr>
          <w:ilvl w:val="1"/>
          <w:numId w:val="51"/>
        </w:numPr>
        <w:rPr>
          <w:rFonts w:ascii="Arial" w:cs="Arial" w:eastAsia="Arial" w:hAnsi="Arial"/>
          <w:sz w:val="18"/>
          <w:szCs w:val="18"/>
          <w:color w:val="auto"/>
        </w:rPr>
      </w:pPr>
      <w:r>
        <w:rPr>
          <w:rFonts w:ascii="Arial" w:cs="Arial" w:eastAsia="Arial" w:hAnsi="Arial"/>
          <w:sz w:val="20"/>
          <w:szCs w:val="20"/>
          <w:color w:val="auto"/>
        </w:rPr>
        <w:t>the RSUs and any shares of Common Stock acquired under the Plan, and the income and value of the same, are not intended to replace any pension rights or compensation;</w:t>
      </w:r>
    </w:p>
    <w:p>
      <w:pPr>
        <w:spacing w:after="0" w:line="147" w:lineRule="exact"/>
        <w:rPr>
          <w:rFonts w:ascii="Arial" w:cs="Arial" w:eastAsia="Arial" w:hAnsi="Arial"/>
          <w:sz w:val="18"/>
          <w:szCs w:val="18"/>
          <w:color w:val="auto"/>
        </w:rPr>
      </w:pPr>
    </w:p>
    <w:p>
      <w:pPr>
        <w:jc w:val="both"/>
        <w:ind w:left="582" w:right="360" w:firstLine="596"/>
        <w:spacing w:after="0" w:line="326" w:lineRule="auto"/>
        <w:tabs>
          <w:tab w:leader="none" w:pos="1645" w:val="left"/>
        </w:tabs>
        <w:numPr>
          <w:ilvl w:val="1"/>
          <w:numId w:val="51"/>
        </w:numPr>
        <w:rPr>
          <w:rFonts w:ascii="Arial" w:cs="Arial" w:eastAsia="Arial" w:hAnsi="Arial"/>
          <w:sz w:val="16"/>
          <w:szCs w:val="16"/>
          <w:color w:val="auto"/>
        </w:rPr>
      </w:pPr>
      <w:r>
        <w:rPr>
          <w:rFonts w:ascii="Arial" w:cs="Arial" w:eastAsia="Arial" w:hAnsi="Arial"/>
          <w:sz w:val="17"/>
          <w:szCs w:val="17"/>
          <w:color w:val="auto"/>
        </w:rPr>
        <w:t>the RSUs and any shares of Common Stock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11" w:lineRule="exact"/>
        <w:rPr>
          <w:rFonts w:ascii="Arial" w:cs="Arial" w:eastAsia="Arial" w:hAnsi="Arial"/>
          <w:sz w:val="16"/>
          <w:szCs w:val="16"/>
          <w:color w:val="auto"/>
        </w:rPr>
      </w:pPr>
    </w:p>
    <w:p>
      <w:pPr>
        <w:ind w:left="582" w:right="120" w:firstLine="596"/>
        <w:spacing w:after="0" w:line="275" w:lineRule="auto"/>
        <w:tabs>
          <w:tab w:leader="none" w:pos="1675" w:val="left"/>
        </w:tabs>
        <w:numPr>
          <w:ilvl w:val="1"/>
          <w:numId w:val="51"/>
        </w:numPr>
        <w:rPr>
          <w:rFonts w:ascii="Arial" w:cs="Arial" w:eastAsia="Arial" w:hAnsi="Arial"/>
          <w:sz w:val="18"/>
          <w:szCs w:val="18"/>
          <w:color w:val="auto"/>
        </w:rPr>
      </w:pPr>
      <w:r>
        <w:rPr>
          <w:rFonts w:ascii="Arial" w:cs="Arial" w:eastAsia="Arial" w:hAnsi="Arial"/>
          <w:sz w:val="20"/>
          <w:szCs w:val="20"/>
          <w:color w:val="auto"/>
        </w:rPr>
        <w:t>the future value of the shares of Common Stock underlying the RSU is unknown, indeterminable, and cannot be predicted with certainty;</w:t>
      </w:r>
    </w:p>
    <w:p>
      <w:pPr>
        <w:spacing w:after="0" w:line="147" w:lineRule="exact"/>
        <w:rPr>
          <w:rFonts w:ascii="Arial" w:cs="Arial" w:eastAsia="Arial" w:hAnsi="Arial"/>
          <w:sz w:val="18"/>
          <w:szCs w:val="18"/>
          <w:color w:val="auto"/>
        </w:rPr>
      </w:pPr>
    </w:p>
    <w:p>
      <w:pPr>
        <w:ind w:left="582" w:firstLine="596"/>
        <w:spacing w:after="0" w:line="267" w:lineRule="auto"/>
        <w:tabs>
          <w:tab w:leader="none" w:pos="1675" w:val="left"/>
        </w:tabs>
        <w:numPr>
          <w:ilvl w:val="1"/>
          <w:numId w:val="51"/>
        </w:numPr>
        <w:rPr>
          <w:rFonts w:ascii="Arial" w:cs="Arial" w:eastAsia="Arial" w:hAnsi="Arial"/>
          <w:sz w:val="17"/>
          <w:szCs w:val="17"/>
          <w:color w:val="auto"/>
        </w:rPr>
      </w:pPr>
      <w:r>
        <w:rPr>
          <w:rFonts w:ascii="Arial" w:cs="Arial" w:eastAsia="Arial" w:hAnsi="Arial"/>
          <w:sz w:val="19"/>
          <w:szCs w:val="19"/>
          <w:color w:val="auto"/>
        </w:rPr>
        <w:t>no claim or entitlement to compensation or damages shall arise from forfeiture of the RSUs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and in consideration of the grant of the RSUs, the Participant agrees not to institute any such claim against the Company, the Employer, or any of the other Subsidiaries or Affiliates of the Company;</w:t>
      </w:r>
    </w:p>
    <w:p>
      <w:pPr>
        <w:spacing w:after="0" w:line="158" w:lineRule="exact"/>
        <w:rPr>
          <w:rFonts w:ascii="Arial" w:cs="Arial" w:eastAsia="Arial" w:hAnsi="Arial"/>
          <w:sz w:val="17"/>
          <w:szCs w:val="17"/>
          <w:color w:val="auto"/>
        </w:rPr>
      </w:pPr>
    </w:p>
    <w:p>
      <w:pPr>
        <w:ind w:left="582" w:right="60" w:firstLine="596"/>
        <w:spacing w:after="0" w:line="295" w:lineRule="auto"/>
        <w:tabs>
          <w:tab w:leader="none" w:pos="1635" w:val="left"/>
        </w:tabs>
        <w:numPr>
          <w:ilvl w:val="1"/>
          <w:numId w:val="51"/>
        </w:numPr>
        <w:rPr>
          <w:rFonts w:ascii="Arial" w:cs="Arial" w:eastAsia="Arial" w:hAnsi="Arial"/>
          <w:sz w:val="16"/>
          <w:szCs w:val="16"/>
          <w:color w:val="auto"/>
        </w:rPr>
      </w:pPr>
      <w:r>
        <w:rPr>
          <w:rFonts w:ascii="Arial" w:cs="Arial" w:eastAsia="Arial" w:hAnsi="Arial"/>
          <w:sz w:val="17"/>
          <w:szCs w:val="17"/>
          <w:color w:val="auto"/>
        </w:rPr>
        <w:t>for purposes of the RSUs, the Participant’s Employment or service relationship will be considered terminated as of the date the Participant is no longer actively providing services to the Company, the Employer, or any of the Subsidiaries or Affiliates of the Company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Agreement or determined by the Company, the Participant’s right to vest in the RSUs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the Participant’s period of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his or her RSU grant (including whether the Participant may still be considered to be providing services while on a leave of absence);</w:t>
      </w:r>
    </w:p>
    <w:p>
      <w:pPr>
        <w:spacing w:after="0" w:line="136" w:lineRule="exact"/>
        <w:rPr>
          <w:rFonts w:ascii="Arial" w:cs="Arial" w:eastAsia="Arial" w:hAnsi="Arial"/>
          <w:sz w:val="16"/>
          <w:szCs w:val="16"/>
          <w:color w:val="auto"/>
        </w:rPr>
      </w:pPr>
    </w:p>
    <w:p>
      <w:pPr>
        <w:ind w:left="582" w:right="40" w:firstLine="596"/>
        <w:spacing w:after="0" w:line="326" w:lineRule="auto"/>
        <w:tabs>
          <w:tab w:leader="none" w:pos="1635" w:val="left"/>
        </w:tabs>
        <w:numPr>
          <w:ilvl w:val="1"/>
          <w:numId w:val="51"/>
        </w:numPr>
        <w:rPr>
          <w:rFonts w:ascii="Arial" w:cs="Arial" w:eastAsia="Arial" w:hAnsi="Arial"/>
          <w:sz w:val="16"/>
          <w:szCs w:val="16"/>
          <w:color w:val="auto"/>
        </w:rPr>
      </w:pPr>
      <w:r>
        <w:rPr>
          <w:rFonts w:ascii="Arial" w:cs="Arial" w:eastAsia="Arial" w:hAnsi="Arial"/>
          <w:sz w:val="17"/>
          <w:szCs w:val="17"/>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of the Company;</w:t>
      </w:r>
    </w:p>
    <w:p>
      <w:pPr>
        <w:spacing w:after="0" w:line="111" w:lineRule="exact"/>
        <w:rPr>
          <w:rFonts w:ascii="Arial" w:cs="Arial" w:eastAsia="Arial" w:hAnsi="Arial"/>
          <w:sz w:val="16"/>
          <w:szCs w:val="16"/>
          <w:color w:val="auto"/>
        </w:rPr>
      </w:pPr>
    </w:p>
    <w:p>
      <w:pPr>
        <w:ind w:left="582" w:right="280" w:firstLine="596"/>
        <w:spacing w:after="0" w:line="259" w:lineRule="auto"/>
        <w:tabs>
          <w:tab w:leader="none" w:pos="1675" w:val="left"/>
        </w:tabs>
        <w:numPr>
          <w:ilvl w:val="1"/>
          <w:numId w:val="51"/>
        </w:numPr>
        <w:rPr>
          <w:rFonts w:ascii="Arial" w:cs="Arial" w:eastAsia="Arial" w:hAnsi="Arial"/>
          <w:sz w:val="18"/>
          <w:szCs w:val="18"/>
          <w:color w:val="auto"/>
        </w:rPr>
      </w:pPr>
      <w:r>
        <w:rPr>
          <w:rFonts w:ascii="Arial" w:cs="Arial" w:eastAsia="Arial" w:hAnsi="Arial"/>
          <w:sz w:val="20"/>
          <w:szCs w:val="20"/>
          <w:color w:val="auto"/>
        </w:rPr>
        <w:t>unless otherwise agreed with the Company, the RSUs and any shares of Common Stock acquired under the Plan and the income and value of same, are not granted as consideration for, or in connection with, the service the Participant may provide as a director of a Subsidiary or Affiliate;</w:t>
      </w:r>
    </w:p>
    <w:p>
      <w:pPr>
        <w:spacing w:after="0" w:line="163" w:lineRule="exact"/>
        <w:rPr>
          <w:rFonts w:ascii="Arial" w:cs="Arial" w:eastAsia="Arial" w:hAnsi="Arial"/>
          <w:sz w:val="18"/>
          <w:szCs w:val="18"/>
          <w:color w:val="auto"/>
        </w:rPr>
      </w:pPr>
    </w:p>
    <w:p>
      <w:pPr>
        <w:ind w:left="1642" w:hanging="464"/>
        <w:spacing w:after="0"/>
        <w:tabs>
          <w:tab w:leader="none" w:pos="1642" w:val="left"/>
        </w:tabs>
        <w:numPr>
          <w:ilvl w:val="1"/>
          <w:numId w:val="51"/>
        </w:numPr>
        <w:rPr>
          <w:rFonts w:ascii="Arial" w:cs="Arial" w:eastAsia="Arial" w:hAnsi="Arial"/>
          <w:sz w:val="18"/>
          <w:szCs w:val="18"/>
          <w:color w:val="auto"/>
        </w:rPr>
      </w:pPr>
      <w:r>
        <w:rPr>
          <w:rFonts w:ascii="Arial" w:cs="Arial" w:eastAsia="Arial" w:hAnsi="Arial"/>
          <w:sz w:val="20"/>
          <w:szCs w:val="20"/>
          <w:color w:val="auto"/>
        </w:rPr>
        <w:t>the following provisions apply only if the Participant is providing services outside the United States:</w:t>
      </w:r>
    </w:p>
    <w:p>
      <w:pPr>
        <w:spacing w:after="0" w:line="211" w:lineRule="exact"/>
        <w:rPr>
          <w:rFonts w:ascii="Arial" w:cs="Arial" w:eastAsia="Arial" w:hAnsi="Arial"/>
          <w:sz w:val="18"/>
          <w:szCs w:val="18"/>
          <w:color w:val="auto"/>
        </w:rPr>
      </w:pPr>
    </w:p>
    <w:p>
      <w:pPr>
        <w:ind w:left="582" w:right="140" w:firstLine="1184"/>
        <w:spacing w:after="0" w:line="275" w:lineRule="auto"/>
        <w:tabs>
          <w:tab w:leader="none" w:pos="2263" w:val="left"/>
        </w:tabs>
        <w:numPr>
          <w:ilvl w:val="2"/>
          <w:numId w:val="51"/>
        </w:numPr>
        <w:rPr>
          <w:rFonts w:ascii="Arial" w:cs="Arial" w:eastAsia="Arial" w:hAnsi="Arial"/>
          <w:sz w:val="18"/>
          <w:szCs w:val="18"/>
          <w:color w:val="auto"/>
        </w:rPr>
      </w:pPr>
      <w:r>
        <w:rPr>
          <w:rFonts w:ascii="Arial" w:cs="Arial" w:eastAsia="Arial" w:hAnsi="Arial"/>
          <w:sz w:val="20"/>
          <w:szCs w:val="20"/>
          <w:color w:val="auto"/>
        </w:rPr>
        <w:t>the RSUs and the shares of Common Stock subject to the RSUs, and the income and value of same, are not part of normal or expected compensation or salary for any purpose; and</w:t>
      </w:r>
    </w:p>
    <w:p>
      <w:pPr>
        <w:spacing w:after="0" w:line="147" w:lineRule="exact"/>
        <w:rPr>
          <w:rFonts w:ascii="Arial" w:cs="Arial" w:eastAsia="Arial" w:hAnsi="Arial"/>
          <w:sz w:val="18"/>
          <w:szCs w:val="18"/>
          <w:color w:val="auto"/>
        </w:rPr>
      </w:pPr>
    </w:p>
    <w:p>
      <w:pPr>
        <w:ind w:left="582" w:right="20" w:firstLine="1184"/>
        <w:spacing w:after="0" w:line="254" w:lineRule="auto"/>
        <w:tabs>
          <w:tab w:leader="none" w:pos="2263" w:val="left"/>
        </w:tabs>
        <w:numPr>
          <w:ilvl w:val="2"/>
          <w:numId w:val="51"/>
        </w:numPr>
        <w:rPr>
          <w:rFonts w:ascii="Arial" w:cs="Arial" w:eastAsia="Arial" w:hAnsi="Arial"/>
          <w:sz w:val="18"/>
          <w:szCs w:val="18"/>
          <w:color w:val="auto"/>
        </w:rPr>
      </w:pPr>
      <w:r>
        <w:rPr>
          <w:rFonts w:ascii="Arial" w:cs="Arial" w:eastAsia="Arial" w:hAnsi="Arial"/>
          <w:sz w:val="20"/>
          <w:szCs w:val="20"/>
          <w:color w:val="auto"/>
        </w:rPr>
        <w:t>neither the Company, the Employer nor any Subsidiary or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of Common Stock acquired upon settlement.</w:t>
      </w:r>
    </w:p>
    <w:p>
      <w:pPr>
        <w:spacing w:after="0" w:line="167" w:lineRule="exact"/>
        <w:rPr>
          <w:rFonts w:ascii="Arial" w:cs="Arial" w:eastAsia="Arial" w:hAnsi="Arial"/>
          <w:sz w:val="18"/>
          <w:szCs w:val="18"/>
          <w:color w:val="auto"/>
        </w:rPr>
      </w:pPr>
    </w:p>
    <w:p>
      <w:pPr>
        <w:ind w:left="582" w:right="140" w:hanging="582"/>
        <w:spacing w:after="0" w:line="249" w:lineRule="auto"/>
        <w:tabs>
          <w:tab w:leader="none" w:pos="582"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the Participant’s participation in the Plan, or the Participant’s acquisition or sale of the underlying shares of Common Stock. The Participant should consult with his or her own personal tax, legal and financial advisors regarding his or her participation in the Plan before taking any action related to the Plan.</w:t>
      </w:r>
    </w:p>
    <w:p>
      <w:pPr>
        <w:spacing w:after="0" w:line="174" w:lineRule="exact"/>
        <w:rPr>
          <w:rFonts w:ascii="Arial" w:cs="Arial" w:eastAsia="Arial" w:hAnsi="Arial"/>
          <w:sz w:val="20"/>
          <w:szCs w:val="20"/>
          <w:color w:val="auto"/>
        </w:rPr>
      </w:pPr>
    </w:p>
    <w:p>
      <w:pPr>
        <w:ind w:left="582" w:hanging="582"/>
        <w:spacing w:after="0" w:line="292" w:lineRule="auto"/>
        <w:tabs>
          <w:tab w:leader="none" w:pos="58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vesting/settlement of the RSUs prior to the completion of any registration or qualification of the shares of Common Stock under any local, state, federal or foreign securities or exchange control law or under rulings or regulations of the U.S.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of Common Stock with the SEC or any state or foreign securities commission or to seek approval or clearance from any governmental authority for the issuance or sale of the shares of Common Stock. Further, the Participant agrees that the Company shall have unilateral authority to amend the Plan and the Agreement without the Participant’s consent to the extent necessary to comply with securities or other laws applicable to issuance of shares of Common Stock.</w:t>
      </w:r>
    </w:p>
    <w:p>
      <w:pPr>
        <w:sectPr>
          <w:pgSz w:w="11900" w:h="16838" w:orient="portrait"/>
          <w:cols w:equalWidth="0" w:num="1">
            <w:col w:w="11382"/>
          </w:cols>
          <w:pgMar w:left="238" w:top="132" w:right="279" w:bottom="0" w:gutter="0" w:footer="0" w:header="0"/>
        </w:sectPr>
      </w:pPr>
    </w:p>
    <w:bookmarkStart w:id="120" w:name="page121"/>
    <w:bookmarkEnd w:id="120"/>
    <w:p>
      <w:pPr>
        <w:ind w:left="582" w:right="140" w:hanging="582"/>
        <w:spacing w:after="0" w:line="249" w:lineRule="auto"/>
        <w:tabs>
          <w:tab w:leader="none" w:pos="58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4" w:lineRule="exact"/>
        <w:rPr>
          <w:rFonts w:ascii="Arial" w:cs="Arial" w:eastAsia="Arial" w:hAnsi="Arial"/>
          <w:sz w:val="20"/>
          <w:szCs w:val="20"/>
          <w:color w:val="auto"/>
        </w:rPr>
      </w:pPr>
    </w:p>
    <w:p>
      <w:pPr>
        <w:jc w:val="both"/>
        <w:ind w:left="582" w:right="340" w:hanging="582"/>
        <w:spacing w:after="0" w:line="253" w:lineRule="auto"/>
        <w:tabs>
          <w:tab w:leader="none" w:pos="582"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Participant has received this Agreement, or any other document related to the RSUs and/or the Plan translated into a language other than English and if the meaning of the translated version is different than the English version, the English version will control.</w:t>
      </w:r>
    </w:p>
    <w:p>
      <w:pPr>
        <w:spacing w:after="0" w:line="168" w:lineRule="exact"/>
        <w:rPr>
          <w:rFonts w:ascii="Arial" w:cs="Arial" w:eastAsia="Arial" w:hAnsi="Arial"/>
          <w:sz w:val="20"/>
          <w:szCs w:val="20"/>
          <w:color w:val="auto"/>
        </w:rPr>
      </w:pPr>
    </w:p>
    <w:p>
      <w:pPr>
        <w:ind w:left="582" w:hanging="582"/>
        <w:spacing w:after="0" w:line="267" w:lineRule="auto"/>
        <w:tabs>
          <w:tab w:leader="none" w:pos="58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Participant’s participation in the Plan, on the RSUs and on any shares of Common Stock acquired upon vesting/settlement of the RSUs, to the extent the Company determines it is necessary or advisable for legal or administrative reasons, and to require the Participant to sign any additional agreements or undertakings that may be necessary to accomplish the foregoing.</w:t>
      </w:r>
    </w:p>
    <w:p>
      <w:pPr>
        <w:spacing w:after="0" w:line="156" w:lineRule="exact"/>
        <w:rPr>
          <w:rFonts w:ascii="Arial" w:cs="Arial" w:eastAsia="Arial" w:hAnsi="Arial"/>
          <w:sz w:val="19"/>
          <w:szCs w:val="19"/>
          <w:color w:val="auto"/>
        </w:rPr>
      </w:pPr>
    </w:p>
    <w:p>
      <w:pPr>
        <w:ind w:left="582" w:right="20" w:hanging="582"/>
        <w:spacing w:after="0" w:line="260" w:lineRule="auto"/>
        <w:tabs>
          <w:tab w:leader="none" w:pos="58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Participant Acknowledgment</w:t>
      </w:r>
      <w:r>
        <w:rPr>
          <w:rFonts w:ascii="Arial" w:cs="Arial" w:eastAsia="Arial" w:hAnsi="Arial"/>
          <w:sz w:val="19"/>
          <w:szCs w:val="19"/>
          <w:color w:val="auto"/>
        </w:rPr>
        <w:t>. By the Participant’s electronic acceptance of this Agreement, the Participant hereby acknowledges receipt of a copy of the Plan and agrees that this Award is granted under and governed by the terms and conditions of the Plan and this Agreement. The Participant further acknowledges that all decisions, determinations and interpretations of the Committee in respect of the Plan and this Agreement shall be final and conclusive. The Participant acknowledges that there may be adverse tax consequences upon vesting/settlement of the RSUs or disposition of the underlying shares of Common Stock and that the Participant should consult a tax advisor prior to such vesting or disposition. Finally, the Participant acknowledges that the Participant has reviewed the Plan and this Agreement in their entirety, has had an opportunity to obtain the advice of counsel prior to accepting this Agreement and fully understands all provisions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22"/>
        <w:spacing w:after="0"/>
        <w:rPr>
          <w:sz w:val="20"/>
          <w:szCs w:val="20"/>
          <w:color w:val="auto"/>
        </w:rPr>
      </w:pPr>
      <w:r>
        <w:rPr>
          <w:rFonts w:ascii="Arial" w:cs="Arial" w:eastAsia="Arial" w:hAnsi="Arial"/>
          <w:sz w:val="17"/>
          <w:szCs w:val="17"/>
          <w:color w:val="auto"/>
        </w:rPr>
        <w:t>IN WITNESS WHEREOF, the Company has caused this Agreement to be duly executed by its duly authorized officer and said</w:t>
      </w:r>
    </w:p>
    <w:p>
      <w:pPr>
        <w:spacing w:after="0" w:line="53" w:lineRule="exact"/>
        <w:rPr>
          <w:sz w:val="20"/>
          <w:szCs w:val="20"/>
          <w:color w:val="auto"/>
        </w:rPr>
      </w:pPr>
    </w:p>
    <w:p>
      <w:pPr>
        <w:ind w:left="2"/>
        <w:spacing w:after="0"/>
        <w:rPr>
          <w:sz w:val="20"/>
          <w:szCs w:val="20"/>
          <w:color w:val="auto"/>
        </w:rPr>
      </w:pPr>
      <w:r>
        <w:rPr>
          <w:rFonts w:ascii="Arial" w:cs="Arial" w:eastAsia="Arial" w:hAnsi="Arial"/>
          <w:sz w:val="19"/>
          <w:szCs w:val="19"/>
          <w:color w:val="auto"/>
        </w:rPr>
        <w:t>Participant has hereunto signed this Agreement on his own behalf, thereby representing that he has carefully read and understands this</w:t>
      </w:r>
    </w:p>
    <w:p>
      <w:pPr>
        <w:spacing w:after="0" w:line="15" w:lineRule="exact"/>
        <w:rPr>
          <w:sz w:val="20"/>
          <w:szCs w:val="20"/>
          <w:color w:val="auto"/>
        </w:rPr>
      </w:pPr>
    </w:p>
    <w:p>
      <w:pPr>
        <w:ind w:left="2"/>
        <w:spacing w:after="0"/>
        <w:rPr>
          <w:sz w:val="20"/>
          <w:szCs w:val="20"/>
          <w:color w:val="auto"/>
        </w:rPr>
      </w:pPr>
      <w:r>
        <w:rPr>
          <w:rFonts w:ascii="Arial" w:cs="Arial" w:eastAsia="Arial" w:hAnsi="Arial"/>
          <w:sz w:val="20"/>
          <w:szCs w:val="20"/>
          <w:color w:val="auto"/>
        </w:rPr>
        <w:t>Agreement and the Plan as of the day and year first written above.</w:t>
      </w:r>
    </w:p>
    <w:p>
      <w:pPr>
        <w:spacing w:after="0" w:line="257" w:lineRule="exact"/>
        <w:rPr>
          <w:sz w:val="20"/>
          <w:szCs w:val="20"/>
          <w:color w:val="auto"/>
        </w:rPr>
      </w:pPr>
    </w:p>
    <w:p>
      <w:pPr>
        <w:ind w:left="2942"/>
        <w:spacing w:after="0"/>
        <w:rPr>
          <w:sz w:val="20"/>
          <w:szCs w:val="20"/>
          <w:color w:val="auto"/>
        </w:rPr>
      </w:pPr>
      <w:r>
        <w:rPr>
          <w:rFonts w:ascii="Arial" w:cs="Arial" w:eastAsia="Arial" w:hAnsi="Arial"/>
          <w:sz w:val="20"/>
          <w:szCs w:val="20"/>
          <w:color w:val="auto"/>
        </w:rPr>
        <w:t>Sabre Corporation</w:t>
      </w:r>
    </w:p>
    <w:p>
      <w:pPr>
        <w:sectPr>
          <w:pgSz w:w="11900" w:h="16838" w:orient="portrait"/>
          <w:cols w:equalWidth="0" w:num="1">
            <w:col w:w="11402"/>
          </w:cols>
          <w:pgMar w:left="238" w:top="132" w:right="259"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942"/>
        <w:spacing w:after="0"/>
        <w:rPr>
          <w:sz w:val="20"/>
          <w:szCs w:val="20"/>
          <w:color w:val="auto"/>
        </w:rPr>
      </w:pPr>
      <w:r>
        <w:rPr>
          <w:rFonts w:ascii="Arial" w:cs="Arial" w:eastAsia="Arial" w:hAnsi="Arial"/>
          <w:sz w:val="17"/>
          <w:szCs w:val="17"/>
          <w:color w:val="auto"/>
        </w:rPr>
        <w:t>_____________________________</w:t>
      </w:r>
    </w:p>
    <w:p>
      <w:pPr>
        <w:sectPr>
          <w:pgSz w:w="11900" w:h="16838" w:orient="portrait"/>
          <w:cols w:equalWidth="0" w:num="1">
            <w:col w:w="11402"/>
          </w:cols>
          <w:pgMar w:left="238" w:top="132" w:right="259" w:bottom="405" w:gutter="0" w:footer="0" w:header="0"/>
          <w:type w:val="continuous"/>
        </w:sectPr>
      </w:pPr>
    </w:p>
    <w:bookmarkStart w:id="121" w:name="page122"/>
    <w:bookmarkEnd w:id="121"/>
    <w:p>
      <w:pPr>
        <w:ind w:left="1740"/>
        <w:spacing w:after="0"/>
        <w:rPr>
          <w:sz w:val="20"/>
          <w:szCs w:val="20"/>
          <w:color w:val="auto"/>
        </w:rPr>
      </w:pPr>
      <w:r>
        <w:rPr>
          <w:rFonts w:ascii="Arial" w:cs="Arial" w:eastAsia="Arial" w:hAnsi="Arial"/>
          <w:sz w:val="17"/>
          <w:szCs w:val="17"/>
          <w:color w:val="auto"/>
        </w:rPr>
        <w:t>_____________________________</w:t>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019"/>
          </w:cols>
          <w:pgMar w:left="1440" w:top="206" w:right="1440" w:bottom="1440" w:gutter="0" w:footer="0" w:header="0"/>
        </w:sectPr>
      </w:pPr>
    </w:p>
    <w:bookmarkStart w:id="122" w:name="page123"/>
    <w:bookmarkEnd w:id="122"/>
    <w:p>
      <w:pPr>
        <w:ind w:left="10100"/>
        <w:spacing w:after="0"/>
        <w:rPr>
          <w:sz w:val="20"/>
          <w:szCs w:val="20"/>
          <w:color w:val="auto"/>
        </w:rPr>
      </w:pPr>
      <w:r>
        <w:rPr>
          <w:rFonts w:ascii="Arial" w:cs="Arial" w:eastAsia="Arial" w:hAnsi="Arial"/>
          <w:sz w:val="20"/>
          <w:szCs w:val="20"/>
          <w:b w:val="1"/>
          <w:bCs w:val="1"/>
          <w:color w:val="auto"/>
        </w:rPr>
        <w:t>EXHIBIT 10.58</w:t>
      </w:r>
    </w:p>
    <w:p>
      <w:pPr>
        <w:spacing w:after="0" w:line="200" w:lineRule="exact"/>
        <w:rPr>
          <w:sz w:val="20"/>
          <w:szCs w:val="20"/>
          <w:color w:val="auto"/>
        </w:rPr>
      </w:pPr>
    </w:p>
    <w:p>
      <w:pPr>
        <w:spacing w:after="0" w:line="269"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SABRE CORPORATION</w:t>
      </w:r>
    </w:p>
    <w:p>
      <w:pPr>
        <w:spacing w:after="0" w:line="25"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2016 OMNIBUS INCENTIVE COMPENSATION PLAN</w:t>
      </w:r>
    </w:p>
    <w:p>
      <w:pPr>
        <w:spacing w:after="0" w:line="3"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FORM OF EXECUTIVE CHAIRMAN</w:t>
      </w:r>
    </w:p>
    <w:p>
      <w:pPr>
        <w:spacing w:after="0" w:line="3"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STOCK OPTION GRANT AGREEMENT</w:t>
      </w:r>
    </w:p>
    <w:p>
      <w:pPr>
        <w:spacing w:after="0" w:line="3" w:lineRule="exact"/>
        <w:rPr>
          <w:sz w:val="20"/>
          <w:szCs w:val="20"/>
          <w:color w:val="auto"/>
        </w:rPr>
      </w:pPr>
    </w:p>
    <w:p>
      <w:pPr>
        <w:ind w:left="4500"/>
        <w:spacing w:after="0"/>
        <w:rPr>
          <w:sz w:val="20"/>
          <w:szCs w:val="20"/>
          <w:color w:val="auto"/>
        </w:rPr>
      </w:pPr>
      <w:r>
        <w:rPr>
          <w:rFonts w:ascii="Arial" w:cs="Arial" w:eastAsia="Arial" w:hAnsi="Arial"/>
          <w:sz w:val="20"/>
          <w:szCs w:val="20"/>
          <w:i w:val="1"/>
          <w:iCs w:val="1"/>
          <w:color w:val="auto"/>
        </w:rPr>
        <w:t>(Non-Qualified Stock Options)</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THIS AGREEMENT, made as of this ___________________ between Sabre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 (the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84" w:lineRule="exact"/>
        <w:rPr>
          <w:sz w:val="20"/>
          <w:szCs w:val="20"/>
          <w:color w:val="auto"/>
        </w:rPr>
      </w:pPr>
    </w:p>
    <w:p>
      <w:pPr>
        <w:ind w:right="100" w:firstLine="1177"/>
        <w:spacing w:after="0" w:line="249" w:lineRule="auto"/>
        <w:rPr>
          <w:sz w:val="20"/>
          <w:szCs w:val="20"/>
          <w:color w:val="auto"/>
        </w:rPr>
      </w:pPr>
      <w:r>
        <w:rPr>
          <w:rFonts w:ascii="Arial" w:cs="Arial" w:eastAsia="Arial" w:hAnsi="Arial"/>
          <w:sz w:val="20"/>
          <w:szCs w:val="20"/>
          <w:color w:val="auto"/>
        </w:rPr>
        <w:t>WHEREAS, the Company has adopted the Sabre Corporation 2016 Omnibus Incentive Compensation Plan (the “</w:t>
      </w:r>
      <w:r>
        <w:rPr>
          <w:rFonts w:ascii="Arial" w:cs="Arial" w:eastAsia="Arial" w:hAnsi="Arial"/>
          <w:sz w:val="20"/>
          <w:szCs w:val="20"/>
          <w:u w:val="single" w:color="auto"/>
          <w:color w:val="auto"/>
        </w:rPr>
        <w:t>Plan</w:t>
      </w:r>
      <w:r>
        <w:rPr>
          <w:rFonts w:ascii="Arial" w:cs="Arial" w:eastAsia="Arial" w:hAnsi="Arial"/>
          <w:sz w:val="20"/>
          <w:szCs w:val="20"/>
          <w:color w:val="auto"/>
        </w:rPr>
        <w:t>”) to promote the interests of the Company and its stockholders by providing the employees and directors of the Company, who are largely responsible for the management, growth, and protection of the business of the Company, with incentives and rewards to encourage them to continue in the service of the Company;</w:t>
      </w:r>
    </w:p>
    <w:p>
      <w:pPr>
        <w:spacing w:after="0" w:line="174" w:lineRule="exact"/>
        <w:rPr>
          <w:sz w:val="20"/>
          <w:szCs w:val="20"/>
          <w:color w:val="auto"/>
        </w:rPr>
      </w:pPr>
    </w:p>
    <w:p>
      <w:pPr>
        <w:ind w:right="460" w:firstLine="1177"/>
        <w:spacing w:after="0" w:line="262" w:lineRule="auto"/>
        <w:rPr>
          <w:sz w:val="20"/>
          <w:szCs w:val="20"/>
          <w:color w:val="auto"/>
        </w:rPr>
      </w:pPr>
      <w:r>
        <w:rPr>
          <w:rFonts w:ascii="Arial" w:cs="Arial" w:eastAsia="Arial" w:hAnsi="Arial"/>
          <w:sz w:val="20"/>
          <w:szCs w:val="20"/>
          <w:color w:val="auto"/>
        </w:rPr>
        <w:t>WHEREAS, Section 6 of the Plan provides for the grant to Participants of Non-Qualified Stock Options to purchase shares of Common Stock of the Company.</w:t>
      </w:r>
    </w:p>
    <w:p>
      <w:pPr>
        <w:spacing w:after="0" w:line="160" w:lineRule="exact"/>
        <w:rPr>
          <w:sz w:val="20"/>
          <w:szCs w:val="20"/>
          <w:color w:val="auto"/>
        </w:rPr>
      </w:pPr>
    </w:p>
    <w:p>
      <w:pPr>
        <w:ind w:right="380" w:firstLine="1177"/>
        <w:spacing w:after="0" w:line="262" w:lineRule="auto"/>
        <w:rPr>
          <w:sz w:val="20"/>
          <w:szCs w:val="20"/>
          <w:color w:val="auto"/>
        </w:rPr>
      </w:pPr>
      <w:r>
        <w:rPr>
          <w:rFonts w:ascii="Arial" w:cs="Arial" w:eastAsia="Arial" w:hAnsi="Arial"/>
          <w:sz w:val="20"/>
          <w:szCs w:val="20"/>
          <w:color w:val="auto"/>
        </w:rPr>
        <w:t>NOW, THEREFORE, in consideration of the premises and the mutual covenants hereinafter set forth, the parties hereto hereby agree as follows:</w:t>
      </w:r>
    </w:p>
    <w:p>
      <w:pPr>
        <w:spacing w:after="0" w:line="160" w:lineRule="exact"/>
        <w:rPr>
          <w:sz w:val="20"/>
          <w:szCs w:val="20"/>
          <w:color w:val="auto"/>
        </w:rPr>
      </w:pPr>
    </w:p>
    <w:p>
      <w:pPr>
        <w:ind w:right="100" w:firstLine="587"/>
        <w:spacing w:after="0" w:line="351" w:lineRule="auto"/>
        <w:tabs>
          <w:tab w:leader="none" w:pos="103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Grant of Options</w:t>
      </w:r>
      <w:r>
        <w:rPr>
          <w:rFonts w:ascii="Arial" w:cs="Arial" w:eastAsia="Arial" w:hAnsi="Arial"/>
          <w:sz w:val="17"/>
          <w:szCs w:val="17"/>
          <w:color w:val="auto"/>
        </w:rPr>
        <w:t>. Pursuant to, and subject to, the terms and conditions set forth herein and in the Plan, the Company hereby grants to the Participant a NON-QUALIFIED STOCK OPTION (the “</w:t>
      </w:r>
      <w:r>
        <w:rPr>
          <w:rFonts w:ascii="Arial" w:cs="Arial" w:eastAsia="Arial" w:hAnsi="Arial"/>
          <w:sz w:val="17"/>
          <w:szCs w:val="17"/>
          <w:u w:val="single" w:color="auto"/>
          <w:color w:val="auto"/>
        </w:rPr>
        <w:t>Option</w:t>
      </w:r>
      <w:r>
        <w:rPr>
          <w:rFonts w:ascii="Arial" w:cs="Arial" w:eastAsia="Arial" w:hAnsi="Arial"/>
          <w:sz w:val="17"/>
          <w:szCs w:val="17"/>
          <w:color w:val="auto"/>
        </w:rPr>
        <w:t>”) with respect to ___________ shares of Common Stock of the Company.</w:t>
      </w:r>
    </w:p>
    <w:p>
      <w:pPr>
        <w:spacing w:after="0" w:line="90" w:lineRule="exact"/>
        <w:rPr>
          <w:rFonts w:ascii="Arial" w:cs="Arial" w:eastAsia="Arial" w:hAnsi="Arial"/>
          <w:sz w:val="17"/>
          <w:szCs w:val="17"/>
          <w:color w:val="auto"/>
        </w:rPr>
      </w:pPr>
    </w:p>
    <w:p>
      <w:pPr>
        <w:ind w:left="900" w:hanging="313"/>
        <w:spacing w:after="0"/>
        <w:tabs>
          <w:tab w:leader="none" w:pos="90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Grant Date</w:t>
      </w:r>
      <w:r>
        <w:rPr>
          <w:rFonts w:ascii="Arial" w:cs="Arial" w:eastAsia="Arial" w:hAnsi="Arial"/>
          <w:sz w:val="20"/>
          <w:szCs w:val="20"/>
          <w:color w:val="auto"/>
        </w:rPr>
        <w:t>. The grant date of the Option hereby granted is __________________ (“</w:t>
      </w:r>
      <w:r>
        <w:rPr>
          <w:rFonts w:ascii="Arial" w:cs="Arial" w:eastAsia="Arial" w:hAnsi="Arial"/>
          <w:sz w:val="20"/>
          <w:szCs w:val="20"/>
          <w:u w:val="single" w:color="auto"/>
          <w:color w:val="auto"/>
        </w:rPr>
        <w:t>Grant Date</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left="900" w:hanging="31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Exercise Price; Exercisability</w:t>
      </w:r>
      <w:r>
        <w:rPr>
          <w:rFonts w:ascii="Arial" w:cs="Arial" w:eastAsia="Arial" w:hAnsi="Arial"/>
          <w:sz w:val="17"/>
          <w:szCs w:val="17"/>
          <w:color w:val="auto"/>
        </w:rPr>
        <w:t>. The exercise price of each share of Common Stock underlying the Option hereby granted is $_______</w:t>
      </w:r>
    </w:p>
    <w:p>
      <w:pPr>
        <w:spacing w:after="0" w:line="5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Exercise Price</w:t>
      </w:r>
      <w:r>
        <w:rPr>
          <w:rFonts w:ascii="Arial" w:cs="Arial" w:eastAsia="Arial" w:hAnsi="Arial"/>
          <w:sz w:val="20"/>
          <w:szCs w:val="20"/>
          <w:color w:val="auto"/>
        </w:rPr>
        <w:t>”).</w:t>
      </w:r>
    </w:p>
    <w:p>
      <w:pPr>
        <w:spacing w:after="0" w:line="195" w:lineRule="exact"/>
        <w:rPr>
          <w:rFonts w:ascii="Arial" w:cs="Arial" w:eastAsia="Arial" w:hAnsi="Arial"/>
          <w:sz w:val="17"/>
          <w:szCs w:val="17"/>
          <w:color w:val="auto"/>
        </w:rPr>
      </w:pPr>
    </w:p>
    <w:p>
      <w:pPr>
        <w:ind w:left="900" w:hanging="313"/>
        <w:spacing w:after="0"/>
        <w:tabs>
          <w:tab w:leader="none" w:pos="90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Vesting of Options</w:t>
      </w:r>
      <w:r>
        <w:rPr>
          <w:rFonts w:ascii="Arial" w:cs="Arial" w:eastAsia="Arial" w:hAnsi="Arial"/>
          <w:sz w:val="20"/>
          <w:szCs w:val="20"/>
          <w:color w:val="auto"/>
        </w:rPr>
        <w:t>. The Option shall become vested and exercisable as follows:</w:t>
      </w:r>
    </w:p>
    <w:p>
      <w:pPr>
        <w:spacing w:after="0" w:line="18" w:lineRule="exact"/>
        <w:rPr>
          <w:rFonts w:ascii="Arial" w:cs="Arial" w:eastAsia="Arial" w:hAnsi="Arial"/>
          <w:sz w:val="20"/>
          <w:szCs w:val="20"/>
          <w:color w:val="auto"/>
        </w:rPr>
      </w:pPr>
    </w:p>
    <w:p>
      <w:pPr>
        <w:spacing w:after="0" w:line="300" w:lineRule="auto"/>
        <w:rPr>
          <w:rFonts w:ascii="Arial" w:cs="Arial" w:eastAsia="Arial" w:hAnsi="Arial"/>
          <w:sz w:val="20"/>
          <w:szCs w:val="20"/>
          <w:color w:val="auto"/>
        </w:rPr>
      </w:pPr>
      <w:r>
        <w:rPr>
          <w:rFonts w:ascii="Arial" w:cs="Arial" w:eastAsia="Arial" w:hAnsi="Arial"/>
          <w:sz w:val="17"/>
          <w:szCs w:val="17"/>
          <w:color w:val="auto"/>
        </w:rPr>
        <w:t>_____________________________________________________________________________________________________________________; subject in all cases to the Participant’s continued Employment (which, as defined in the Plan, includes provision of services as a director) through each such date (each such date, a “Vesting Date”). Notwithstanding the foregoing, in the event (1) the Participant’s Employment terminates prior to the applicable Vesting Date for any reason other than the Participant’s termination of Employment due to voluntary retirement, or (2) of a Change in Control, all of the Participant’s outstanding, unvested Options shall vest in full immediately prior to the occurrence of such event and become exercisable.</w:t>
      </w:r>
    </w:p>
    <w:p>
      <w:pPr>
        <w:spacing w:after="0" w:line="369" w:lineRule="exact"/>
        <w:rPr>
          <w:rFonts w:ascii="Arial" w:cs="Arial" w:eastAsia="Arial" w:hAnsi="Arial"/>
          <w:sz w:val="20"/>
          <w:szCs w:val="20"/>
          <w:color w:val="auto"/>
        </w:rPr>
      </w:pPr>
    </w:p>
    <w:p>
      <w:pPr>
        <w:ind w:right="100" w:firstLine="587"/>
        <w:spacing w:after="0" w:line="294" w:lineRule="auto"/>
        <w:tabs>
          <w:tab w:leader="none" w:pos="899"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 The Option shall be exercised by delivery of an electronic or physical written notice to the Secretary of the Company, or such other form as permitted by the Committee from time to time and communicated to the Participant (the “</w:t>
      </w:r>
      <w:r>
        <w:rPr>
          <w:rFonts w:ascii="Arial" w:cs="Arial" w:eastAsia="Arial" w:hAnsi="Arial"/>
          <w:sz w:val="17"/>
          <w:szCs w:val="17"/>
          <w:u w:val="single" w:color="auto"/>
          <w:color w:val="auto"/>
        </w:rPr>
        <w:t>Exercise Notice</w:t>
      </w:r>
      <w:r>
        <w:rPr>
          <w:rFonts w:ascii="Arial" w:cs="Arial" w:eastAsia="Arial" w:hAnsi="Arial"/>
          <w:sz w:val="17"/>
          <w:szCs w:val="17"/>
          <w:color w:val="auto"/>
        </w:rPr>
        <w:t>”), which shall state the election to exercise the Option, specify the number of shares of Common Stock with respect to which the Option is being exercised, and such other representations and agreements as may be required by the Committee pursuant to the provisions of the Plan. The Exercise Notice shall include payment in cash for an amount equal to the Exercise Price multiplied by the number of shares of Common Stock specified in such Exercise Notice. Such payment may be made in (i) cash; or in the Committee’s sole discretion, (ii) shares of Common Stock (that the Participant has owned for at least one (1) year) having a Fair Market Value equal to the Exercise Price; (iii) a combination of cash and shares provided that such shares have been held by the Participant for at least one (1) year prior to such exercise; or (iv) through a broker assisted exercise, but only to the extent such right or the utilization of such right would not cause the Option to be subject to Section 409A of the Code and to the extent the use of net-physical settlement is permitted by, and is in compliance with applicable law. The partial exercise of the Option, alone, shall not cause the expiration, termination or cancellation of the remaining portion of the Option.</w:t>
      </w:r>
    </w:p>
    <w:p>
      <w:pPr>
        <w:spacing w:after="0" w:line="138" w:lineRule="exact"/>
        <w:rPr>
          <w:rFonts w:ascii="Arial" w:cs="Arial" w:eastAsia="Arial" w:hAnsi="Arial"/>
          <w:sz w:val="17"/>
          <w:szCs w:val="17"/>
          <w:color w:val="auto"/>
        </w:rPr>
      </w:pPr>
    </w:p>
    <w:p>
      <w:pPr>
        <w:ind w:right="140" w:firstLine="587"/>
        <w:spacing w:after="0" w:line="263" w:lineRule="auto"/>
        <w:tabs>
          <w:tab w:leader="none" w:pos="89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Expiration of Options</w:t>
      </w:r>
      <w:r>
        <w:rPr>
          <w:rFonts w:ascii="Arial" w:cs="Arial" w:eastAsia="Arial" w:hAnsi="Arial"/>
          <w:sz w:val="19"/>
          <w:szCs w:val="19"/>
          <w:color w:val="auto"/>
        </w:rPr>
        <w:t>. The Participant’s Option, or portion thereof, which has not become exercisable shall expire on the date the Participant’s Employment is terminated by reason of his voluntary retirement. The Participant’s Option, or any portion thereof, which have become exercisable on or before the date the Participant’s Employment is terminated (or that become exercisable as a result of such termination) shall expire on the earlier of (i) ninety (90) days after the date the Participant’s Employment is terminated for any reason other than death or Disability; (ii) one year after the date the Participant’s Employment is terminated by reason of death or Disability; or (iii) the tenth (10th) anniversary of the Grant Date for such Option(s). All Options, whether vested or unvested, that have not sooner expired shall expire no later than the tenth (10th) anniversary of the Grant Date.</w:t>
      </w:r>
    </w:p>
    <w:p>
      <w:pPr>
        <w:spacing w:after="0" w:line="163" w:lineRule="exact"/>
        <w:rPr>
          <w:rFonts w:ascii="Arial" w:cs="Arial" w:eastAsia="Arial" w:hAnsi="Arial"/>
          <w:sz w:val="19"/>
          <w:szCs w:val="19"/>
          <w:color w:val="auto"/>
        </w:rPr>
      </w:pPr>
    </w:p>
    <w:p>
      <w:pPr>
        <w:ind w:right="120" w:firstLine="587"/>
        <w:spacing w:after="0" w:line="299" w:lineRule="auto"/>
        <w:tabs>
          <w:tab w:leader="none" w:pos="899"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Option is exercisable during the Participant’s lifetime only by the Participant or his or her guardian or legal representative, and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Option will be forfeited by the Participant and all of the Participant’s rights to such Option shall immediately terminate without any payment or consideration from the Company. Upon the death of a Participant, outstanding Options granted to such Participant may be exercised only by the executors or administrators of the Participant’s estate or by any person or persons who shall have acquired such right to exercise by will or by the laws of descent and distribution pursuant to Section 18 of the Plan.</w:t>
      </w:r>
    </w:p>
    <w:p>
      <w:pPr>
        <w:spacing w:after="0" w:line="135" w:lineRule="exact"/>
        <w:rPr>
          <w:rFonts w:ascii="Arial" w:cs="Arial" w:eastAsia="Arial" w:hAnsi="Arial"/>
          <w:sz w:val="17"/>
          <w:szCs w:val="17"/>
          <w:color w:val="auto"/>
        </w:rPr>
      </w:pPr>
    </w:p>
    <w:p>
      <w:pPr>
        <w:ind w:right="580" w:firstLine="587"/>
        <w:spacing w:after="0" w:line="279" w:lineRule="auto"/>
        <w:tabs>
          <w:tab w:leader="none" w:pos="89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sectPr>
          <w:pgSz w:w="11900" w:h="16838" w:orient="portrait"/>
          <w:cols w:equalWidth="0" w:num="1">
            <w:col w:w="11520"/>
          </w:cols>
          <w:pgMar w:left="240" w:top="347" w:right="139" w:bottom="0" w:gutter="0" w:footer="0" w:header="0"/>
        </w:sectPr>
      </w:pPr>
    </w:p>
    <w:bookmarkStart w:id="123" w:name="page124"/>
    <w:bookmarkEnd w:id="123"/>
    <w:p>
      <w:pPr>
        <w:spacing w:after="0" w:line="48" w:lineRule="exact"/>
        <w:rPr>
          <w:sz w:val="20"/>
          <w:szCs w:val="20"/>
          <w:color w:val="auto"/>
        </w:rPr>
      </w:pPr>
    </w:p>
    <w:p>
      <w:pPr>
        <w:ind w:right="60" w:firstLine="587"/>
        <w:spacing w:after="0" w:line="235" w:lineRule="exact"/>
        <w:tabs>
          <w:tab w:leader="none" w:pos="89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Participant acknowledges that, regardless of any action taken by the Company or, if different, the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Participant’s participation in the Plan and legally applicable to the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actually withheld by the Company or the Employer. The Participant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shares of Common Stock acquired pursuant to such exercise and the receipt of any dividends; and (ii) do not commit to and are under no obligation to structure the terms of the grant or any aspect of the Option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88" w:lineRule="exact"/>
        <w:rPr>
          <w:sz w:val="20"/>
          <w:szCs w:val="20"/>
          <w:color w:val="auto"/>
        </w:rPr>
      </w:pPr>
    </w:p>
    <w:p>
      <w:pPr>
        <w:ind w:left="580" w:right="660" w:firstLine="589"/>
        <w:spacing w:after="0" w:line="262" w:lineRule="auto"/>
        <w:rPr>
          <w:sz w:val="20"/>
          <w:szCs w:val="20"/>
          <w:color w:val="auto"/>
        </w:rPr>
      </w:pPr>
      <w:r>
        <w:rPr>
          <w:rFonts w:ascii="Arial" w:cs="Arial" w:eastAsia="Arial" w:hAnsi="Arial"/>
          <w:sz w:val="20"/>
          <w:szCs w:val="20"/>
          <w:color w:val="auto"/>
        </w:rPr>
        <w:t>Prior to the relevant taxable or tax withholding event, as applicable, the Participant agrees to make adequate arrangements satisfactory to the Company and/or the Employer to satisfy all Tax-Related Items.</w:t>
      </w:r>
    </w:p>
    <w:p>
      <w:pPr>
        <w:spacing w:after="0" w:line="160" w:lineRule="exact"/>
        <w:rPr>
          <w:sz w:val="20"/>
          <w:szCs w:val="20"/>
          <w:color w:val="auto"/>
        </w:rPr>
      </w:pPr>
    </w:p>
    <w:p>
      <w:pPr>
        <w:ind w:left="580" w:firstLine="589"/>
        <w:spacing w:after="0" w:line="267" w:lineRule="auto"/>
        <w:rPr>
          <w:sz w:val="20"/>
          <w:szCs w:val="20"/>
          <w:color w:val="auto"/>
        </w:rPr>
      </w:pPr>
      <w:r>
        <w:rPr>
          <w:rFonts w:ascii="Arial" w:cs="Arial" w:eastAsia="Arial" w:hAnsi="Arial"/>
          <w:sz w:val="19"/>
          <w:szCs w:val="19"/>
          <w:color w:val="auto"/>
        </w:rPr>
        <w:t>In this regard, the Participant authorizes the Company and/or the Employer, or their respective agents, at their discretion, to satisfy any applicable withholding obligations with regard to all Tax-Related Items by withholding from proceeds of the sale of shares of Common Stock acquired at exercise of the Option either through a voluntary sale or through a mandatory sale arranged by the Company (on the Participant’s behalf pursuant to this authorization) without further consent</w:t>
      </w:r>
    </w:p>
    <w:p>
      <w:pPr>
        <w:spacing w:after="0" w:line="156" w:lineRule="exact"/>
        <w:rPr>
          <w:sz w:val="20"/>
          <w:szCs w:val="20"/>
          <w:color w:val="auto"/>
        </w:rPr>
      </w:pPr>
    </w:p>
    <w:p>
      <w:pPr>
        <w:ind w:left="580" w:right="380" w:firstLine="589"/>
        <w:spacing w:after="0" w:line="351" w:lineRule="auto"/>
        <w:rPr>
          <w:sz w:val="20"/>
          <w:szCs w:val="20"/>
          <w:color w:val="auto"/>
        </w:rPr>
      </w:pPr>
      <w:r>
        <w:rPr>
          <w:rFonts w:ascii="Arial" w:cs="Arial" w:eastAsia="Arial" w:hAnsi="Arial"/>
          <w:sz w:val="17"/>
          <w:szCs w:val="17"/>
          <w:color w:val="auto"/>
        </w:rPr>
        <w:t>The Company may withhold or account for Tax-Related Items by considering maximum applicable rates, in which case the Participant may receive a refund of any over-withheld amount in cash and will have no entitlement to the Common Stock equivalent.</w:t>
      </w:r>
    </w:p>
    <w:p>
      <w:pPr>
        <w:spacing w:after="0" w:line="91" w:lineRule="exact"/>
        <w:rPr>
          <w:sz w:val="20"/>
          <w:szCs w:val="20"/>
          <w:color w:val="auto"/>
        </w:rPr>
      </w:pPr>
    </w:p>
    <w:p>
      <w:pPr>
        <w:ind w:left="580" w:firstLine="589"/>
        <w:spacing w:after="0" w:line="247" w:lineRule="auto"/>
        <w:rPr>
          <w:sz w:val="20"/>
          <w:szCs w:val="20"/>
          <w:color w:val="auto"/>
        </w:rPr>
      </w:pPr>
      <w:r>
        <w:rPr>
          <w:rFonts w:ascii="Arial" w:cs="Arial" w:eastAsia="Arial" w:hAnsi="Arial"/>
          <w:sz w:val="20"/>
          <w:szCs w:val="20"/>
          <w:color w:val="auto"/>
        </w:rPr>
        <w:t>Finally, the Participant agrees to pay to the Company or the Employer, including through withholding from the Participant’s wages or other cash compensation paid to the Participant by the Company and/or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of Common Stock or the proceeds of the sale of shares of Common Stock if the Participant fails to comply with his or her obligations in connection with the Tax-Related Items.</w:t>
      </w:r>
    </w:p>
    <w:p>
      <w:pPr>
        <w:spacing w:after="0" w:line="174" w:lineRule="exact"/>
        <w:rPr>
          <w:sz w:val="20"/>
          <w:szCs w:val="20"/>
          <w:color w:val="auto"/>
        </w:rPr>
      </w:pPr>
    </w:p>
    <w:p>
      <w:pPr>
        <w:ind w:right="100" w:firstLine="587"/>
        <w:spacing w:after="0" w:line="297" w:lineRule="auto"/>
        <w:tabs>
          <w:tab w:leader="none" w:pos="997"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Construction of Agreement</w:t>
      </w:r>
      <w:r>
        <w:rPr>
          <w:rFonts w:ascii="Arial" w:cs="Arial" w:eastAsia="Arial" w:hAnsi="Arial"/>
          <w:sz w:val="17"/>
          <w:szCs w:val="17"/>
          <w:color w:val="auto"/>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spacing w:after="0" w:line="137" w:lineRule="exact"/>
        <w:rPr>
          <w:rFonts w:ascii="Arial" w:cs="Arial" w:eastAsia="Arial" w:hAnsi="Arial"/>
          <w:sz w:val="17"/>
          <w:szCs w:val="17"/>
          <w:color w:val="auto"/>
        </w:rPr>
      </w:pPr>
    </w:p>
    <w:p>
      <w:pPr>
        <w:ind w:right="120" w:firstLine="587"/>
        <w:spacing w:after="0" w:line="248" w:lineRule="auto"/>
        <w:tabs>
          <w:tab w:leader="none" w:pos="99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Delays or Omissions</w:t>
      </w:r>
      <w:r>
        <w:rPr>
          <w:rFonts w:ascii="Arial" w:cs="Arial" w:eastAsia="Arial" w:hAnsi="Arial"/>
          <w:sz w:val="20"/>
          <w:szCs w:val="20"/>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176" w:lineRule="exact"/>
        <w:rPr>
          <w:rFonts w:ascii="Arial" w:cs="Arial" w:eastAsia="Arial" w:hAnsi="Arial"/>
          <w:sz w:val="20"/>
          <w:szCs w:val="20"/>
          <w:color w:val="auto"/>
        </w:rPr>
      </w:pPr>
    </w:p>
    <w:p>
      <w:pPr>
        <w:ind w:firstLine="587"/>
        <w:spacing w:after="0" w:line="262" w:lineRule="auto"/>
        <w:tabs>
          <w:tab w:leader="none" w:pos="997"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No Special Employment Rights; No Right to Award</w:t>
      </w:r>
      <w:r>
        <w:rPr>
          <w:rFonts w:ascii="Arial" w:cs="Arial" w:eastAsia="Arial" w:hAnsi="Arial"/>
          <w:sz w:val="19"/>
          <w:szCs w:val="19"/>
          <w:color w:val="auto"/>
        </w:rPr>
        <w:t>. Nothing contained in the Plan or any Award shall confer upon any Participant any right with respect to the continuation of his Employment by or service to the Company or the Employer or interfere in any way with the right of the Company or the Employer at any time to terminate such Employment or service or to increase or decrease the compensation of the Participant from the rate in existence at the time of the grant of the Option. 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(ii) the loss or termination of his or her office or Employment with the Company or its Subsidiaries or Affiliates for any reason whatsoever; or (iii) whether or not the termination (and/or giving of notice) is ultimately held to be wrongful or unfair.</w:t>
      </w:r>
    </w:p>
    <w:p>
      <w:pPr>
        <w:spacing w:after="0" w:line="164" w:lineRule="exact"/>
        <w:rPr>
          <w:rFonts w:ascii="Arial" w:cs="Arial" w:eastAsia="Arial" w:hAnsi="Arial"/>
          <w:sz w:val="19"/>
          <w:szCs w:val="19"/>
          <w:color w:val="auto"/>
        </w:rPr>
      </w:pPr>
    </w:p>
    <w:p>
      <w:pPr>
        <w:ind w:right="180" w:firstLine="587"/>
        <w:spacing w:after="0" w:line="271" w:lineRule="auto"/>
        <w:tabs>
          <w:tab w:leader="none" w:pos="997"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The Participant hereby explicitly and unambiguously consents to the collection, use and transfer, in electronic 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other form, of the Participant’s personal data as described in this Agreement and any other Option grant materials by and among, as applicable, the Employer, the Company and its other Subsidiaries and Affiliates for the exclusive purpose of implementing, administering and managing the Participant’s participation in the Plan.</w:t>
      </w:r>
    </w:p>
    <w:p>
      <w:pPr>
        <w:spacing w:after="0" w:line="154" w:lineRule="exact"/>
        <w:rPr>
          <w:sz w:val="20"/>
          <w:szCs w:val="20"/>
          <w:color w:val="auto"/>
        </w:rPr>
      </w:pPr>
    </w:p>
    <w:p>
      <w:pPr>
        <w:ind w:right="460" w:firstLine="589"/>
        <w:spacing w:after="0" w:line="302" w:lineRule="auto"/>
        <w:rPr>
          <w:sz w:val="20"/>
          <w:szCs w:val="20"/>
          <w:color w:val="auto"/>
        </w:rPr>
      </w:pPr>
      <w:r>
        <w:rPr>
          <w:rFonts w:ascii="Arial" w:cs="Arial" w:eastAsia="Arial" w:hAnsi="Arial"/>
          <w:sz w:val="17"/>
          <w:szCs w:val="17"/>
          <w:b w:val="1"/>
          <w:bCs w:val="1"/>
          <w:i w:val="1"/>
          <w:iCs w:val="1"/>
          <w:color w:val="auto"/>
        </w:rPr>
        <w:t>The Participant understands that the Company and the Employer may hold certain personal information about the Participant, including, but not limited to, the Participant’s name, home address and telephone number, email address, date of birth, social insurance number, passport or other identification number, salary, nationality, job title, any shares of stock or directorships held in the Company, details of all Options or any other entitlement to shares of stock awarded, canceled, exercised, vested, unvested or outstanding in the Participant’s favor (“</w:t>
      </w:r>
      <w:r>
        <w:rPr>
          <w:rFonts w:ascii="Arial" w:cs="Arial" w:eastAsia="Arial" w:hAnsi="Arial"/>
          <w:sz w:val="17"/>
          <w:szCs w:val="17"/>
          <w:b w:val="1"/>
          <w:bCs w:val="1"/>
          <w:i w:val="1"/>
          <w:iCs w:val="1"/>
          <w:u w:val="single" w:color="auto"/>
          <w:color w:val="auto"/>
        </w:rPr>
        <w:t>Data</w:t>
      </w:r>
      <w:r>
        <w:rPr>
          <w:rFonts w:ascii="Arial" w:cs="Arial" w:eastAsia="Arial" w:hAnsi="Arial"/>
          <w:sz w:val="17"/>
          <w:szCs w:val="17"/>
          <w:b w:val="1"/>
          <w:bCs w:val="1"/>
          <w:i w:val="1"/>
          <w:iCs w:val="1"/>
          <w:color w:val="auto"/>
        </w:rPr>
        <w:t>”), for the exclusive purpose of implementing, administering and managing the Plan.</w:t>
      </w:r>
    </w:p>
    <w:p>
      <w:pPr>
        <w:spacing w:after="0" w:line="132" w:lineRule="exact"/>
        <w:rPr>
          <w:sz w:val="20"/>
          <w:szCs w:val="20"/>
          <w:color w:val="auto"/>
        </w:rPr>
      </w:pPr>
    </w:p>
    <w:p>
      <w:pPr>
        <w:ind w:right="140" w:firstLine="589"/>
        <w:spacing w:after="0" w:line="325"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Morgan Stanley Smith Barney or such other stock plan service provider as may be selected by the Company in the future, which is assisting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the Participant’s country. The Participant understands that if he or she resides outside the United States, he or she may request a list with the names and addresses of any</w:t>
      </w:r>
    </w:p>
    <w:p>
      <w:pPr>
        <w:sectPr>
          <w:pgSz w:w="11900" w:h="16887" w:orient="portrait"/>
          <w:cols w:equalWidth="0" w:num="1">
            <w:col w:w="11420"/>
          </w:cols>
          <w:pgMar w:left="240" w:top="133" w:right="239" w:bottom="0" w:gutter="0" w:footer="0" w:header="0"/>
        </w:sectPr>
      </w:pPr>
    </w:p>
    <w:bookmarkStart w:id="124" w:name="page125"/>
    <w:bookmarkEnd w:id="124"/>
    <w:p>
      <w:pPr>
        <w:ind w:right="60"/>
        <w:spacing w:after="0" w:line="291" w:lineRule="auto"/>
        <w:rPr>
          <w:sz w:val="20"/>
          <w:szCs w:val="20"/>
          <w:color w:val="auto"/>
        </w:rPr>
      </w:pPr>
      <w:r>
        <w:rPr>
          <w:rFonts w:ascii="Arial" w:cs="Arial" w:eastAsia="Arial" w:hAnsi="Arial"/>
          <w:sz w:val="17"/>
          <w:szCs w:val="17"/>
          <w:b w:val="1"/>
          <w:bCs w:val="1"/>
          <w:i w:val="1"/>
          <w:iCs w:val="1"/>
          <w:color w:val="auto"/>
        </w:rPr>
        <w:t>potential recipients of Data by contacting his or her local human resources representative. The Participant authorizes the Company, Morgan Stanley Smith Barney and any other possible recipients which may assist the Company (presently or in the future) with implementing, administering and managing the Plan to receive, possess, use, retain and transfer Data, in electronic or other form, for the sole purposes of implementing, administering and managing the Participant’s participation in the Plan. The Participant understands that Data will be held only as long as is necessary to implement, administer and manage the Participant’s participation in the Plan. The Participant understands that if he or she resides outside the United States, he or she may, at any time, view Data, request information about the storage and processing of Data, require any necessary amendments to Data or refuse or withdraw the consents herein, in any case without cost, by contacting in writing his or her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with the Employer will not be affected; the only consequence of refusing or withdrawing the Participant’s consent is that the Company would not be able to grant Options or other Awards to the Participant or administer or maintain such Awards.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p>
      <w:pPr>
        <w:spacing w:after="0" w:line="141" w:lineRule="exact"/>
        <w:rPr>
          <w:sz w:val="20"/>
          <w:szCs w:val="20"/>
          <w:color w:val="auto"/>
        </w:rPr>
      </w:pPr>
    </w:p>
    <w:p>
      <w:pPr>
        <w:ind w:right="100" w:firstLine="587"/>
        <w:spacing w:after="0" w:line="251" w:lineRule="auto"/>
        <w:tabs>
          <w:tab w:leader="none" w:pos="99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spacing w:after="0" w:line="171" w:lineRule="exact"/>
        <w:rPr>
          <w:rFonts w:ascii="Arial" w:cs="Arial" w:eastAsia="Arial" w:hAnsi="Arial"/>
          <w:sz w:val="20"/>
          <w:szCs w:val="20"/>
          <w:color w:val="auto"/>
        </w:rPr>
      </w:pPr>
    </w:p>
    <w:p>
      <w:pPr>
        <w:ind w:firstLine="587"/>
        <w:spacing w:after="0" w:line="296" w:lineRule="auto"/>
        <w:tabs>
          <w:tab w:leader="none" w:pos="997"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Clawback Policy</w:t>
      </w:r>
      <w:r>
        <w:rPr>
          <w:rFonts w:ascii="Arial" w:cs="Arial" w:eastAsia="Arial" w:hAnsi="Arial"/>
          <w:sz w:val="17"/>
          <w:szCs w:val="17"/>
          <w:color w:val="auto"/>
        </w:rPr>
        <w:t>. Notwithstanding anything in the Plan to the contrary, the Company or any of its Subsidiaries or Affiliates will be entitled (i) to recoup compensation of whatever kind paid by the Company or any of its Subsidiaries or Affiliates at any time to a Participant under the Plan and the Participant, to the extent permitted or required by applicable law, Company policy and/or the requirements of an exchange on which the Company’s shares of Common Stock are listed for trading, in each case, as in effect from time to time, and (ii) to cancel all or any portion of this Option (whether vested or unvested) and/or require repayment of any sums (including, in the case of shares of Common Stock, the value of such shares) or amounts which were received by the Participant in respect of the Option in the event the Company believes in good faith that the Participant has breached any existing protective covenants, including but not limited to confidentiality, non-solicitation, non-interference, or non-competition agreements with the Company or any of its Subsidiaries or Affiliates, and by accepting the Option pursuant to the Plan and this Agreement, Participant authorizes such clawback and agrees to comply with any Company request or demand for such recoupment.</w:t>
      </w:r>
    </w:p>
    <w:p>
      <w:pPr>
        <w:spacing w:after="0" w:line="136" w:lineRule="exact"/>
        <w:rPr>
          <w:rFonts w:ascii="Arial" w:cs="Arial" w:eastAsia="Arial" w:hAnsi="Arial"/>
          <w:sz w:val="17"/>
          <w:szCs w:val="17"/>
          <w:color w:val="auto"/>
        </w:rPr>
      </w:pPr>
    </w:p>
    <w:p>
      <w:pPr>
        <w:ind w:right="20" w:firstLine="587"/>
        <w:spacing w:after="0" w:line="297" w:lineRule="auto"/>
        <w:tabs>
          <w:tab w:leader="none" w:pos="997"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Policy Against Insider Trading</w:t>
      </w:r>
      <w:r>
        <w:rPr>
          <w:rFonts w:ascii="Arial" w:cs="Arial" w:eastAsia="Arial" w:hAnsi="Arial"/>
          <w:sz w:val="17"/>
          <w:szCs w:val="17"/>
          <w:color w:val="auto"/>
        </w:rPr>
        <w:t>. By accepting the Option, the Participant acknowledges that the Participant is bound by all the terms and conditions of the Company’s insider trading policy as may be in effect from time to time. The Participant further acknowledges that, depending on the Participant’s country, the Participant may be subject to insider trading restrictions and/or market abuse laws, which may affect the Participant’s ability to acquire or sell shares of Common Stock or rights to shares of Common Stock (</w:t>
      </w:r>
      <w:r>
        <w:rPr>
          <w:rFonts w:ascii="Arial" w:cs="Arial" w:eastAsia="Arial" w:hAnsi="Arial"/>
          <w:sz w:val="17"/>
          <w:szCs w:val="17"/>
          <w:i w:val="1"/>
          <w:iCs w:val="1"/>
          <w:color w:val="auto"/>
        </w:rPr>
        <w:t>e.g.</w:t>
      </w:r>
      <w:r>
        <w:rPr>
          <w:rFonts w:ascii="Arial" w:cs="Arial" w:eastAsia="Arial" w:hAnsi="Arial"/>
          <w:sz w:val="17"/>
          <w:szCs w:val="17"/>
          <w:color w:val="auto"/>
        </w:rPr>
        <w:t>, Options) under the Plan during such times as the Participant is considered to have “inside information” regarding the Company (as defined by the laws in the Participant’s country). Any restrictions under these laws or regulations are separate from and in addition to any restrictions that may be imposed under the Company’s insider trading policy as may be in effect from time to time. The Participant acknowledges that it is the Participant’s responsibility to comply with any applicable restrictions, and the Participant should speak to his or her personal advisor on this matter.</w:t>
      </w:r>
    </w:p>
    <w:p>
      <w:pPr>
        <w:spacing w:after="0" w:line="137" w:lineRule="exact"/>
        <w:rPr>
          <w:rFonts w:ascii="Arial" w:cs="Arial" w:eastAsia="Arial" w:hAnsi="Arial"/>
          <w:sz w:val="17"/>
          <w:szCs w:val="17"/>
          <w:color w:val="auto"/>
        </w:rPr>
      </w:pPr>
    </w:p>
    <w:p>
      <w:pPr>
        <w:ind w:firstLine="587"/>
        <w:spacing w:after="0" w:line="299" w:lineRule="auto"/>
        <w:tabs>
          <w:tab w:leader="none" w:pos="997"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Foreign Asset/Account, Exchange Control and Tax Reporting</w:t>
      </w:r>
      <w:r>
        <w:rPr>
          <w:rFonts w:ascii="Arial" w:cs="Arial" w:eastAsia="Arial" w:hAnsi="Arial"/>
          <w:sz w:val="17"/>
          <w:szCs w:val="17"/>
          <w:color w:val="auto"/>
        </w:rPr>
        <w:t>. The Participant may be subject to foreign asset/account, exchange control and/or tax reporting requirements as a result of the acquisition, holding and/or transfer of shares of Common Stock or cash (including dividends and the proceeds arising from the sale of shares of Common Stock) derived from his or her participation in the Plan, to and/or from a brokerage/bank account or legal entity located outside the Participant’s country. The applicable laws of the Participant’s country may require that he or she report such accounts, assets, the balances therein, the value thereof and/or the transactions related thereto to the applicable authorities in such country. The Participant acknowledges that he or she is responsible for ensuring compliance with any applicable foreign asset/account, exchange control and tax reporting requirements and should consult his or her personal legal advisor on this matter.</w:t>
      </w:r>
    </w:p>
    <w:p>
      <w:pPr>
        <w:spacing w:after="0" w:line="135" w:lineRule="exact"/>
        <w:rPr>
          <w:rFonts w:ascii="Arial" w:cs="Arial" w:eastAsia="Arial" w:hAnsi="Arial"/>
          <w:sz w:val="17"/>
          <w:szCs w:val="17"/>
          <w:color w:val="auto"/>
        </w:rPr>
      </w:pPr>
    </w:p>
    <w:p>
      <w:pPr>
        <w:ind w:right="240" w:firstLine="587"/>
        <w:spacing w:after="0" w:line="275" w:lineRule="auto"/>
        <w:tabs>
          <w:tab w:leader="none" w:pos="99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an original, but all of which shall constitute one and the same instrument.</w:t>
      </w:r>
    </w:p>
    <w:p>
      <w:pPr>
        <w:spacing w:after="0" w:line="147" w:lineRule="exact"/>
        <w:rPr>
          <w:rFonts w:ascii="Arial" w:cs="Arial" w:eastAsia="Arial" w:hAnsi="Arial"/>
          <w:sz w:val="20"/>
          <w:szCs w:val="20"/>
          <w:color w:val="auto"/>
        </w:rPr>
      </w:pPr>
    </w:p>
    <w:p>
      <w:pPr>
        <w:ind w:right="540" w:firstLine="587"/>
        <w:spacing w:after="0" w:line="275" w:lineRule="auto"/>
        <w:tabs>
          <w:tab w:leader="none" w:pos="99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and enforced in accordance with the laws of the State of Delaware without regard to the provisions governing conflict of laws.</w:t>
      </w:r>
    </w:p>
    <w:p>
      <w:pPr>
        <w:spacing w:after="0" w:line="147" w:lineRule="exact"/>
        <w:rPr>
          <w:rFonts w:ascii="Arial" w:cs="Arial" w:eastAsia="Arial" w:hAnsi="Arial"/>
          <w:sz w:val="20"/>
          <w:szCs w:val="20"/>
          <w:color w:val="auto"/>
        </w:rPr>
      </w:pPr>
    </w:p>
    <w:p>
      <w:pPr>
        <w:ind w:right="200" w:firstLine="587"/>
        <w:spacing w:after="0" w:line="254" w:lineRule="auto"/>
        <w:tabs>
          <w:tab w:leader="none" w:pos="99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Venue</w:t>
      </w:r>
      <w:r>
        <w:rPr>
          <w:rFonts w:ascii="Arial" w:cs="Arial" w:eastAsia="Arial" w:hAnsi="Arial"/>
          <w:sz w:val="20"/>
          <w:szCs w:val="20"/>
          <w:color w:val="auto"/>
        </w:rPr>
        <w:t>. For purposes of litigating any dispute that arises directly or indirectly from the relationship of the parties evidenced by this Option and this Agreement, the parties hereby submit to and consent to the exclusive jurisdiction of the State of Texas and agree that such litigation shall be conducted only in the courts of Tarrant County, Texas, or the federal courts for the Northern District of Texas, and no other courts where the grant of this Option is made and/or to be performed.</w:t>
      </w:r>
    </w:p>
    <w:p>
      <w:pPr>
        <w:spacing w:after="0" w:line="167" w:lineRule="exact"/>
        <w:rPr>
          <w:rFonts w:ascii="Arial" w:cs="Arial" w:eastAsia="Arial" w:hAnsi="Arial"/>
          <w:sz w:val="20"/>
          <w:szCs w:val="20"/>
          <w:color w:val="auto"/>
        </w:rPr>
      </w:pPr>
    </w:p>
    <w:p>
      <w:pPr>
        <w:ind w:left="1000" w:hanging="413"/>
        <w:spacing w:after="0"/>
        <w:tabs>
          <w:tab w:leader="none" w:pos="100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Option, the Participant acknowledges, understands and agrees that:</w:t>
      </w:r>
    </w:p>
    <w:p>
      <w:pPr>
        <w:spacing w:after="0" w:line="211" w:lineRule="exact"/>
        <w:rPr>
          <w:rFonts w:ascii="Arial" w:cs="Arial" w:eastAsia="Arial" w:hAnsi="Arial"/>
          <w:sz w:val="20"/>
          <w:szCs w:val="20"/>
          <w:color w:val="auto"/>
        </w:rPr>
      </w:pPr>
    </w:p>
    <w:p>
      <w:pPr>
        <w:ind w:left="580" w:right="680" w:firstLine="596"/>
        <w:spacing w:after="0" w:line="275" w:lineRule="auto"/>
        <w:tabs>
          <w:tab w:leader="none" w:pos="1663" w:val="left"/>
        </w:tabs>
        <w:numPr>
          <w:ilvl w:val="1"/>
          <w:numId w:val="57"/>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pacing w:after="0" w:line="147" w:lineRule="exact"/>
        <w:rPr>
          <w:rFonts w:ascii="Arial" w:cs="Arial" w:eastAsia="Arial" w:hAnsi="Arial"/>
          <w:sz w:val="18"/>
          <w:szCs w:val="18"/>
          <w:color w:val="auto"/>
        </w:rPr>
      </w:pPr>
    </w:p>
    <w:p>
      <w:pPr>
        <w:ind w:left="580" w:right="40" w:firstLine="596"/>
        <w:spacing w:after="0" w:line="275" w:lineRule="auto"/>
        <w:tabs>
          <w:tab w:leader="none" w:pos="1673" w:val="left"/>
        </w:tabs>
        <w:numPr>
          <w:ilvl w:val="1"/>
          <w:numId w:val="57"/>
        </w:numPr>
        <w:rPr>
          <w:rFonts w:ascii="Arial" w:cs="Arial" w:eastAsia="Arial" w:hAnsi="Arial"/>
          <w:sz w:val="18"/>
          <w:szCs w:val="18"/>
          <w:color w:val="auto"/>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47" w:lineRule="exact"/>
        <w:rPr>
          <w:rFonts w:ascii="Arial" w:cs="Arial" w:eastAsia="Arial" w:hAnsi="Arial"/>
          <w:sz w:val="18"/>
          <w:szCs w:val="18"/>
          <w:color w:val="auto"/>
        </w:rPr>
      </w:pPr>
    </w:p>
    <w:p>
      <w:pPr>
        <w:ind w:left="1660" w:hanging="484"/>
        <w:spacing w:after="0"/>
        <w:tabs>
          <w:tab w:leader="none" w:pos="1660" w:val="left"/>
        </w:tabs>
        <w:numPr>
          <w:ilvl w:val="1"/>
          <w:numId w:val="57"/>
        </w:numPr>
        <w:rPr>
          <w:rFonts w:ascii="Arial" w:cs="Arial" w:eastAsia="Arial" w:hAnsi="Arial"/>
          <w:sz w:val="18"/>
          <w:szCs w:val="18"/>
          <w:color w:val="auto"/>
        </w:rPr>
      </w:pPr>
      <w:r>
        <w:rPr>
          <w:rFonts w:ascii="Arial" w:cs="Arial" w:eastAsia="Arial" w:hAnsi="Arial"/>
          <w:sz w:val="20"/>
          <w:szCs w:val="20"/>
          <w:color w:val="auto"/>
        </w:rPr>
        <w:t>all decisions with respect to future Option or other grants, if any, will be at the sole discretion of the Company;</w:t>
      </w:r>
    </w:p>
    <w:p>
      <w:pPr>
        <w:spacing w:after="0" w:line="211" w:lineRule="exact"/>
        <w:rPr>
          <w:rFonts w:ascii="Arial" w:cs="Arial" w:eastAsia="Arial" w:hAnsi="Arial"/>
          <w:sz w:val="18"/>
          <w:szCs w:val="18"/>
          <w:color w:val="auto"/>
        </w:rPr>
      </w:pPr>
    </w:p>
    <w:p>
      <w:pPr>
        <w:ind w:left="1680" w:hanging="504"/>
        <w:spacing w:after="0"/>
        <w:tabs>
          <w:tab w:leader="none" w:pos="1680" w:val="left"/>
        </w:tabs>
        <w:numPr>
          <w:ilvl w:val="1"/>
          <w:numId w:val="57"/>
        </w:numPr>
        <w:rPr>
          <w:rFonts w:ascii="Arial" w:cs="Arial" w:eastAsia="Arial" w:hAnsi="Arial"/>
          <w:sz w:val="18"/>
          <w:szCs w:val="18"/>
          <w:color w:val="auto"/>
        </w:rPr>
      </w:pPr>
      <w:r>
        <w:rPr>
          <w:rFonts w:ascii="Arial" w:cs="Arial" w:eastAsia="Arial" w:hAnsi="Arial"/>
          <w:sz w:val="20"/>
          <w:szCs w:val="20"/>
          <w:color w:val="auto"/>
        </w:rPr>
        <w:t>the Participant is voluntarily participating in the Plan;</w:t>
      </w:r>
    </w:p>
    <w:p>
      <w:pPr>
        <w:sectPr>
          <w:pgSz w:w="11900" w:h="16838" w:orient="portrait"/>
          <w:cols w:equalWidth="0" w:num="1">
            <w:col w:w="11420"/>
          </w:cols>
          <w:pgMar w:left="240" w:top="132" w:right="239" w:bottom="137" w:gutter="0" w:footer="0" w:header="0"/>
        </w:sectPr>
      </w:pPr>
    </w:p>
    <w:bookmarkStart w:id="125" w:name="page126"/>
    <w:bookmarkEnd w:id="125"/>
    <w:p>
      <w:pPr>
        <w:spacing w:after="0" w:line="61" w:lineRule="exact"/>
        <w:rPr>
          <w:sz w:val="20"/>
          <w:szCs w:val="20"/>
          <w:color w:val="auto"/>
        </w:rPr>
      </w:pPr>
    </w:p>
    <w:p>
      <w:pPr>
        <w:ind w:left="-7" w:right="620" w:firstLine="596"/>
        <w:spacing w:after="0" w:line="275" w:lineRule="auto"/>
        <w:tabs>
          <w:tab w:leader="none" w:pos="1076" w:val="left"/>
        </w:tabs>
        <w:numPr>
          <w:ilvl w:val="1"/>
          <w:numId w:val="58"/>
        </w:numPr>
        <w:rPr>
          <w:rFonts w:ascii="Arial" w:cs="Arial" w:eastAsia="Arial" w:hAnsi="Arial"/>
          <w:sz w:val="18"/>
          <w:szCs w:val="18"/>
          <w:color w:val="auto"/>
        </w:rPr>
      </w:pPr>
      <w:r>
        <w:rPr>
          <w:rFonts w:ascii="Arial" w:cs="Arial" w:eastAsia="Arial" w:hAnsi="Arial"/>
          <w:sz w:val="20"/>
          <w:szCs w:val="20"/>
          <w:color w:val="auto"/>
        </w:rPr>
        <w:t>the Option and any shares of Common Stock acquired under the Plan, and the income and value of the same, are not intended to replace any pension rights or compensation;</w:t>
      </w:r>
    </w:p>
    <w:p>
      <w:pPr>
        <w:spacing w:after="0" w:line="147" w:lineRule="exact"/>
        <w:rPr>
          <w:rFonts w:ascii="Arial" w:cs="Arial" w:eastAsia="Arial" w:hAnsi="Arial"/>
          <w:sz w:val="18"/>
          <w:szCs w:val="18"/>
          <w:color w:val="auto"/>
        </w:rPr>
      </w:pPr>
    </w:p>
    <w:p>
      <w:pPr>
        <w:jc w:val="both"/>
        <w:ind w:left="-7" w:right="360" w:firstLine="596"/>
        <w:spacing w:after="0" w:line="326" w:lineRule="auto"/>
        <w:tabs>
          <w:tab w:leader="none" w:pos="1056" w:val="left"/>
        </w:tabs>
        <w:numPr>
          <w:ilvl w:val="1"/>
          <w:numId w:val="58"/>
        </w:numPr>
        <w:rPr>
          <w:rFonts w:ascii="Arial" w:cs="Arial" w:eastAsia="Arial" w:hAnsi="Arial"/>
          <w:sz w:val="16"/>
          <w:szCs w:val="16"/>
          <w:color w:val="auto"/>
        </w:rPr>
      </w:pPr>
      <w:r>
        <w:rPr>
          <w:rFonts w:ascii="Arial" w:cs="Arial" w:eastAsia="Arial" w:hAnsi="Arial"/>
          <w:sz w:val="17"/>
          <w:szCs w:val="17"/>
          <w:color w:val="auto"/>
        </w:rPr>
        <w:t>the Option and any shares of Common Stock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11" w:lineRule="exact"/>
        <w:rPr>
          <w:rFonts w:ascii="Arial" w:cs="Arial" w:eastAsia="Arial" w:hAnsi="Arial"/>
          <w:sz w:val="16"/>
          <w:szCs w:val="16"/>
          <w:color w:val="auto"/>
        </w:rPr>
      </w:pPr>
    </w:p>
    <w:p>
      <w:pPr>
        <w:ind w:left="-7" w:firstLine="596"/>
        <w:spacing w:after="0" w:line="275" w:lineRule="auto"/>
        <w:tabs>
          <w:tab w:leader="none" w:pos="1086" w:val="left"/>
        </w:tabs>
        <w:numPr>
          <w:ilvl w:val="1"/>
          <w:numId w:val="58"/>
        </w:numPr>
        <w:rPr>
          <w:rFonts w:ascii="Arial" w:cs="Arial" w:eastAsia="Arial" w:hAnsi="Arial"/>
          <w:sz w:val="18"/>
          <w:szCs w:val="18"/>
          <w:color w:val="auto"/>
        </w:rPr>
      </w:pPr>
      <w:r>
        <w:rPr>
          <w:rFonts w:ascii="Arial" w:cs="Arial" w:eastAsia="Arial" w:hAnsi="Arial"/>
          <w:sz w:val="20"/>
          <w:szCs w:val="20"/>
          <w:color w:val="auto"/>
        </w:rPr>
        <w:t>the future value of the shares of Common Stock underlying the Option is unknown, indeterminable, and cannot be predicted with certainty;</w:t>
      </w:r>
    </w:p>
    <w:p>
      <w:pPr>
        <w:spacing w:after="0" w:line="147" w:lineRule="exact"/>
        <w:rPr>
          <w:rFonts w:ascii="Arial" w:cs="Arial" w:eastAsia="Arial" w:hAnsi="Arial"/>
          <w:sz w:val="18"/>
          <w:szCs w:val="18"/>
          <w:color w:val="auto"/>
        </w:rPr>
      </w:pPr>
    </w:p>
    <w:p>
      <w:pPr>
        <w:ind w:left="1093" w:hanging="504"/>
        <w:spacing w:after="0"/>
        <w:tabs>
          <w:tab w:leader="none" w:pos="1093" w:val="left"/>
        </w:tabs>
        <w:numPr>
          <w:ilvl w:val="1"/>
          <w:numId w:val="58"/>
        </w:numPr>
        <w:rPr>
          <w:rFonts w:ascii="Arial" w:cs="Arial" w:eastAsia="Arial" w:hAnsi="Arial"/>
          <w:sz w:val="18"/>
          <w:szCs w:val="18"/>
          <w:color w:val="auto"/>
        </w:rPr>
      </w:pPr>
      <w:r>
        <w:rPr>
          <w:rFonts w:ascii="Arial" w:cs="Arial" w:eastAsia="Arial" w:hAnsi="Arial"/>
          <w:sz w:val="20"/>
          <w:szCs w:val="20"/>
          <w:color w:val="auto"/>
        </w:rPr>
        <w:t>if the underlying shares of Common Stock do not increase in value, the Option will have no value;</w:t>
      </w:r>
    </w:p>
    <w:p>
      <w:pPr>
        <w:spacing w:after="0" w:line="211" w:lineRule="exact"/>
        <w:rPr>
          <w:rFonts w:ascii="Arial" w:cs="Arial" w:eastAsia="Arial" w:hAnsi="Arial"/>
          <w:sz w:val="18"/>
          <w:szCs w:val="18"/>
          <w:color w:val="auto"/>
        </w:rPr>
      </w:pPr>
    </w:p>
    <w:p>
      <w:pPr>
        <w:ind w:left="-7" w:right="300" w:firstLine="596"/>
        <w:spacing w:after="0" w:line="275" w:lineRule="auto"/>
        <w:tabs>
          <w:tab w:leader="none" w:pos="1046" w:val="left"/>
        </w:tabs>
        <w:numPr>
          <w:ilvl w:val="1"/>
          <w:numId w:val="58"/>
        </w:numPr>
        <w:rPr>
          <w:rFonts w:ascii="Arial" w:cs="Arial" w:eastAsia="Arial" w:hAnsi="Arial"/>
          <w:sz w:val="18"/>
          <w:szCs w:val="18"/>
          <w:color w:val="auto"/>
        </w:rPr>
      </w:pPr>
      <w:r>
        <w:rPr>
          <w:rFonts w:ascii="Arial" w:cs="Arial" w:eastAsia="Arial" w:hAnsi="Arial"/>
          <w:sz w:val="20"/>
          <w:szCs w:val="20"/>
          <w:color w:val="auto"/>
        </w:rPr>
        <w:t>if the Participant exercises the Option and acquires shares of Common Stock, the value of such shares of Common Stock may increase or decrease in value, even below the Exercise Price;</w:t>
      </w:r>
    </w:p>
    <w:p>
      <w:pPr>
        <w:spacing w:after="0" w:line="147" w:lineRule="exact"/>
        <w:rPr>
          <w:rFonts w:ascii="Arial" w:cs="Arial" w:eastAsia="Arial" w:hAnsi="Arial"/>
          <w:sz w:val="18"/>
          <w:szCs w:val="18"/>
          <w:color w:val="auto"/>
        </w:rPr>
      </w:pPr>
    </w:p>
    <w:p>
      <w:pPr>
        <w:ind w:left="-7" w:right="40" w:firstLine="596"/>
        <w:spacing w:after="0" w:line="267" w:lineRule="auto"/>
        <w:tabs>
          <w:tab w:leader="none" w:pos="1046" w:val="left"/>
        </w:tabs>
        <w:numPr>
          <w:ilvl w:val="1"/>
          <w:numId w:val="58"/>
        </w:numPr>
        <w:rPr>
          <w:rFonts w:ascii="Arial" w:cs="Arial" w:eastAsia="Arial" w:hAnsi="Arial"/>
          <w:sz w:val="17"/>
          <w:szCs w:val="17"/>
          <w:color w:val="auto"/>
        </w:rPr>
      </w:pPr>
      <w:r>
        <w:rPr>
          <w:rFonts w:ascii="Arial" w:cs="Arial" w:eastAsia="Arial" w:hAnsi="Arial"/>
          <w:sz w:val="19"/>
          <w:szCs w:val="19"/>
          <w:color w:val="auto"/>
        </w:rPr>
        <w:t>no claim or entitlement to compensation or damages shall arise from forfeiture of the Option resulting from the termination of the Participant’s Employment or other service relationship (for any reason whatsoever, whether or not later found to be invalid or in breach of employment laws in the jurisdiction where the Participant is employed or the terms of the Participant’s employment agreement, if any), and in consideration of the grant of the Option, the Participant agrees not to institute any such claim against the Company, the Employer, or any of the other Subsidiaries or Affiliates of the Company;</w:t>
      </w:r>
    </w:p>
    <w:p>
      <w:pPr>
        <w:spacing w:after="0" w:line="158" w:lineRule="exact"/>
        <w:rPr>
          <w:rFonts w:ascii="Arial" w:cs="Arial" w:eastAsia="Arial" w:hAnsi="Arial"/>
          <w:sz w:val="17"/>
          <w:szCs w:val="17"/>
          <w:color w:val="auto"/>
        </w:rPr>
      </w:pPr>
    </w:p>
    <w:p>
      <w:pPr>
        <w:ind w:left="-7" w:right="40" w:firstLine="596"/>
        <w:spacing w:after="0" w:line="292" w:lineRule="auto"/>
        <w:tabs>
          <w:tab w:leader="none" w:pos="1086" w:val="left"/>
        </w:tabs>
        <w:numPr>
          <w:ilvl w:val="1"/>
          <w:numId w:val="58"/>
        </w:numPr>
        <w:rPr>
          <w:rFonts w:ascii="Arial" w:cs="Arial" w:eastAsia="Arial" w:hAnsi="Arial"/>
          <w:sz w:val="16"/>
          <w:szCs w:val="16"/>
          <w:color w:val="auto"/>
        </w:rPr>
      </w:pPr>
      <w:r>
        <w:rPr>
          <w:rFonts w:ascii="Arial" w:cs="Arial" w:eastAsia="Arial" w:hAnsi="Arial"/>
          <w:sz w:val="17"/>
          <w:szCs w:val="17"/>
          <w:color w:val="auto"/>
        </w:rPr>
        <w:t>for purposes of the Option, the Participant’s Employment or service relationship will be considered terminated as of the date the Participant is no longer actively providing services to the Company, the Employer, or any of the Subsidiaries or Affiliates of the Company (regardless of the reason for such termination and whether or not later found to be invalid or in breach of employment laws in the jurisdiction where the Participant is employed or the terms of the Participant’s employment agreement, if any), and unless otherwise expressly provided in this Agreement or determined by the Company, (i) the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the Participant’s period of service would not include any contractual notice period or any period of “garden leave” or similar period mandated under employment laws in the jurisdiction where the Participant is employed or the terms of the Participant’s employment agreement, if any); and (ii) the period (if any) during which the Participant may exercise the Option after such termination of the Participant’s Employment or service relationship will commence on the date the Participant ceases to actively provide services and will not be extended by any notice period mandated under employment laws in the jurisdiction where the Participant is employed or terms of the Participant’s employment agreement, if any; the Committee shall have the exclusive discretion to determine when the Participant is no longer actively providing services for purposes of his or her Option grant (including whether the Participant may still be considered to be providing services while on a leave of absence);</w:t>
      </w:r>
    </w:p>
    <w:p>
      <w:pPr>
        <w:spacing w:after="0" w:line="146" w:lineRule="exact"/>
        <w:rPr>
          <w:rFonts w:ascii="Arial" w:cs="Arial" w:eastAsia="Arial" w:hAnsi="Arial"/>
          <w:sz w:val="16"/>
          <w:szCs w:val="16"/>
          <w:color w:val="auto"/>
        </w:rPr>
      </w:pPr>
    </w:p>
    <w:p>
      <w:pPr>
        <w:ind w:left="-7" w:right="220" w:firstLine="596"/>
        <w:spacing w:after="0" w:line="326" w:lineRule="auto"/>
        <w:tabs>
          <w:tab w:leader="none" w:pos="1046" w:val="left"/>
        </w:tabs>
        <w:numPr>
          <w:ilvl w:val="1"/>
          <w:numId w:val="58"/>
        </w:numPr>
        <w:rPr>
          <w:rFonts w:ascii="Arial" w:cs="Arial" w:eastAsia="Arial" w:hAnsi="Arial"/>
          <w:sz w:val="16"/>
          <w:szCs w:val="16"/>
          <w:color w:val="auto"/>
        </w:rPr>
      </w:pPr>
      <w:r>
        <w:rPr>
          <w:rFonts w:ascii="Arial" w:cs="Arial" w:eastAsia="Arial" w:hAnsi="Arial"/>
          <w:sz w:val="17"/>
          <w:szCs w:val="17"/>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of the Company; and</w:t>
      </w:r>
    </w:p>
    <w:p>
      <w:pPr>
        <w:spacing w:after="0" w:line="111" w:lineRule="exact"/>
        <w:rPr>
          <w:rFonts w:ascii="Arial" w:cs="Arial" w:eastAsia="Arial" w:hAnsi="Arial"/>
          <w:sz w:val="16"/>
          <w:szCs w:val="16"/>
          <w:color w:val="auto"/>
        </w:rPr>
      </w:pPr>
    </w:p>
    <w:p>
      <w:pPr>
        <w:ind w:left="-7" w:right="180" w:firstLine="596"/>
        <w:spacing w:after="0" w:line="259" w:lineRule="auto"/>
        <w:tabs>
          <w:tab w:leader="none" w:pos="1136" w:val="left"/>
        </w:tabs>
        <w:numPr>
          <w:ilvl w:val="1"/>
          <w:numId w:val="58"/>
        </w:numPr>
        <w:rPr>
          <w:rFonts w:ascii="Arial" w:cs="Arial" w:eastAsia="Arial" w:hAnsi="Arial"/>
          <w:sz w:val="18"/>
          <w:szCs w:val="18"/>
          <w:color w:val="auto"/>
        </w:rPr>
      </w:pPr>
      <w:r>
        <w:rPr>
          <w:rFonts w:ascii="Arial" w:cs="Arial" w:eastAsia="Arial" w:hAnsi="Arial"/>
          <w:sz w:val="20"/>
          <w:szCs w:val="20"/>
          <w:color w:val="auto"/>
        </w:rPr>
        <w:t>unless otherwise agreed with the Company, the Option and any shares of Common Stock acquired under the Plan and the income and value of same, are not granted as consideration for, or in connection with, the service the Participant may provide as a director of a Subsidiary or Affiliate;</w:t>
      </w:r>
    </w:p>
    <w:p>
      <w:pPr>
        <w:spacing w:after="0" w:line="163" w:lineRule="exact"/>
        <w:rPr>
          <w:rFonts w:ascii="Arial" w:cs="Arial" w:eastAsia="Arial" w:hAnsi="Arial"/>
          <w:sz w:val="18"/>
          <w:szCs w:val="18"/>
          <w:color w:val="auto"/>
        </w:rPr>
      </w:pPr>
    </w:p>
    <w:p>
      <w:pPr>
        <w:ind w:left="1093" w:hanging="504"/>
        <w:spacing w:after="0"/>
        <w:tabs>
          <w:tab w:leader="none" w:pos="1093" w:val="left"/>
        </w:tabs>
        <w:numPr>
          <w:ilvl w:val="1"/>
          <w:numId w:val="58"/>
        </w:numPr>
        <w:rPr>
          <w:rFonts w:ascii="Arial" w:cs="Arial" w:eastAsia="Arial" w:hAnsi="Arial"/>
          <w:sz w:val="18"/>
          <w:szCs w:val="18"/>
          <w:color w:val="auto"/>
        </w:rPr>
      </w:pPr>
      <w:r>
        <w:rPr>
          <w:rFonts w:ascii="Arial" w:cs="Arial" w:eastAsia="Arial" w:hAnsi="Arial"/>
          <w:sz w:val="20"/>
          <w:szCs w:val="20"/>
          <w:color w:val="auto"/>
        </w:rPr>
        <w:t>the following provisions apply only if the Participant is providing services outside the United States:</w:t>
      </w:r>
    </w:p>
    <w:p>
      <w:pPr>
        <w:spacing w:after="0" w:line="211" w:lineRule="exact"/>
        <w:rPr>
          <w:rFonts w:ascii="Arial" w:cs="Arial" w:eastAsia="Arial" w:hAnsi="Arial"/>
          <w:sz w:val="18"/>
          <w:szCs w:val="18"/>
          <w:color w:val="auto"/>
        </w:rPr>
      </w:pPr>
    </w:p>
    <w:p>
      <w:pPr>
        <w:ind w:left="-7" w:firstLine="1184"/>
        <w:spacing w:after="0" w:line="275" w:lineRule="auto"/>
        <w:tabs>
          <w:tab w:leader="none" w:pos="1675" w:val="left"/>
        </w:tabs>
        <w:numPr>
          <w:ilvl w:val="2"/>
          <w:numId w:val="58"/>
        </w:numPr>
        <w:rPr>
          <w:rFonts w:ascii="Arial" w:cs="Arial" w:eastAsia="Arial" w:hAnsi="Arial"/>
          <w:sz w:val="18"/>
          <w:szCs w:val="18"/>
          <w:color w:val="auto"/>
        </w:rPr>
      </w:pPr>
      <w:r>
        <w:rPr>
          <w:rFonts w:ascii="Arial" w:cs="Arial" w:eastAsia="Arial" w:hAnsi="Arial"/>
          <w:sz w:val="20"/>
          <w:szCs w:val="20"/>
          <w:color w:val="auto"/>
        </w:rPr>
        <w:t>the Option and the shares of Common Stock subject to the Option, and the income and value of same, are not part of normal or expected compensation or salary for any purpose; and</w:t>
      </w:r>
    </w:p>
    <w:p>
      <w:pPr>
        <w:spacing w:after="0" w:line="147" w:lineRule="exact"/>
        <w:rPr>
          <w:rFonts w:ascii="Arial" w:cs="Arial" w:eastAsia="Arial" w:hAnsi="Arial"/>
          <w:sz w:val="18"/>
          <w:szCs w:val="18"/>
          <w:color w:val="auto"/>
        </w:rPr>
      </w:pPr>
    </w:p>
    <w:p>
      <w:pPr>
        <w:ind w:left="-7" w:right="360" w:firstLine="1184"/>
        <w:spacing w:after="0" w:line="254" w:lineRule="auto"/>
        <w:tabs>
          <w:tab w:leader="none" w:pos="1675" w:val="left"/>
        </w:tabs>
        <w:numPr>
          <w:ilvl w:val="2"/>
          <w:numId w:val="58"/>
        </w:numPr>
        <w:rPr>
          <w:rFonts w:ascii="Arial" w:cs="Arial" w:eastAsia="Arial" w:hAnsi="Arial"/>
          <w:sz w:val="18"/>
          <w:szCs w:val="18"/>
          <w:color w:val="auto"/>
        </w:rPr>
      </w:pPr>
      <w:r>
        <w:rPr>
          <w:rFonts w:ascii="Arial" w:cs="Arial" w:eastAsia="Arial" w:hAnsi="Arial"/>
          <w:sz w:val="20"/>
          <w:szCs w:val="20"/>
          <w:color w:val="auto"/>
        </w:rPr>
        <w:t>neither the Company, the Employer nor any Subsidiary or Affiliate shall be liable for any foreign exchange rate fluctuation between the Participant’s local currency and the United States Dollar that may affect the value of the Option or of any amounts due to the Participant pursuant to the exercise of the Option or the subsequent sale of any shares of Common Stock acquired upon exercise.</w:t>
      </w:r>
    </w:p>
    <w:p>
      <w:pPr>
        <w:spacing w:after="0" w:line="167" w:lineRule="exact"/>
        <w:rPr>
          <w:rFonts w:ascii="Arial" w:cs="Arial" w:eastAsia="Arial" w:hAnsi="Arial"/>
          <w:sz w:val="18"/>
          <w:szCs w:val="18"/>
          <w:color w:val="auto"/>
        </w:rPr>
      </w:pPr>
    </w:p>
    <w:p>
      <w:pPr>
        <w:ind w:left="-587" w:right="40" w:firstLine="587"/>
        <w:spacing w:after="0" w:line="254" w:lineRule="auto"/>
        <w:tabs>
          <w:tab w:leader="none" w:pos="411"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the Participant’s participation in the Plan, or the Participant’s acquisition or sale of the underlying shares of Common Stock. The Participant should consult with his or her own personal tax, legal and financial advisors regarding his or her participation in the Plan before taking any action related to the Plan.</w:t>
      </w:r>
    </w:p>
    <w:p>
      <w:pPr>
        <w:spacing w:after="0" w:line="167" w:lineRule="exact"/>
        <w:rPr>
          <w:rFonts w:ascii="Arial" w:cs="Arial" w:eastAsia="Arial" w:hAnsi="Arial"/>
          <w:sz w:val="20"/>
          <w:szCs w:val="20"/>
          <w:color w:val="auto"/>
        </w:rPr>
      </w:pPr>
    </w:p>
    <w:p>
      <w:pPr>
        <w:ind w:left="-587" w:firstLine="587"/>
        <w:spacing w:after="0" w:line="260" w:lineRule="auto"/>
        <w:tabs>
          <w:tab w:leader="none" w:pos="411"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exercise of the Option prior to the completion of any registration or qualification of the shares under any local, state, federal or foreign securities or exchange control law or under rulings or regulations of the U.S.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of Common Stock with the SEC or any state or foreign securities commission or to seek approval or clearance from any governmental authority for the issuance or sale of the shares of Common Stock. Further, the Participant agrees that the Company shall have unilateral authority to amend the Plan and the Agreement without the Participant’s consent to the extent necessary to comply with securities or other laws applicable to issuance of shares of Common Stock.</w:t>
      </w:r>
    </w:p>
    <w:p>
      <w:pPr>
        <w:spacing w:after="0" w:line="168" w:lineRule="exact"/>
        <w:rPr>
          <w:rFonts w:ascii="Arial" w:cs="Arial" w:eastAsia="Arial" w:hAnsi="Arial"/>
          <w:sz w:val="19"/>
          <w:szCs w:val="19"/>
          <w:color w:val="auto"/>
        </w:rPr>
      </w:pPr>
    </w:p>
    <w:p>
      <w:pPr>
        <w:jc w:val="both"/>
        <w:ind w:left="-587" w:right="20" w:firstLine="587"/>
        <w:spacing w:after="0" w:line="366" w:lineRule="auto"/>
        <w:tabs>
          <w:tab w:leader="none" w:pos="41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current or future participation in the Plan by electronic means. The Participant hereby consents to receive such documents by electronic delivery and agrees</w:t>
      </w:r>
    </w:p>
    <w:p>
      <w:pPr>
        <w:sectPr>
          <w:pgSz w:w="11900" w:h="16899" w:orient="portrait"/>
          <w:cols w:equalWidth="0" w:num="1">
            <w:col w:w="10833"/>
          </w:cols>
          <w:pgMar w:left="827" w:top="132" w:right="239" w:bottom="0" w:gutter="0" w:footer="0" w:header="0"/>
        </w:sectPr>
      </w:pPr>
    </w:p>
    <w:bookmarkStart w:id="126" w:name="page127"/>
    <w:bookmarkEnd w:id="126"/>
    <w:p>
      <w:pPr>
        <w:ind w:right="180"/>
        <w:spacing w:after="0" w:line="262" w:lineRule="auto"/>
        <w:rPr>
          <w:sz w:val="20"/>
          <w:szCs w:val="20"/>
          <w:color w:val="auto"/>
        </w:rPr>
      </w:pPr>
      <w:r>
        <w:rPr>
          <w:rFonts w:ascii="Arial" w:cs="Arial" w:eastAsia="Arial" w:hAnsi="Arial"/>
          <w:sz w:val="20"/>
          <w:szCs w:val="20"/>
          <w:color w:val="auto"/>
        </w:rPr>
        <w:t>to participate in the Plan through an on-line or electronic system established and maintained by the Company or a third party designated by the Company.</w:t>
      </w:r>
    </w:p>
    <w:p>
      <w:pPr>
        <w:spacing w:after="0" w:line="160" w:lineRule="exact"/>
        <w:rPr>
          <w:sz w:val="20"/>
          <w:szCs w:val="20"/>
          <w:color w:val="auto"/>
        </w:rPr>
      </w:pPr>
    </w:p>
    <w:p>
      <w:pPr>
        <w:ind w:firstLine="587"/>
        <w:spacing w:after="0" w:line="366" w:lineRule="auto"/>
        <w:tabs>
          <w:tab w:leader="none" w:pos="99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the Participant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78" w:lineRule="exact"/>
        <w:rPr>
          <w:rFonts w:ascii="Arial" w:cs="Arial" w:eastAsia="Arial" w:hAnsi="Arial"/>
          <w:sz w:val="17"/>
          <w:szCs w:val="17"/>
          <w:color w:val="auto"/>
        </w:rPr>
      </w:pPr>
    </w:p>
    <w:p>
      <w:pPr>
        <w:jc w:val="both"/>
        <w:ind w:right="40" w:firstLine="587"/>
        <w:spacing w:after="0" w:line="254" w:lineRule="auto"/>
        <w:tabs>
          <w:tab w:leader="none" w:pos="997"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Participant’s participation in the Plan, on the Option and on any shares of Common Stock purchased upon exercise of the Option, to the extent the Company determines it is necessary or advisable for legal or administrative reasons, and to require the Participant to sign any additional agreements or undertakings that may be necessary to accomplish the foregoing.</w:t>
      </w:r>
    </w:p>
    <w:p>
      <w:pPr>
        <w:spacing w:after="0" w:line="167" w:lineRule="exact"/>
        <w:rPr>
          <w:rFonts w:ascii="Arial" w:cs="Arial" w:eastAsia="Arial" w:hAnsi="Arial"/>
          <w:sz w:val="20"/>
          <w:szCs w:val="20"/>
          <w:color w:val="auto"/>
        </w:rPr>
      </w:pPr>
    </w:p>
    <w:p>
      <w:pPr>
        <w:ind w:right="20" w:firstLine="587"/>
        <w:spacing w:after="0" w:line="262" w:lineRule="auto"/>
        <w:tabs>
          <w:tab w:leader="none" w:pos="99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Participant Acknowledgment</w:t>
      </w:r>
      <w:r>
        <w:rPr>
          <w:rFonts w:ascii="Arial" w:cs="Arial" w:eastAsia="Arial" w:hAnsi="Arial"/>
          <w:sz w:val="19"/>
          <w:szCs w:val="19"/>
          <w:color w:val="auto"/>
        </w:rPr>
        <w:t>. By the Participant’s electronic acceptance of this Agreement, the Participant hereby acknowledges receipt of a copy of the Plan and agrees that this Option is granted under and governed by the terms and conditions of the Plan and this Agreement. The Participant further acknowledges that all decisions, determinations and interpretations of the Committee in respect of the Plan and this Agreement shall be final and conclusive. The Participant acknowledges that there may be adverse tax consequences upon exercise of the Option or disposition of the underlying shares of Common Stock and that the Participant should consult a tax advisor prior to such exercise or disposition. Finally, the Participant acknowledges that the Participant has reviewed the Plan and this Agreement in their entirety, has had an opportunity to obtain the advice of counsel prior to accepting this Agreement and fully understands all provisions of the Plan and this Agreement.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WITNESS WHEREOF, the Company has caused this Agreement to be duly executed by its duly authorized officer and said</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Participant has hereunto signed this Agreement on his own behalf, thereby representing that he has carefully read and understands this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Agreement and the Plan as of the day and year first written above.</w:t>
      </w:r>
    </w:p>
    <w:p>
      <w:pPr>
        <w:spacing w:after="0" w:line="257"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Sabre Corporation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_____________________________</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Participant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400"/>
          </w:cols>
          <w:pgMar w:left="240" w:top="132" w:right="2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5"/>
          <w:szCs w:val="15"/>
          <w:b w:val="1"/>
          <w:bCs w:val="1"/>
          <w:color w:val="auto"/>
        </w:rPr>
        <w:t>Exhibit 21.1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Sabre Corporation – List of Subsidiaries</w:t>
      </w:r>
    </w:p>
    <w:p>
      <w:pPr>
        <w:spacing w:after="0" w:line="189" w:lineRule="exact"/>
        <w:rPr>
          <w:sz w:val="20"/>
          <w:szCs w:val="20"/>
          <w:color w:val="auto"/>
        </w:rPr>
      </w:pPr>
    </w:p>
    <w:p>
      <w:pPr>
        <w:ind w:right="40"/>
        <w:spacing w:after="0" w:line="245" w:lineRule="auto"/>
        <w:rPr>
          <w:sz w:val="20"/>
          <w:szCs w:val="20"/>
          <w:color w:val="auto"/>
        </w:rPr>
      </w:pPr>
      <w:r>
        <w:rPr>
          <w:rFonts w:ascii="Arial" w:cs="Arial" w:eastAsia="Arial" w:hAnsi="Arial"/>
          <w:sz w:val="15"/>
          <w:szCs w:val="15"/>
          <w:color w:val="auto"/>
        </w:rPr>
        <w:t>The following are subsidiaries of Sabre Corporation as of December 31, 2016 and the states or jurisdictions in which they are organized. Except as otherwise specified, in each case Sabre Corporation owns, directly or indirectly, all of the voting securities of each subsidiary.</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6"/>
              </w:rPr>
              <w:t>% of Voting</w:t>
            </w:r>
          </w:p>
        </w:tc>
      </w:tr>
      <w:tr>
        <w:trPr>
          <w:trHeight w:val="172"/>
        </w:trPr>
        <w:tc>
          <w:tcPr>
            <w:tcW w:w="4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8"/>
              </w:rPr>
              <w:t>Interest Directly</w:t>
            </w:r>
          </w:p>
        </w:tc>
      </w:tr>
      <w:tr>
        <w:trPr>
          <w:trHeight w:val="172"/>
        </w:trPr>
        <w:tc>
          <w:tcPr>
            <w:tcW w:w="4840" w:type="dxa"/>
            <w:vAlign w:val="bottom"/>
          </w:tcPr>
          <w:p>
            <w:pPr>
              <w:spacing w:after="0"/>
              <w:rPr>
                <w:sz w:val="14"/>
                <w:szCs w:val="14"/>
                <w:color w:val="auto"/>
              </w:rPr>
            </w:pPr>
          </w:p>
        </w:tc>
        <w:tc>
          <w:tcPr>
            <w:tcW w:w="3180" w:type="dxa"/>
            <w:vAlign w:val="bottom"/>
          </w:tcPr>
          <w:p>
            <w:pPr>
              <w:jc w:val="center"/>
              <w:ind w:left="946"/>
              <w:spacing w:after="0"/>
              <w:rPr>
                <w:sz w:val="20"/>
                <w:szCs w:val="20"/>
                <w:color w:val="auto"/>
              </w:rPr>
            </w:pPr>
            <w:r>
              <w:rPr>
                <w:rFonts w:ascii="Arial" w:cs="Arial" w:eastAsia="Arial" w:hAnsi="Arial"/>
                <w:sz w:val="15"/>
                <w:szCs w:val="15"/>
                <w:b w:val="1"/>
                <w:bCs w:val="1"/>
                <w:color w:val="auto"/>
                <w:w w:val="96"/>
              </w:rPr>
              <w:t>Jurisdiction of</w:t>
            </w: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7"/>
              </w:rPr>
              <w:t>or Indirectly</w:t>
            </w:r>
          </w:p>
        </w:tc>
      </w:tr>
      <w:tr>
        <w:trPr>
          <w:trHeight w:val="172"/>
        </w:trPr>
        <w:tc>
          <w:tcPr>
            <w:tcW w:w="4840" w:type="dxa"/>
            <w:vAlign w:val="bottom"/>
          </w:tcPr>
          <w:p>
            <w:pPr>
              <w:spacing w:after="0"/>
              <w:rPr>
                <w:sz w:val="14"/>
                <w:szCs w:val="14"/>
                <w:color w:val="auto"/>
              </w:rPr>
            </w:pPr>
          </w:p>
        </w:tc>
        <w:tc>
          <w:tcPr>
            <w:tcW w:w="3180" w:type="dxa"/>
            <w:vAlign w:val="bottom"/>
          </w:tcPr>
          <w:p>
            <w:pPr>
              <w:jc w:val="center"/>
              <w:ind w:left="926"/>
              <w:spacing w:after="0"/>
              <w:rPr>
                <w:sz w:val="20"/>
                <w:szCs w:val="20"/>
                <w:color w:val="auto"/>
              </w:rPr>
            </w:pPr>
            <w:r>
              <w:rPr>
                <w:rFonts w:ascii="Arial" w:cs="Arial" w:eastAsia="Arial" w:hAnsi="Arial"/>
                <w:sz w:val="15"/>
                <w:szCs w:val="15"/>
                <w:b w:val="1"/>
                <w:bCs w:val="1"/>
                <w:color w:val="auto"/>
                <w:w w:val="98"/>
              </w:rPr>
              <w:t>Incorporation or</w:t>
            </w:r>
          </w:p>
        </w:tc>
        <w:tc>
          <w:tcPr>
            <w:tcW w:w="188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Held (If Not Wholly-</w:t>
            </w:r>
          </w:p>
        </w:tc>
      </w:tr>
      <w:tr>
        <w:trPr>
          <w:trHeight w:val="195"/>
        </w:trPr>
        <w:tc>
          <w:tcPr>
            <w:tcW w:w="4840" w:type="dxa"/>
            <w:vAlign w:val="bottom"/>
          </w:tcPr>
          <w:p>
            <w:pPr>
              <w:spacing w:after="0"/>
              <w:rPr>
                <w:sz w:val="20"/>
                <w:szCs w:val="20"/>
                <w:color w:val="auto"/>
              </w:rPr>
            </w:pPr>
            <w:r>
              <w:rPr>
                <w:rFonts w:ascii="Arial" w:cs="Arial" w:eastAsia="Arial" w:hAnsi="Arial"/>
                <w:sz w:val="15"/>
                <w:szCs w:val="15"/>
                <w:b w:val="1"/>
                <w:bCs w:val="1"/>
                <w:color w:val="auto"/>
              </w:rPr>
              <w:t>Legal Name of Subsidiary</w:t>
            </w:r>
          </w:p>
        </w:tc>
        <w:tc>
          <w:tcPr>
            <w:tcW w:w="3180" w:type="dxa"/>
            <w:vAlign w:val="bottom"/>
          </w:tcPr>
          <w:p>
            <w:pPr>
              <w:jc w:val="center"/>
              <w:ind w:left="966"/>
              <w:spacing w:after="0"/>
              <w:rPr>
                <w:sz w:val="20"/>
                <w:szCs w:val="20"/>
                <w:color w:val="auto"/>
              </w:rPr>
            </w:pPr>
            <w:r>
              <w:rPr>
                <w:rFonts w:ascii="Arial" w:cs="Arial" w:eastAsia="Arial" w:hAnsi="Arial"/>
                <w:sz w:val="15"/>
                <w:szCs w:val="15"/>
                <w:b w:val="1"/>
                <w:bCs w:val="1"/>
                <w:color w:val="auto"/>
                <w:w w:val="98"/>
              </w:rPr>
              <w:t>Organization</w:t>
            </w:r>
          </w:p>
        </w:tc>
        <w:tc>
          <w:tcPr>
            <w:tcW w:w="188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owned)</w:t>
            </w:r>
          </w:p>
        </w:tc>
      </w:tr>
      <w:tr>
        <w:trPr>
          <w:trHeight w:val="491"/>
        </w:trPr>
        <w:tc>
          <w:tcPr>
            <w:tcW w:w="4840" w:type="dxa"/>
            <w:vAlign w:val="bottom"/>
          </w:tcPr>
          <w:p>
            <w:pPr>
              <w:spacing w:after="0"/>
              <w:rPr>
                <w:sz w:val="20"/>
                <w:szCs w:val="20"/>
                <w:color w:val="auto"/>
              </w:rPr>
            </w:pPr>
            <w:r>
              <w:rPr>
                <w:rFonts w:ascii="Arial" w:cs="Arial" w:eastAsia="Arial" w:hAnsi="Arial"/>
                <w:sz w:val="15"/>
                <w:szCs w:val="15"/>
                <w:color w:val="auto"/>
              </w:rPr>
              <w:t>Abacus Distribution Systems (Cambodia) Private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Cambodia</w:t>
            </w:r>
          </w:p>
        </w:tc>
        <w:tc>
          <w:tcPr>
            <w:tcW w:w="1880" w:type="dxa"/>
            <w:vAlign w:val="bottom"/>
          </w:tcPr>
          <w:p>
            <w:pPr>
              <w:spacing w:after="0"/>
              <w:rPr>
                <w:sz w:val="24"/>
                <w:szCs w:val="24"/>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Airline Technology Services Mauritius Ltd.</w:t>
            </w:r>
          </w:p>
        </w:tc>
        <w:tc>
          <w:tcPr>
            <w:tcW w:w="3180" w:type="dxa"/>
            <w:vAlign w:val="bottom"/>
          </w:tcPr>
          <w:p>
            <w:pPr>
              <w:ind w:left="1020"/>
              <w:spacing w:after="0"/>
              <w:rPr>
                <w:sz w:val="20"/>
                <w:szCs w:val="20"/>
                <w:color w:val="auto"/>
              </w:rPr>
            </w:pPr>
            <w:r>
              <w:rPr>
                <w:rFonts w:ascii="Arial" w:cs="Arial" w:eastAsia="Arial" w:hAnsi="Arial"/>
                <w:sz w:val="15"/>
                <w:szCs w:val="15"/>
                <w:color w:val="auto"/>
              </w:rPr>
              <w:t>Mauritius</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Airpas Aviation GmbH</w:t>
            </w:r>
          </w:p>
        </w:tc>
        <w:tc>
          <w:tcPr>
            <w:tcW w:w="3180" w:type="dxa"/>
            <w:vAlign w:val="bottom"/>
          </w:tcPr>
          <w:p>
            <w:pPr>
              <w:ind w:left="102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Asiana Sabre Inc.</w:t>
            </w:r>
          </w:p>
        </w:tc>
        <w:tc>
          <w:tcPr>
            <w:tcW w:w="3180" w:type="dxa"/>
            <w:vAlign w:val="bottom"/>
          </w:tcPr>
          <w:p>
            <w:pPr>
              <w:ind w:left="1020"/>
              <w:spacing w:after="0"/>
              <w:rPr>
                <w:sz w:val="20"/>
                <w:szCs w:val="20"/>
                <w:color w:val="auto"/>
              </w:rPr>
            </w:pPr>
            <w:r>
              <w:rPr>
                <w:rFonts w:ascii="Arial" w:cs="Arial" w:eastAsia="Arial" w:hAnsi="Arial"/>
                <w:sz w:val="15"/>
                <w:szCs w:val="15"/>
                <w:color w:val="auto"/>
              </w:rPr>
              <w:t>Korea, Republic of</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20%</w:t>
            </w: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Cordex Computer Services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Dynamic e-Service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Hong Kong</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EB2 International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E-Beam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Elektroniczne Systemy Sprzedazy Sp. ZO.O.</w:t>
            </w:r>
          </w:p>
        </w:tc>
        <w:tc>
          <w:tcPr>
            <w:tcW w:w="3180" w:type="dxa"/>
            <w:vAlign w:val="bottom"/>
          </w:tcPr>
          <w:p>
            <w:pPr>
              <w:ind w:left="1020"/>
              <w:spacing w:after="0"/>
              <w:rPr>
                <w:sz w:val="20"/>
                <w:szCs w:val="20"/>
                <w:color w:val="auto"/>
              </w:rPr>
            </w:pPr>
            <w:r>
              <w:rPr>
                <w:rFonts w:ascii="Arial" w:cs="Arial" w:eastAsia="Arial" w:hAnsi="Arial"/>
                <w:sz w:val="15"/>
                <w:szCs w:val="15"/>
                <w:color w:val="auto"/>
              </w:rPr>
              <w:t>Poland</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40%</w:t>
            </w: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Excellent Management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Hong Kong</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20%</w:t>
            </w: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First Option Hotel Reservations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FlightLine Data Services, Inc.</w:t>
            </w:r>
          </w:p>
        </w:tc>
        <w:tc>
          <w:tcPr>
            <w:tcW w:w="3180" w:type="dxa"/>
            <w:vAlign w:val="bottom"/>
          </w:tcPr>
          <w:p>
            <w:pPr>
              <w:ind w:left="1020"/>
              <w:spacing w:after="0"/>
              <w:rPr>
                <w:sz w:val="20"/>
                <w:szCs w:val="20"/>
                <w:color w:val="auto"/>
              </w:rPr>
            </w:pPr>
            <w:r>
              <w:rPr>
                <w:rFonts w:ascii="Arial" w:cs="Arial" w:eastAsia="Arial" w:hAnsi="Arial"/>
                <w:sz w:val="15"/>
                <w:szCs w:val="15"/>
                <w:color w:val="auto"/>
              </w:rPr>
              <w:t>Georgia</w:t>
            </w:r>
          </w:p>
        </w:tc>
        <w:tc>
          <w:tcPr>
            <w:tcW w:w="1880" w:type="dxa"/>
            <w:vAlign w:val="bottom"/>
          </w:tcPr>
          <w:p>
            <w:pPr>
              <w:spacing w:after="0"/>
              <w:rPr>
                <w:sz w:val="21"/>
                <w:szCs w:val="21"/>
                <w:color w:val="auto"/>
              </w:rPr>
            </w:pPr>
          </w:p>
        </w:tc>
      </w:tr>
      <w:tr>
        <w:trPr>
          <w:trHeight w:val="240"/>
        </w:trPr>
        <w:tc>
          <w:tcPr>
            <w:tcW w:w="4840" w:type="dxa"/>
            <w:vAlign w:val="bottom"/>
          </w:tcPr>
          <w:p>
            <w:pPr>
              <w:spacing w:after="0"/>
              <w:rPr>
                <w:sz w:val="20"/>
                <w:szCs w:val="20"/>
                <w:color w:val="auto"/>
              </w:rPr>
            </w:pPr>
            <w:r>
              <w:rPr>
                <w:rFonts w:ascii="Arial" w:cs="Arial" w:eastAsia="Arial" w:hAnsi="Arial"/>
                <w:sz w:val="15"/>
                <w:szCs w:val="15"/>
                <w:color w:val="auto"/>
              </w:rPr>
              <w:t>Gesellschaft Zur Entwicklung und Vermarktung Interaktiver</w:t>
            </w:r>
          </w:p>
        </w:tc>
        <w:tc>
          <w:tcPr>
            <w:tcW w:w="3180" w:type="dxa"/>
            <w:vAlign w:val="bottom"/>
          </w:tcPr>
          <w:p>
            <w:pPr>
              <w:ind w:left="1020"/>
              <w:spacing w:after="0"/>
              <w:rPr>
                <w:sz w:val="20"/>
                <w:szCs w:val="20"/>
                <w:color w:val="auto"/>
              </w:rPr>
            </w:pPr>
            <w:r>
              <w:rPr>
                <w:rFonts w:ascii="Arial" w:cs="Arial" w:eastAsia="Arial" w:hAnsi="Arial"/>
                <w:sz w:val="15"/>
                <w:szCs w:val="15"/>
                <w:color w:val="auto"/>
              </w:rPr>
              <w:t>Germany</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26%</w:t>
            </w:r>
          </w:p>
        </w:tc>
      </w:tr>
      <w:tr>
        <w:trPr>
          <w:trHeight w:val="177"/>
        </w:trPr>
        <w:tc>
          <w:tcPr>
            <w:tcW w:w="4840" w:type="dxa"/>
            <w:vAlign w:val="bottom"/>
          </w:tcPr>
          <w:p>
            <w:pPr>
              <w:spacing w:after="0"/>
              <w:rPr>
                <w:sz w:val="20"/>
                <w:szCs w:val="20"/>
                <w:color w:val="auto"/>
              </w:rPr>
            </w:pPr>
            <w:r>
              <w:rPr>
                <w:rFonts w:ascii="Arial" w:cs="Arial" w:eastAsia="Arial" w:hAnsi="Arial"/>
                <w:sz w:val="15"/>
                <w:szCs w:val="15"/>
                <w:color w:val="auto"/>
              </w:rPr>
              <w:t>Tourismusanwendungen mbH</w:t>
            </w:r>
          </w:p>
        </w:tc>
        <w:tc>
          <w:tcPr>
            <w:tcW w:w="31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21"/>
        </w:trPr>
        <w:tc>
          <w:tcPr>
            <w:tcW w:w="4840" w:type="dxa"/>
            <w:vAlign w:val="bottom"/>
          </w:tcPr>
          <w:p>
            <w:pPr>
              <w:spacing w:after="0"/>
              <w:rPr>
                <w:sz w:val="20"/>
                <w:szCs w:val="20"/>
                <w:color w:val="auto"/>
              </w:rPr>
            </w:pPr>
            <w:r>
              <w:rPr>
                <w:rFonts w:ascii="Arial" w:cs="Arial" w:eastAsia="Arial" w:hAnsi="Arial"/>
                <w:sz w:val="15"/>
                <w:szCs w:val="15"/>
                <w:color w:val="auto"/>
              </w:rPr>
              <w:t>GetThere Inc.</w:t>
            </w:r>
          </w:p>
        </w:tc>
        <w:tc>
          <w:tcPr>
            <w:tcW w:w="3180" w:type="dxa"/>
            <w:vAlign w:val="bottom"/>
          </w:tcPr>
          <w:p>
            <w:pPr>
              <w:ind w:left="102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19"/>
                <w:szCs w:val="19"/>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GetThere L.P.</w:t>
            </w:r>
          </w:p>
        </w:tc>
        <w:tc>
          <w:tcPr>
            <w:tcW w:w="3180" w:type="dxa"/>
            <w:vAlign w:val="bottom"/>
          </w:tcPr>
          <w:p>
            <w:pPr>
              <w:ind w:left="102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Global Travel Broker, S.L.</w:t>
            </w:r>
          </w:p>
        </w:tc>
        <w:tc>
          <w:tcPr>
            <w:tcW w:w="3180" w:type="dxa"/>
            <w:vAlign w:val="bottom"/>
          </w:tcPr>
          <w:p>
            <w:pPr>
              <w:ind w:left="1020"/>
              <w:spacing w:after="0"/>
              <w:rPr>
                <w:sz w:val="20"/>
                <w:szCs w:val="20"/>
                <w:color w:val="auto"/>
              </w:rPr>
            </w:pPr>
            <w:r>
              <w:rPr>
                <w:rFonts w:ascii="Arial" w:cs="Arial" w:eastAsia="Arial" w:hAnsi="Arial"/>
                <w:sz w:val="15"/>
                <w:szCs w:val="15"/>
                <w:color w:val="auto"/>
              </w:rPr>
              <w:t>Spain</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Globepost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Holiday Service GmbH</w:t>
            </w:r>
          </w:p>
        </w:tc>
        <w:tc>
          <w:tcPr>
            <w:tcW w:w="3180" w:type="dxa"/>
            <w:vAlign w:val="bottom"/>
          </w:tcPr>
          <w:p>
            <w:pPr>
              <w:ind w:left="102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IHS GmbH</w:t>
            </w:r>
          </w:p>
        </w:tc>
        <w:tc>
          <w:tcPr>
            <w:tcW w:w="3180" w:type="dxa"/>
            <w:vAlign w:val="bottom"/>
          </w:tcPr>
          <w:p>
            <w:pPr>
              <w:ind w:left="102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IHS US Inc.</w:t>
            </w:r>
          </w:p>
        </w:tc>
        <w:tc>
          <w:tcPr>
            <w:tcW w:w="3180" w:type="dxa"/>
            <w:vAlign w:val="bottom"/>
          </w:tcPr>
          <w:p>
            <w:pPr>
              <w:ind w:left="1020"/>
              <w:spacing w:after="0"/>
              <w:rPr>
                <w:sz w:val="20"/>
                <w:szCs w:val="20"/>
                <w:color w:val="auto"/>
              </w:rPr>
            </w:pPr>
            <w:r>
              <w:rPr>
                <w:rFonts w:ascii="Arial" w:cs="Arial" w:eastAsia="Arial" w:hAnsi="Arial"/>
                <w:sz w:val="15"/>
                <w:szCs w:val="15"/>
                <w:color w:val="auto"/>
              </w:rPr>
              <w:t>Florida</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Innlink, LLC</w:t>
            </w:r>
          </w:p>
        </w:tc>
        <w:tc>
          <w:tcPr>
            <w:tcW w:w="3180" w:type="dxa"/>
            <w:vAlign w:val="bottom"/>
          </w:tcPr>
          <w:p>
            <w:pPr>
              <w:ind w:left="1020"/>
              <w:spacing w:after="0"/>
              <w:rPr>
                <w:sz w:val="20"/>
                <w:szCs w:val="20"/>
                <w:color w:val="auto"/>
              </w:rPr>
            </w:pPr>
            <w:r>
              <w:rPr>
                <w:rFonts w:ascii="Arial" w:cs="Arial" w:eastAsia="Arial" w:hAnsi="Arial"/>
                <w:sz w:val="15"/>
                <w:szCs w:val="15"/>
                <w:color w:val="auto"/>
              </w:rPr>
              <w:t>Tennessee</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 Minute Network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 Minute Network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Ireland</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 (Cyprus)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Cyprus</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 Network, S.L.</w:t>
            </w:r>
          </w:p>
        </w:tc>
        <w:tc>
          <w:tcPr>
            <w:tcW w:w="3180" w:type="dxa"/>
            <w:vAlign w:val="bottom"/>
          </w:tcPr>
          <w:p>
            <w:pPr>
              <w:ind w:left="1020"/>
              <w:spacing w:after="0"/>
              <w:rPr>
                <w:sz w:val="20"/>
                <w:szCs w:val="20"/>
                <w:color w:val="auto"/>
              </w:rPr>
            </w:pPr>
            <w:r>
              <w:rPr>
                <w:rFonts w:ascii="Arial" w:cs="Arial" w:eastAsia="Arial" w:hAnsi="Arial"/>
                <w:sz w:val="15"/>
                <w:szCs w:val="15"/>
                <w:color w:val="auto"/>
              </w:rPr>
              <w:t>Spain</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 S.A.S.</w:t>
            </w:r>
          </w:p>
        </w:tc>
        <w:tc>
          <w:tcPr>
            <w:tcW w:w="3180" w:type="dxa"/>
            <w:vAlign w:val="bottom"/>
          </w:tcPr>
          <w:p>
            <w:pPr>
              <w:ind w:left="1020"/>
              <w:spacing w:after="0"/>
              <w:rPr>
                <w:sz w:val="20"/>
                <w:szCs w:val="20"/>
                <w:color w:val="auto"/>
              </w:rPr>
            </w:pPr>
            <w:r>
              <w:rPr>
                <w:rFonts w:ascii="Arial" w:cs="Arial" w:eastAsia="Arial" w:hAnsi="Arial"/>
                <w:sz w:val="15"/>
                <w:szCs w:val="15"/>
                <w:color w:val="auto"/>
              </w:rPr>
              <w:t>France</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lastminute.com GmbH</w:t>
            </w:r>
          </w:p>
        </w:tc>
        <w:tc>
          <w:tcPr>
            <w:tcW w:w="3180" w:type="dxa"/>
            <w:vAlign w:val="bottom"/>
          </w:tcPr>
          <w:p>
            <w:pPr>
              <w:ind w:left="102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lastminute.com Holdings, Inc.</w:t>
            </w:r>
          </w:p>
        </w:tc>
        <w:tc>
          <w:tcPr>
            <w:tcW w:w="3180" w:type="dxa"/>
            <w:vAlign w:val="bottom"/>
          </w:tcPr>
          <w:p>
            <w:pPr>
              <w:ind w:left="102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lastminute.com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lastminute.com LLC</w:t>
            </w:r>
          </w:p>
        </w:tc>
        <w:tc>
          <w:tcPr>
            <w:tcW w:w="3180" w:type="dxa"/>
            <w:vAlign w:val="bottom"/>
          </w:tcPr>
          <w:p>
            <w:pPr>
              <w:ind w:left="102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Lastminute.com Overseas Holdings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Lastminute.com S.R.L.</w:t>
            </w:r>
          </w:p>
        </w:tc>
        <w:tc>
          <w:tcPr>
            <w:tcW w:w="3180" w:type="dxa"/>
            <w:vAlign w:val="bottom"/>
          </w:tcPr>
          <w:p>
            <w:pPr>
              <w:ind w:left="1020"/>
              <w:spacing w:after="0"/>
              <w:rPr>
                <w:sz w:val="20"/>
                <w:szCs w:val="20"/>
                <w:color w:val="auto"/>
              </w:rPr>
            </w:pPr>
            <w:r>
              <w:rPr>
                <w:rFonts w:ascii="Arial" w:cs="Arial" w:eastAsia="Arial" w:hAnsi="Arial"/>
                <w:sz w:val="15"/>
                <w:szCs w:val="15"/>
                <w:color w:val="auto"/>
              </w:rPr>
              <w:t>Italy</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Lastminute.com Theatrenow Limited</w:t>
            </w:r>
          </w:p>
        </w:tc>
        <w:tc>
          <w:tcPr>
            <w:tcW w:w="3180" w:type="dxa"/>
            <w:vAlign w:val="bottom"/>
          </w:tcPr>
          <w:p>
            <w:pPr>
              <w:ind w:left="102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LCC24AG</w:t>
            </w:r>
          </w:p>
        </w:tc>
        <w:tc>
          <w:tcPr>
            <w:tcW w:w="3180" w:type="dxa"/>
            <w:vAlign w:val="bottom"/>
          </w:tcPr>
          <w:p>
            <w:pPr>
              <w:ind w:left="1020"/>
              <w:spacing w:after="0"/>
              <w:rPr>
                <w:sz w:val="20"/>
                <w:szCs w:val="20"/>
                <w:color w:val="auto"/>
              </w:rPr>
            </w:pPr>
            <w:r>
              <w:rPr>
                <w:rFonts w:ascii="Arial" w:cs="Arial" w:eastAsia="Arial" w:hAnsi="Arial"/>
                <w:sz w:val="15"/>
                <w:szCs w:val="15"/>
                <w:color w:val="auto"/>
              </w:rPr>
              <w:t>Germany</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7.3%</w:t>
            </w: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Leisure Cars Broker S.L.</w:t>
            </w:r>
          </w:p>
        </w:tc>
        <w:tc>
          <w:tcPr>
            <w:tcW w:w="3180" w:type="dxa"/>
            <w:vAlign w:val="bottom"/>
          </w:tcPr>
          <w:p>
            <w:pPr>
              <w:ind w:left="1020"/>
              <w:spacing w:after="0"/>
              <w:rPr>
                <w:sz w:val="20"/>
                <w:szCs w:val="20"/>
                <w:color w:val="auto"/>
              </w:rPr>
            </w:pPr>
            <w:r>
              <w:rPr>
                <w:rFonts w:ascii="Arial" w:cs="Arial" w:eastAsia="Arial" w:hAnsi="Arial"/>
                <w:sz w:val="15"/>
                <w:szCs w:val="15"/>
                <w:color w:val="auto"/>
              </w:rPr>
              <w:t>Spain</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Leisure Cars (Schweiz) GmbH</w:t>
            </w:r>
          </w:p>
        </w:tc>
        <w:tc>
          <w:tcPr>
            <w:tcW w:w="3180" w:type="dxa"/>
            <w:vAlign w:val="bottom"/>
          </w:tcPr>
          <w:p>
            <w:pPr>
              <w:ind w:left="1020"/>
              <w:spacing w:after="0"/>
              <w:rPr>
                <w:sz w:val="20"/>
                <w:szCs w:val="20"/>
                <w:color w:val="auto"/>
              </w:rPr>
            </w:pPr>
            <w:r>
              <w:rPr>
                <w:rFonts w:ascii="Arial" w:cs="Arial" w:eastAsia="Arial" w:hAnsi="Arial"/>
                <w:sz w:val="15"/>
                <w:szCs w:val="15"/>
                <w:color w:val="auto"/>
              </w:rPr>
              <w:t>Switzerland</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Leisure Cars European Services GmbH</w:t>
            </w:r>
          </w:p>
        </w:tc>
        <w:tc>
          <w:tcPr>
            <w:tcW w:w="3180" w:type="dxa"/>
            <w:vAlign w:val="bottom"/>
          </w:tcPr>
          <w:p>
            <w:pPr>
              <w:ind w:left="1020"/>
              <w:spacing w:after="0"/>
              <w:rPr>
                <w:sz w:val="20"/>
                <w:szCs w:val="20"/>
                <w:color w:val="auto"/>
              </w:rPr>
            </w:pPr>
            <w:r>
              <w:rPr>
                <w:rFonts w:ascii="Arial" w:cs="Arial" w:eastAsia="Arial" w:hAnsi="Arial"/>
                <w:sz w:val="15"/>
                <w:szCs w:val="15"/>
                <w:color w:val="auto"/>
              </w:rPr>
              <w:t>Switzerland</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Leisure Cars France S.A.S.</w:t>
            </w:r>
          </w:p>
        </w:tc>
        <w:tc>
          <w:tcPr>
            <w:tcW w:w="3180" w:type="dxa"/>
            <w:vAlign w:val="bottom"/>
          </w:tcPr>
          <w:p>
            <w:pPr>
              <w:ind w:left="1020"/>
              <w:spacing w:after="0"/>
              <w:rPr>
                <w:sz w:val="20"/>
                <w:szCs w:val="20"/>
                <w:color w:val="auto"/>
              </w:rPr>
            </w:pPr>
            <w:r>
              <w:rPr>
                <w:rFonts w:ascii="Arial" w:cs="Arial" w:eastAsia="Arial" w:hAnsi="Arial"/>
                <w:sz w:val="15"/>
                <w:szCs w:val="15"/>
                <w:color w:val="auto"/>
              </w:rPr>
              <w:t>France</w:t>
            </w:r>
          </w:p>
        </w:tc>
        <w:tc>
          <w:tcPr>
            <w:tcW w:w="1880" w:type="dxa"/>
            <w:vAlign w:val="bottom"/>
          </w:tcPr>
          <w:p>
            <w:pPr>
              <w:spacing w:after="0"/>
              <w:rPr>
                <w:sz w:val="21"/>
                <w:szCs w:val="21"/>
                <w:color w:val="auto"/>
              </w:rPr>
            </w:pPr>
          </w:p>
        </w:tc>
      </w:tr>
      <w:tr>
        <w:trPr>
          <w:trHeight w:val="245"/>
        </w:trPr>
        <w:tc>
          <w:tcPr>
            <w:tcW w:w="4840" w:type="dxa"/>
            <w:vAlign w:val="bottom"/>
          </w:tcPr>
          <w:p>
            <w:pPr>
              <w:spacing w:after="0"/>
              <w:rPr>
                <w:sz w:val="20"/>
                <w:szCs w:val="20"/>
                <w:color w:val="auto"/>
              </w:rPr>
            </w:pPr>
            <w:r>
              <w:rPr>
                <w:rFonts w:ascii="Arial" w:cs="Arial" w:eastAsia="Arial" w:hAnsi="Arial"/>
                <w:sz w:val="15"/>
                <w:szCs w:val="15"/>
                <w:color w:val="auto"/>
              </w:rPr>
              <w:t>Leisure Cars GmbH</w:t>
            </w:r>
          </w:p>
        </w:tc>
        <w:tc>
          <w:tcPr>
            <w:tcW w:w="3180" w:type="dxa"/>
            <w:vAlign w:val="bottom"/>
          </w:tcPr>
          <w:p>
            <w:pPr>
              <w:ind w:left="102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bl>
    <w:p>
      <w:pPr>
        <w:sectPr>
          <w:pgSz w:w="11900" w:h="16838" w:orient="portrait"/>
          <w:cols w:equalWidth="0" w:num="1">
            <w:col w:w="11440"/>
          </w:cols>
          <w:pgMar w:left="240" w:top="552" w:right="21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6"/>
              </w:rPr>
              <w:t>% of Voting</w:t>
            </w:r>
          </w:p>
        </w:tc>
      </w:tr>
      <w:tr>
        <w:trPr>
          <w:trHeight w:val="172"/>
        </w:trPr>
        <w:tc>
          <w:tcPr>
            <w:tcW w:w="5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8"/>
              </w:rPr>
              <w:t>Interest Directly</w:t>
            </w:r>
          </w:p>
        </w:tc>
      </w:tr>
      <w:tr>
        <w:trPr>
          <w:trHeight w:val="172"/>
        </w:trPr>
        <w:tc>
          <w:tcPr>
            <w:tcW w:w="5320" w:type="dxa"/>
            <w:vAlign w:val="bottom"/>
          </w:tcPr>
          <w:p>
            <w:pPr>
              <w:spacing w:after="0"/>
              <w:rPr>
                <w:sz w:val="14"/>
                <w:szCs w:val="14"/>
                <w:color w:val="auto"/>
              </w:rPr>
            </w:pPr>
          </w:p>
        </w:tc>
        <w:tc>
          <w:tcPr>
            <w:tcW w:w="2700" w:type="dxa"/>
            <w:vAlign w:val="bottom"/>
          </w:tcPr>
          <w:p>
            <w:pPr>
              <w:jc w:val="center"/>
              <w:ind w:left="466"/>
              <w:spacing w:after="0"/>
              <w:rPr>
                <w:sz w:val="20"/>
                <w:szCs w:val="20"/>
                <w:color w:val="auto"/>
              </w:rPr>
            </w:pPr>
            <w:r>
              <w:rPr>
                <w:rFonts w:ascii="Arial" w:cs="Arial" w:eastAsia="Arial" w:hAnsi="Arial"/>
                <w:sz w:val="15"/>
                <w:szCs w:val="15"/>
                <w:b w:val="1"/>
                <w:bCs w:val="1"/>
                <w:color w:val="auto"/>
                <w:w w:val="96"/>
              </w:rPr>
              <w:t>Jurisdiction of</w:t>
            </w: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7"/>
              </w:rPr>
              <w:t>or Indirectly</w:t>
            </w:r>
          </w:p>
        </w:tc>
      </w:tr>
      <w:tr>
        <w:trPr>
          <w:trHeight w:val="172"/>
        </w:trPr>
        <w:tc>
          <w:tcPr>
            <w:tcW w:w="5320" w:type="dxa"/>
            <w:vAlign w:val="bottom"/>
          </w:tcPr>
          <w:p>
            <w:pPr>
              <w:spacing w:after="0"/>
              <w:rPr>
                <w:sz w:val="14"/>
                <w:szCs w:val="14"/>
                <w:color w:val="auto"/>
              </w:rPr>
            </w:pPr>
          </w:p>
        </w:tc>
        <w:tc>
          <w:tcPr>
            <w:tcW w:w="270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Incorporation or</w:t>
            </w:r>
          </w:p>
        </w:tc>
        <w:tc>
          <w:tcPr>
            <w:tcW w:w="188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Held (If Not Wholly-</w:t>
            </w:r>
          </w:p>
        </w:tc>
      </w:tr>
      <w:tr>
        <w:trPr>
          <w:trHeight w:val="195"/>
        </w:trPr>
        <w:tc>
          <w:tcPr>
            <w:tcW w:w="5320" w:type="dxa"/>
            <w:vAlign w:val="bottom"/>
          </w:tcPr>
          <w:p>
            <w:pPr>
              <w:spacing w:after="0"/>
              <w:rPr>
                <w:sz w:val="20"/>
                <w:szCs w:val="20"/>
                <w:color w:val="auto"/>
              </w:rPr>
            </w:pPr>
            <w:r>
              <w:rPr>
                <w:rFonts w:ascii="Arial" w:cs="Arial" w:eastAsia="Arial" w:hAnsi="Arial"/>
                <w:sz w:val="15"/>
                <w:szCs w:val="15"/>
                <w:b w:val="1"/>
                <w:bCs w:val="1"/>
                <w:color w:val="auto"/>
              </w:rPr>
              <w:t>Legal Name of Subsidiary</w:t>
            </w:r>
          </w:p>
        </w:tc>
        <w:tc>
          <w:tcPr>
            <w:tcW w:w="2700" w:type="dxa"/>
            <w:vAlign w:val="bottom"/>
          </w:tcPr>
          <w:p>
            <w:pPr>
              <w:jc w:val="center"/>
              <w:ind w:left="486"/>
              <w:spacing w:after="0"/>
              <w:rPr>
                <w:sz w:val="20"/>
                <w:szCs w:val="20"/>
                <w:color w:val="auto"/>
              </w:rPr>
            </w:pPr>
            <w:r>
              <w:rPr>
                <w:rFonts w:ascii="Arial" w:cs="Arial" w:eastAsia="Arial" w:hAnsi="Arial"/>
                <w:sz w:val="15"/>
                <w:szCs w:val="15"/>
                <w:b w:val="1"/>
                <w:bCs w:val="1"/>
                <w:color w:val="auto"/>
                <w:w w:val="98"/>
              </w:rPr>
              <w:t>Organization</w:t>
            </w:r>
          </w:p>
        </w:tc>
        <w:tc>
          <w:tcPr>
            <w:tcW w:w="188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owned)</w:t>
            </w:r>
          </w:p>
        </w:tc>
      </w:tr>
      <w:tr>
        <w:trPr>
          <w:trHeight w:val="221"/>
        </w:trPr>
        <w:tc>
          <w:tcPr>
            <w:tcW w:w="5320" w:type="dxa"/>
            <w:vAlign w:val="bottom"/>
          </w:tcPr>
          <w:p>
            <w:pPr>
              <w:spacing w:after="0"/>
              <w:rPr>
                <w:sz w:val="20"/>
                <w:szCs w:val="20"/>
                <w:color w:val="auto"/>
              </w:rPr>
            </w:pPr>
            <w:r>
              <w:rPr>
                <w:rFonts w:ascii="Arial" w:cs="Arial" w:eastAsia="Arial" w:hAnsi="Arial"/>
                <w:sz w:val="15"/>
                <w:szCs w:val="15"/>
                <w:color w:val="auto"/>
              </w:rPr>
              <w:t>Leisure Cars Group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19"/>
                <w:szCs w:val="19"/>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Leisure Cars Holdings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Leisure Cars Italia Srl</w:t>
            </w:r>
          </w:p>
        </w:tc>
        <w:tc>
          <w:tcPr>
            <w:tcW w:w="2700" w:type="dxa"/>
            <w:vAlign w:val="bottom"/>
          </w:tcPr>
          <w:p>
            <w:pPr>
              <w:ind w:left="540"/>
              <w:spacing w:after="0"/>
              <w:rPr>
                <w:sz w:val="20"/>
                <w:szCs w:val="20"/>
                <w:color w:val="auto"/>
              </w:rPr>
            </w:pPr>
            <w:r>
              <w:rPr>
                <w:rFonts w:ascii="Arial" w:cs="Arial" w:eastAsia="Arial" w:hAnsi="Arial"/>
                <w:sz w:val="15"/>
                <w:szCs w:val="15"/>
                <w:color w:val="auto"/>
              </w:rPr>
              <w:t>Italy</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Leisure Cars International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Leisure Cars Nordic AS</w:t>
            </w:r>
          </w:p>
        </w:tc>
        <w:tc>
          <w:tcPr>
            <w:tcW w:w="2700" w:type="dxa"/>
            <w:vAlign w:val="bottom"/>
          </w:tcPr>
          <w:p>
            <w:pPr>
              <w:ind w:left="540"/>
              <w:spacing w:after="0"/>
              <w:rPr>
                <w:sz w:val="20"/>
                <w:szCs w:val="20"/>
                <w:color w:val="auto"/>
              </w:rPr>
            </w:pPr>
            <w:r>
              <w:rPr>
                <w:rFonts w:ascii="Arial" w:cs="Arial" w:eastAsia="Arial" w:hAnsi="Arial"/>
                <w:sz w:val="15"/>
                <w:szCs w:val="15"/>
                <w:color w:val="auto"/>
              </w:rPr>
              <w:t>Norway</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Leisure Cars U.K. and Ireland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LM Travel Services Ltd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Moneydirect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Ireland</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50%</w:t>
            </w: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Nexus World Services, Inc.</w:t>
            </w:r>
          </w:p>
        </w:tc>
        <w:tc>
          <w:tcPr>
            <w:tcW w:w="2700" w:type="dxa"/>
            <w:vAlign w:val="bottom"/>
          </w:tcPr>
          <w:p>
            <w:pPr>
              <w:ind w:left="54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Online Travel Corporation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Online Travel Services Ltd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OTBE Group Services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OTC Travel Management Ltd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PRISM Group, Inc.</w:t>
            </w:r>
          </w:p>
        </w:tc>
        <w:tc>
          <w:tcPr>
            <w:tcW w:w="2700" w:type="dxa"/>
            <w:vAlign w:val="bottom"/>
          </w:tcPr>
          <w:p>
            <w:pPr>
              <w:ind w:left="540"/>
              <w:spacing w:after="0"/>
              <w:rPr>
                <w:sz w:val="20"/>
                <w:szCs w:val="20"/>
                <w:color w:val="auto"/>
              </w:rPr>
            </w:pPr>
            <w:r>
              <w:rPr>
                <w:rFonts w:ascii="Arial" w:cs="Arial" w:eastAsia="Arial" w:hAnsi="Arial"/>
                <w:sz w:val="15"/>
                <w:szCs w:val="15"/>
                <w:color w:val="auto"/>
              </w:rPr>
              <w:t>Maryland</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PRISM Technologies, LLC</w:t>
            </w:r>
          </w:p>
        </w:tc>
        <w:tc>
          <w:tcPr>
            <w:tcW w:w="2700" w:type="dxa"/>
            <w:vAlign w:val="bottom"/>
          </w:tcPr>
          <w:p>
            <w:pPr>
              <w:ind w:left="540"/>
              <w:spacing w:after="0"/>
              <w:rPr>
                <w:sz w:val="20"/>
                <w:szCs w:val="20"/>
                <w:color w:val="auto"/>
              </w:rPr>
            </w:pPr>
            <w:r>
              <w:rPr>
                <w:rFonts w:ascii="Arial" w:cs="Arial" w:eastAsia="Arial" w:hAnsi="Arial"/>
                <w:sz w:val="15"/>
                <w:szCs w:val="15"/>
                <w:color w:val="auto"/>
              </w:rPr>
              <w:t>New Mexico</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PT. Sabre Travel Network Indonesia</w:t>
            </w:r>
          </w:p>
        </w:tc>
        <w:tc>
          <w:tcPr>
            <w:tcW w:w="2700" w:type="dxa"/>
            <w:vAlign w:val="bottom"/>
          </w:tcPr>
          <w:p>
            <w:pPr>
              <w:ind w:left="540"/>
              <w:spacing w:after="0"/>
              <w:rPr>
                <w:sz w:val="20"/>
                <w:szCs w:val="20"/>
                <w:color w:val="auto"/>
              </w:rPr>
            </w:pPr>
            <w:r>
              <w:rPr>
                <w:rFonts w:ascii="Arial" w:cs="Arial" w:eastAsia="Arial" w:hAnsi="Arial"/>
                <w:sz w:val="15"/>
                <w:szCs w:val="15"/>
                <w:color w:val="auto"/>
              </w:rPr>
              <w:t>Indonesia</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rPr>
              <w:t>5%</w:t>
            </w: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(Australia) Pty Ltd.</w:t>
            </w:r>
          </w:p>
        </w:tc>
        <w:tc>
          <w:tcPr>
            <w:tcW w:w="2700" w:type="dxa"/>
            <w:vAlign w:val="bottom"/>
          </w:tcPr>
          <w:p>
            <w:pPr>
              <w:ind w:left="540"/>
              <w:spacing w:after="0"/>
              <w:rPr>
                <w:sz w:val="20"/>
                <w:szCs w:val="20"/>
                <w:color w:val="auto"/>
              </w:rPr>
            </w:pPr>
            <w:r>
              <w:rPr>
                <w:rFonts w:ascii="Arial" w:cs="Arial" w:eastAsia="Arial" w:hAnsi="Arial"/>
                <w:sz w:val="15"/>
                <w:szCs w:val="15"/>
                <w:color w:val="auto"/>
              </w:rPr>
              <w:t>Australia</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(Thailand) Holdings LLC</w:t>
            </w:r>
          </w:p>
        </w:tc>
        <w:tc>
          <w:tcPr>
            <w:tcW w:w="2700" w:type="dxa"/>
            <w:vAlign w:val="bottom"/>
          </w:tcPr>
          <w:p>
            <w:pPr>
              <w:ind w:left="54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Airline Solutions GmbH</w:t>
            </w:r>
          </w:p>
        </w:tc>
        <w:tc>
          <w:tcPr>
            <w:tcW w:w="2700" w:type="dxa"/>
            <w:vAlign w:val="bottom"/>
          </w:tcPr>
          <w:p>
            <w:pPr>
              <w:ind w:left="54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AS (Luxembourg) S.a r.l.</w:t>
            </w:r>
          </w:p>
        </w:tc>
        <w:tc>
          <w:tcPr>
            <w:tcW w:w="2700" w:type="dxa"/>
            <w:vAlign w:val="bottom"/>
          </w:tcPr>
          <w:p>
            <w:pPr>
              <w:ind w:left="540"/>
              <w:spacing w:after="0"/>
              <w:rPr>
                <w:sz w:val="20"/>
                <w:szCs w:val="20"/>
                <w:color w:val="auto"/>
              </w:rPr>
            </w:pPr>
            <w:r>
              <w:rPr>
                <w:rFonts w:ascii="Arial" w:cs="Arial" w:eastAsia="Arial" w:hAnsi="Arial"/>
                <w:sz w:val="15"/>
                <w:szCs w:val="15"/>
                <w:color w:val="auto"/>
              </w:rPr>
              <w:t>Luxembourg</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Asia Pacific Pte. Ltd.</w:t>
            </w:r>
          </w:p>
        </w:tc>
        <w:tc>
          <w:tcPr>
            <w:tcW w:w="2700" w:type="dxa"/>
            <w:vAlign w:val="bottom"/>
          </w:tcPr>
          <w:p>
            <w:pPr>
              <w:ind w:left="540"/>
              <w:spacing w:after="0"/>
              <w:rPr>
                <w:sz w:val="20"/>
                <w:szCs w:val="20"/>
                <w:color w:val="auto"/>
              </w:rPr>
            </w:pPr>
            <w:r>
              <w:rPr>
                <w:rFonts w:ascii="Arial" w:cs="Arial" w:eastAsia="Arial" w:hAnsi="Arial"/>
                <w:sz w:val="15"/>
                <w:szCs w:val="15"/>
                <w:color w:val="auto"/>
              </w:rPr>
              <w:t>Singapore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Australia Technologies I Pty, Ltd.</w:t>
            </w:r>
          </w:p>
        </w:tc>
        <w:tc>
          <w:tcPr>
            <w:tcW w:w="2700" w:type="dxa"/>
            <w:vAlign w:val="bottom"/>
          </w:tcPr>
          <w:p>
            <w:pPr>
              <w:ind w:left="540"/>
              <w:spacing w:after="0"/>
              <w:rPr>
                <w:sz w:val="20"/>
                <w:szCs w:val="20"/>
                <w:color w:val="auto"/>
              </w:rPr>
            </w:pPr>
            <w:r>
              <w:rPr>
                <w:rFonts w:ascii="Arial" w:cs="Arial" w:eastAsia="Arial" w:hAnsi="Arial"/>
                <w:sz w:val="15"/>
                <w:szCs w:val="15"/>
                <w:color w:val="auto"/>
              </w:rPr>
              <w:t>Australia</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Austria GmbH</w:t>
            </w:r>
          </w:p>
        </w:tc>
        <w:tc>
          <w:tcPr>
            <w:tcW w:w="2700" w:type="dxa"/>
            <w:vAlign w:val="bottom"/>
          </w:tcPr>
          <w:p>
            <w:pPr>
              <w:ind w:left="540"/>
              <w:spacing w:after="0"/>
              <w:rPr>
                <w:sz w:val="20"/>
                <w:szCs w:val="20"/>
                <w:color w:val="auto"/>
              </w:rPr>
            </w:pPr>
            <w:r>
              <w:rPr>
                <w:rFonts w:ascii="Arial" w:cs="Arial" w:eastAsia="Arial" w:hAnsi="Arial"/>
                <w:sz w:val="15"/>
                <w:szCs w:val="15"/>
                <w:color w:val="auto"/>
              </w:rPr>
              <w:t>Austria</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Belgium SA</w:t>
            </w:r>
          </w:p>
        </w:tc>
        <w:tc>
          <w:tcPr>
            <w:tcW w:w="2700" w:type="dxa"/>
            <w:vAlign w:val="bottom"/>
          </w:tcPr>
          <w:p>
            <w:pPr>
              <w:ind w:left="540"/>
              <w:spacing w:after="0"/>
              <w:rPr>
                <w:sz w:val="20"/>
                <w:szCs w:val="20"/>
                <w:color w:val="auto"/>
              </w:rPr>
            </w:pPr>
            <w:r>
              <w:rPr>
                <w:rFonts w:ascii="Arial" w:cs="Arial" w:eastAsia="Arial" w:hAnsi="Arial"/>
                <w:sz w:val="15"/>
                <w:szCs w:val="15"/>
                <w:color w:val="auto"/>
              </w:rPr>
              <w:t>Belgium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Bulgaria AD</w:t>
            </w:r>
          </w:p>
        </w:tc>
        <w:tc>
          <w:tcPr>
            <w:tcW w:w="2700" w:type="dxa"/>
            <w:vAlign w:val="bottom"/>
          </w:tcPr>
          <w:p>
            <w:pPr>
              <w:ind w:left="540"/>
              <w:spacing w:after="0"/>
              <w:rPr>
                <w:sz w:val="20"/>
                <w:szCs w:val="20"/>
                <w:color w:val="auto"/>
              </w:rPr>
            </w:pPr>
            <w:r>
              <w:rPr>
                <w:rFonts w:ascii="Arial" w:cs="Arial" w:eastAsia="Arial" w:hAnsi="Arial"/>
                <w:sz w:val="15"/>
                <w:szCs w:val="15"/>
                <w:color w:val="auto"/>
              </w:rPr>
              <w:t>Bulgaria</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20%</w:t>
            </w: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China Sea Technologies Ltd.</w:t>
            </w:r>
          </w:p>
        </w:tc>
        <w:tc>
          <w:tcPr>
            <w:tcW w:w="2700" w:type="dxa"/>
            <w:vAlign w:val="bottom"/>
          </w:tcPr>
          <w:p>
            <w:pPr>
              <w:ind w:left="540"/>
              <w:spacing w:after="0"/>
              <w:rPr>
                <w:sz w:val="20"/>
                <w:szCs w:val="20"/>
                <w:color w:val="auto"/>
              </w:rPr>
            </w:pPr>
            <w:r>
              <w:rPr>
                <w:rFonts w:ascii="Arial" w:cs="Arial" w:eastAsia="Arial" w:hAnsi="Arial"/>
                <w:sz w:val="15"/>
                <w:szCs w:val="15"/>
                <w:color w:val="auto"/>
              </w:rPr>
              <w:t>Labuan</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Colombia Ltda.</w:t>
            </w:r>
          </w:p>
        </w:tc>
        <w:tc>
          <w:tcPr>
            <w:tcW w:w="2700" w:type="dxa"/>
            <w:vAlign w:val="bottom"/>
          </w:tcPr>
          <w:p>
            <w:pPr>
              <w:ind w:left="540"/>
              <w:spacing w:after="0"/>
              <w:rPr>
                <w:sz w:val="20"/>
                <w:szCs w:val="20"/>
                <w:color w:val="auto"/>
              </w:rPr>
            </w:pPr>
            <w:r>
              <w:rPr>
                <w:rFonts w:ascii="Arial" w:cs="Arial" w:eastAsia="Arial" w:hAnsi="Arial"/>
                <w:sz w:val="15"/>
                <w:szCs w:val="15"/>
                <w:color w:val="auto"/>
              </w:rPr>
              <w:t>Columbia</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Computer Reservierungssystem GmbH</w:t>
            </w:r>
          </w:p>
        </w:tc>
        <w:tc>
          <w:tcPr>
            <w:tcW w:w="2700" w:type="dxa"/>
            <w:vAlign w:val="bottom"/>
          </w:tcPr>
          <w:p>
            <w:pPr>
              <w:ind w:left="540"/>
              <w:spacing w:after="0"/>
              <w:rPr>
                <w:sz w:val="20"/>
                <w:szCs w:val="20"/>
                <w:color w:val="auto"/>
              </w:rPr>
            </w:pPr>
            <w:r>
              <w:rPr>
                <w:rFonts w:ascii="Arial" w:cs="Arial" w:eastAsia="Arial" w:hAnsi="Arial"/>
                <w:sz w:val="15"/>
                <w:szCs w:val="15"/>
                <w:color w:val="auto"/>
              </w:rPr>
              <w:t>Austria</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Danmark ApS</w:t>
            </w:r>
          </w:p>
        </w:tc>
        <w:tc>
          <w:tcPr>
            <w:tcW w:w="2700" w:type="dxa"/>
            <w:vAlign w:val="bottom"/>
          </w:tcPr>
          <w:p>
            <w:pPr>
              <w:ind w:left="540"/>
              <w:spacing w:after="0"/>
              <w:rPr>
                <w:sz w:val="20"/>
                <w:szCs w:val="20"/>
                <w:color w:val="auto"/>
              </w:rPr>
            </w:pPr>
            <w:r>
              <w:rPr>
                <w:rFonts w:ascii="Arial" w:cs="Arial" w:eastAsia="Arial" w:hAnsi="Arial"/>
                <w:sz w:val="15"/>
                <w:szCs w:val="15"/>
                <w:color w:val="auto"/>
              </w:rPr>
              <w:t>Denmark</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Decision Technologies International, LLC</w:t>
            </w:r>
          </w:p>
        </w:tc>
        <w:tc>
          <w:tcPr>
            <w:tcW w:w="2700" w:type="dxa"/>
            <w:vAlign w:val="bottom"/>
          </w:tcPr>
          <w:p>
            <w:pPr>
              <w:ind w:left="54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Deutschland Marketing GmbH</w:t>
            </w:r>
          </w:p>
        </w:tc>
        <w:tc>
          <w:tcPr>
            <w:tcW w:w="2700" w:type="dxa"/>
            <w:vAlign w:val="bottom"/>
          </w:tcPr>
          <w:p>
            <w:pPr>
              <w:ind w:left="54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Digital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Dynamic Argentina SRL</w:t>
            </w:r>
          </w:p>
        </w:tc>
        <w:tc>
          <w:tcPr>
            <w:tcW w:w="2700" w:type="dxa"/>
            <w:vAlign w:val="bottom"/>
          </w:tcPr>
          <w:p>
            <w:pPr>
              <w:ind w:left="540"/>
              <w:spacing w:after="0"/>
              <w:rPr>
                <w:sz w:val="20"/>
                <w:szCs w:val="20"/>
                <w:color w:val="auto"/>
              </w:rPr>
            </w:pPr>
            <w:r>
              <w:rPr>
                <w:rFonts w:ascii="Arial" w:cs="Arial" w:eastAsia="Arial" w:hAnsi="Arial"/>
                <w:sz w:val="15"/>
                <w:szCs w:val="15"/>
                <w:color w:val="auto"/>
              </w:rPr>
              <w:t>Argentina</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EMEA Marketing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Espana Marketing, S.A.</w:t>
            </w:r>
          </w:p>
        </w:tc>
        <w:tc>
          <w:tcPr>
            <w:tcW w:w="2700" w:type="dxa"/>
            <w:vAlign w:val="bottom"/>
          </w:tcPr>
          <w:p>
            <w:pPr>
              <w:ind w:left="540"/>
              <w:spacing w:after="0"/>
              <w:rPr>
                <w:sz w:val="20"/>
                <w:szCs w:val="20"/>
                <w:color w:val="auto"/>
              </w:rPr>
            </w:pPr>
            <w:r>
              <w:rPr>
                <w:rFonts w:ascii="Arial" w:cs="Arial" w:eastAsia="Arial" w:hAnsi="Arial"/>
                <w:sz w:val="15"/>
                <w:szCs w:val="15"/>
                <w:color w:val="auto"/>
              </w:rPr>
              <w:t>Spain</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Finance (Luxembourg) S.a.r.l.</w:t>
            </w:r>
          </w:p>
        </w:tc>
        <w:tc>
          <w:tcPr>
            <w:tcW w:w="2700" w:type="dxa"/>
            <w:vAlign w:val="bottom"/>
          </w:tcPr>
          <w:p>
            <w:pPr>
              <w:ind w:left="540"/>
              <w:spacing w:after="0"/>
              <w:rPr>
                <w:sz w:val="20"/>
                <w:szCs w:val="20"/>
                <w:color w:val="auto"/>
              </w:rPr>
            </w:pPr>
            <w:r>
              <w:rPr>
                <w:rFonts w:ascii="Arial" w:cs="Arial" w:eastAsia="Arial" w:hAnsi="Arial"/>
                <w:sz w:val="15"/>
                <w:szCs w:val="15"/>
                <w:color w:val="auto"/>
              </w:rPr>
              <w:t>Luxembourg</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France Sarl</w:t>
            </w:r>
          </w:p>
        </w:tc>
        <w:tc>
          <w:tcPr>
            <w:tcW w:w="2700" w:type="dxa"/>
            <w:vAlign w:val="bottom"/>
          </w:tcPr>
          <w:p>
            <w:pPr>
              <w:ind w:left="540"/>
              <w:spacing w:after="0"/>
              <w:rPr>
                <w:sz w:val="20"/>
                <w:szCs w:val="20"/>
                <w:color w:val="auto"/>
              </w:rPr>
            </w:pPr>
            <w:r>
              <w:rPr>
                <w:rFonts w:ascii="Arial" w:cs="Arial" w:eastAsia="Arial" w:hAnsi="Arial"/>
                <w:sz w:val="15"/>
                <w:szCs w:val="15"/>
                <w:color w:val="auto"/>
              </w:rPr>
              <w:t>France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GLBL Inc.</w:t>
            </w:r>
          </w:p>
        </w:tc>
        <w:tc>
          <w:tcPr>
            <w:tcW w:w="2700" w:type="dxa"/>
            <w:vAlign w:val="bottom"/>
          </w:tcPr>
          <w:p>
            <w:pPr>
              <w:ind w:left="54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Global Services S.A.</w:t>
            </w:r>
          </w:p>
        </w:tc>
        <w:tc>
          <w:tcPr>
            <w:tcW w:w="2700" w:type="dxa"/>
            <w:vAlign w:val="bottom"/>
          </w:tcPr>
          <w:p>
            <w:pPr>
              <w:ind w:left="540"/>
              <w:spacing w:after="0"/>
              <w:rPr>
                <w:sz w:val="20"/>
                <w:szCs w:val="20"/>
                <w:color w:val="auto"/>
              </w:rPr>
            </w:pPr>
            <w:r>
              <w:rPr>
                <w:rFonts w:ascii="Arial" w:cs="Arial" w:eastAsia="Arial" w:hAnsi="Arial"/>
                <w:sz w:val="15"/>
                <w:szCs w:val="15"/>
                <w:color w:val="auto"/>
              </w:rPr>
              <w:t>Uruguay</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Global Technologies, Limited</w:t>
            </w:r>
          </w:p>
        </w:tc>
        <w:tc>
          <w:tcPr>
            <w:tcW w:w="2700" w:type="dxa"/>
            <w:vAlign w:val="bottom"/>
          </w:tcPr>
          <w:p>
            <w:pPr>
              <w:ind w:left="54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Headquarters, LLC</w:t>
            </w:r>
          </w:p>
        </w:tc>
        <w:tc>
          <w:tcPr>
            <w:tcW w:w="2700" w:type="dxa"/>
            <w:vAlign w:val="bottom"/>
          </w:tcPr>
          <w:p>
            <w:pPr>
              <w:ind w:left="54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Hellas Computer Reservation Systems Services Societe Anonyme</w:t>
            </w:r>
          </w:p>
        </w:tc>
        <w:tc>
          <w:tcPr>
            <w:tcW w:w="2700" w:type="dxa"/>
            <w:vAlign w:val="bottom"/>
          </w:tcPr>
          <w:p>
            <w:pPr>
              <w:ind w:left="540"/>
              <w:spacing w:after="0"/>
              <w:rPr>
                <w:sz w:val="20"/>
                <w:szCs w:val="20"/>
                <w:color w:val="auto"/>
              </w:rPr>
            </w:pPr>
            <w:r>
              <w:rPr>
                <w:rFonts w:ascii="Arial" w:cs="Arial" w:eastAsia="Arial" w:hAnsi="Arial"/>
                <w:sz w:val="15"/>
                <w:szCs w:val="15"/>
                <w:color w:val="auto"/>
              </w:rPr>
              <w:t>Greece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Holdings (Luxembourg) S.a.r.l.</w:t>
            </w:r>
          </w:p>
        </w:tc>
        <w:tc>
          <w:tcPr>
            <w:tcW w:w="2700" w:type="dxa"/>
            <w:vAlign w:val="bottom"/>
          </w:tcPr>
          <w:p>
            <w:pPr>
              <w:ind w:left="540"/>
              <w:spacing w:after="0"/>
              <w:rPr>
                <w:sz w:val="20"/>
                <w:szCs w:val="20"/>
                <w:color w:val="auto"/>
              </w:rPr>
            </w:pPr>
            <w:r>
              <w:rPr>
                <w:rFonts w:ascii="Arial" w:cs="Arial" w:eastAsia="Arial" w:hAnsi="Arial"/>
                <w:sz w:val="15"/>
                <w:szCs w:val="15"/>
                <w:color w:val="auto"/>
              </w:rPr>
              <w:t>Luxembourg</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Holdings Corporation</w:t>
            </w:r>
          </w:p>
        </w:tc>
        <w:tc>
          <w:tcPr>
            <w:tcW w:w="2700" w:type="dxa"/>
            <w:vAlign w:val="bottom"/>
          </w:tcPr>
          <w:p>
            <w:pPr>
              <w:ind w:left="54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Holdings GmbH</w:t>
            </w:r>
          </w:p>
        </w:tc>
        <w:tc>
          <w:tcPr>
            <w:tcW w:w="2700" w:type="dxa"/>
            <w:vAlign w:val="bottom"/>
          </w:tcPr>
          <w:p>
            <w:pPr>
              <w:ind w:left="54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5320" w:type="dxa"/>
            <w:vAlign w:val="bottom"/>
          </w:tcPr>
          <w:p>
            <w:pPr>
              <w:spacing w:after="0"/>
              <w:rPr>
                <w:sz w:val="20"/>
                <w:szCs w:val="20"/>
                <w:color w:val="auto"/>
              </w:rPr>
            </w:pPr>
            <w:r>
              <w:rPr>
                <w:rFonts w:ascii="Arial" w:cs="Arial" w:eastAsia="Arial" w:hAnsi="Arial"/>
                <w:sz w:val="15"/>
                <w:szCs w:val="15"/>
                <w:color w:val="auto"/>
              </w:rPr>
              <w:t>Sabre Iceland ehf.</w:t>
            </w:r>
          </w:p>
        </w:tc>
        <w:tc>
          <w:tcPr>
            <w:tcW w:w="2700" w:type="dxa"/>
            <w:vAlign w:val="bottom"/>
          </w:tcPr>
          <w:p>
            <w:pPr>
              <w:ind w:left="540"/>
              <w:spacing w:after="0"/>
              <w:rPr>
                <w:sz w:val="20"/>
                <w:szCs w:val="20"/>
                <w:color w:val="auto"/>
              </w:rPr>
            </w:pPr>
            <w:r>
              <w:rPr>
                <w:rFonts w:ascii="Arial" w:cs="Arial" w:eastAsia="Arial" w:hAnsi="Arial"/>
                <w:sz w:val="15"/>
                <w:szCs w:val="15"/>
                <w:color w:val="auto"/>
              </w:rPr>
              <w:t>Iceland</w:t>
            </w:r>
          </w:p>
        </w:tc>
        <w:tc>
          <w:tcPr>
            <w:tcW w:w="1880" w:type="dxa"/>
            <w:vAlign w:val="bottom"/>
          </w:tcPr>
          <w:p>
            <w:pPr>
              <w:spacing w:after="0"/>
              <w:rPr>
                <w:sz w:val="21"/>
                <w:szCs w:val="21"/>
                <w:color w:val="auto"/>
              </w:rPr>
            </w:pPr>
          </w:p>
        </w:tc>
      </w:tr>
    </w:tbl>
    <w:p>
      <w:pPr>
        <w:sectPr>
          <w:pgSz w:w="11900" w:h="16838" w:orient="portrait"/>
          <w:cols w:equalWidth="0" w:num="1">
            <w:col w:w="10199"/>
          </w:cols>
          <w:pgMar w:left="260" w:top="490"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6"/>
              </w:rPr>
              <w:t>% of Voting</w:t>
            </w:r>
          </w:p>
        </w:tc>
      </w:tr>
      <w:tr>
        <w:trPr>
          <w:trHeight w:val="172"/>
        </w:trPr>
        <w:tc>
          <w:tcPr>
            <w:tcW w:w="4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8"/>
              </w:rPr>
              <w:t>Interest Directly</w:t>
            </w:r>
          </w:p>
        </w:tc>
      </w:tr>
      <w:tr>
        <w:trPr>
          <w:trHeight w:val="172"/>
        </w:trPr>
        <w:tc>
          <w:tcPr>
            <w:tcW w:w="4500" w:type="dxa"/>
            <w:vAlign w:val="bottom"/>
          </w:tcPr>
          <w:p>
            <w:pPr>
              <w:spacing w:after="0"/>
              <w:rPr>
                <w:sz w:val="14"/>
                <w:szCs w:val="14"/>
                <w:color w:val="auto"/>
              </w:rPr>
            </w:pPr>
          </w:p>
        </w:tc>
        <w:tc>
          <w:tcPr>
            <w:tcW w:w="3520" w:type="dxa"/>
            <w:vAlign w:val="bottom"/>
          </w:tcPr>
          <w:p>
            <w:pPr>
              <w:ind w:left="1940"/>
              <w:spacing w:after="0"/>
              <w:rPr>
                <w:sz w:val="20"/>
                <w:szCs w:val="20"/>
                <w:color w:val="auto"/>
              </w:rPr>
            </w:pPr>
            <w:r>
              <w:rPr>
                <w:rFonts w:ascii="Arial" w:cs="Arial" w:eastAsia="Arial" w:hAnsi="Arial"/>
                <w:sz w:val="15"/>
                <w:szCs w:val="15"/>
                <w:b w:val="1"/>
                <w:bCs w:val="1"/>
                <w:color w:val="auto"/>
              </w:rPr>
              <w:t>Jurisdiction of</w:t>
            </w: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7"/>
              </w:rPr>
              <w:t>or Indirectly</w:t>
            </w:r>
          </w:p>
        </w:tc>
      </w:tr>
      <w:tr>
        <w:trPr>
          <w:trHeight w:val="172"/>
        </w:trPr>
        <w:tc>
          <w:tcPr>
            <w:tcW w:w="4500" w:type="dxa"/>
            <w:vAlign w:val="bottom"/>
          </w:tcPr>
          <w:p>
            <w:pPr>
              <w:spacing w:after="0"/>
              <w:rPr>
                <w:sz w:val="14"/>
                <w:szCs w:val="14"/>
                <w:color w:val="auto"/>
              </w:rPr>
            </w:pPr>
          </w:p>
        </w:tc>
        <w:tc>
          <w:tcPr>
            <w:tcW w:w="3520" w:type="dxa"/>
            <w:vAlign w:val="bottom"/>
          </w:tcPr>
          <w:p>
            <w:pPr>
              <w:ind w:left="1860"/>
              <w:spacing w:after="0"/>
              <w:rPr>
                <w:sz w:val="20"/>
                <w:szCs w:val="20"/>
                <w:color w:val="auto"/>
              </w:rPr>
            </w:pPr>
            <w:r>
              <w:rPr>
                <w:rFonts w:ascii="Arial" w:cs="Arial" w:eastAsia="Arial" w:hAnsi="Arial"/>
                <w:sz w:val="15"/>
                <w:szCs w:val="15"/>
                <w:b w:val="1"/>
                <w:bCs w:val="1"/>
                <w:color w:val="auto"/>
              </w:rPr>
              <w:t>Incorporation or</w:t>
            </w:r>
          </w:p>
        </w:tc>
        <w:tc>
          <w:tcPr>
            <w:tcW w:w="188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Held (If Not Wholly-</w:t>
            </w:r>
          </w:p>
        </w:tc>
      </w:tr>
      <w:tr>
        <w:trPr>
          <w:trHeight w:val="195"/>
        </w:trPr>
        <w:tc>
          <w:tcPr>
            <w:tcW w:w="4500" w:type="dxa"/>
            <w:vAlign w:val="bottom"/>
          </w:tcPr>
          <w:p>
            <w:pPr>
              <w:spacing w:after="0"/>
              <w:rPr>
                <w:sz w:val="20"/>
                <w:szCs w:val="20"/>
                <w:color w:val="auto"/>
              </w:rPr>
            </w:pPr>
            <w:r>
              <w:rPr>
                <w:rFonts w:ascii="Arial" w:cs="Arial" w:eastAsia="Arial" w:hAnsi="Arial"/>
                <w:sz w:val="15"/>
                <w:szCs w:val="15"/>
                <w:b w:val="1"/>
                <w:bCs w:val="1"/>
                <w:color w:val="auto"/>
              </w:rPr>
              <w:t>Legal Name of Subsidiary</w:t>
            </w:r>
          </w:p>
        </w:tc>
        <w:tc>
          <w:tcPr>
            <w:tcW w:w="3520" w:type="dxa"/>
            <w:vAlign w:val="bottom"/>
          </w:tcPr>
          <w:p>
            <w:pPr>
              <w:ind w:left="2000"/>
              <w:spacing w:after="0"/>
              <w:rPr>
                <w:sz w:val="20"/>
                <w:szCs w:val="20"/>
                <w:color w:val="auto"/>
              </w:rPr>
            </w:pPr>
            <w:r>
              <w:rPr>
                <w:rFonts w:ascii="Arial" w:cs="Arial" w:eastAsia="Arial" w:hAnsi="Arial"/>
                <w:sz w:val="15"/>
                <w:szCs w:val="15"/>
                <w:b w:val="1"/>
                <w:bCs w:val="1"/>
                <w:color w:val="auto"/>
              </w:rPr>
              <w:t>Organization</w:t>
            </w:r>
          </w:p>
        </w:tc>
        <w:tc>
          <w:tcPr>
            <w:tcW w:w="188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owned)</w:t>
            </w:r>
          </w:p>
        </w:tc>
      </w:tr>
      <w:tr>
        <w:trPr>
          <w:trHeight w:val="221"/>
        </w:trPr>
        <w:tc>
          <w:tcPr>
            <w:tcW w:w="4500" w:type="dxa"/>
            <w:vAlign w:val="bottom"/>
          </w:tcPr>
          <w:p>
            <w:pPr>
              <w:spacing w:after="0"/>
              <w:rPr>
                <w:sz w:val="20"/>
                <w:szCs w:val="20"/>
                <w:color w:val="auto"/>
              </w:rPr>
            </w:pPr>
            <w:r>
              <w:rPr>
                <w:rFonts w:ascii="Arial" w:cs="Arial" w:eastAsia="Arial" w:hAnsi="Arial"/>
                <w:sz w:val="15"/>
                <w:szCs w:val="15"/>
                <w:color w:val="auto"/>
              </w:rPr>
              <w:t>Sabre Informacion S.A. de C.V.</w:t>
            </w:r>
          </w:p>
        </w:tc>
        <w:tc>
          <w:tcPr>
            <w:tcW w:w="3520" w:type="dxa"/>
            <w:vAlign w:val="bottom"/>
          </w:tcPr>
          <w:p>
            <w:pPr>
              <w:ind w:left="1360"/>
              <w:spacing w:after="0"/>
              <w:rPr>
                <w:sz w:val="20"/>
                <w:szCs w:val="20"/>
                <w:color w:val="auto"/>
              </w:rPr>
            </w:pPr>
            <w:r>
              <w:rPr>
                <w:rFonts w:ascii="Arial" w:cs="Arial" w:eastAsia="Arial" w:hAnsi="Arial"/>
                <w:sz w:val="15"/>
                <w:szCs w:val="15"/>
                <w:color w:val="auto"/>
              </w:rPr>
              <w:t>Mexico</w:t>
            </w:r>
          </w:p>
        </w:tc>
        <w:tc>
          <w:tcPr>
            <w:tcW w:w="1880" w:type="dxa"/>
            <w:vAlign w:val="bottom"/>
          </w:tcPr>
          <w:p>
            <w:pPr>
              <w:spacing w:after="0"/>
              <w:rPr>
                <w:sz w:val="19"/>
                <w:szCs w:val="19"/>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International (Bahrain) W.L.L.</w:t>
            </w:r>
          </w:p>
        </w:tc>
        <w:tc>
          <w:tcPr>
            <w:tcW w:w="3520" w:type="dxa"/>
            <w:vAlign w:val="bottom"/>
          </w:tcPr>
          <w:p>
            <w:pPr>
              <w:ind w:left="1360"/>
              <w:spacing w:after="0"/>
              <w:rPr>
                <w:sz w:val="20"/>
                <w:szCs w:val="20"/>
                <w:color w:val="auto"/>
              </w:rPr>
            </w:pPr>
            <w:r>
              <w:rPr>
                <w:rFonts w:ascii="Arial" w:cs="Arial" w:eastAsia="Arial" w:hAnsi="Arial"/>
                <w:sz w:val="15"/>
                <w:szCs w:val="15"/>
                <w:color w:val="auto"/>
              </w:rPr>
              <w:t>Bahrain</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International (Luxembourg) S.a.r.l.</w:t>
            </w:r>
          </w:p>
        </w:tc>
        <w:tc>
          <w:tcPr>
            <w:tcW w:w="3520" w:type="dxa"/>
            <w:vAlign w:val="bottom"/>
          </w:tcPr>
          <w:p>
            <w:pPr>
              <w:ind w:left="1360"/>
              <w:spacing w:after="0"/>
              <w:rPr>
                <w:sz w:val="20"/>
                <w:szCs w:val="20"/>
                <w:color w:val="auto"/>
              </w:rPr>
            </w:pPr>
            <w:r>
              <w:rPr>
                <w:rFonts w:ascii="Arial" w:cs="Arial" w:eastAsia="Arial" w:hAnsi="Arial"/>
                <w:sz w:val="15"/>
                <w:szCs w:val="15"/>
                <w:color w:val="auto"/>
              </w:rPr>
              <w:t>Luxembourg</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International B.V.</w:t>
            </w:r>
          </w:p>
        </w:tc>
        <w:tc>
          <w:tcPr>
            <w:tcW w:w="3520" w:type="dxa"/>
            <w:vAlign w:val="bottom"/>
          </w:tcPr>
          <w:p>
            <w:pPr>
              <w:ind w:left="1360"/>
              <w:spacing w:after="0"/>
              <w:rPr>
                <w:sz w:val="20"/>
                <w:szCs w:val="20"/>
                <w:color w:val="auto"/>
              </w:rPr>
            </w:pPr>
            <w:r>
              <w:rPr>
                <w:rFonts w:ascii="Arial" w:cs="Arial" w:eastAsia="Arial" w:hAnsi="Arial"/>
                <w:sz w:val="15"/>
                <w:szCs w:val="15"/>
                <w:color w:val="auto"/>
              </w:rPr>
              <w:t>Luxembourg</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International Holdings, LLC</w:t>
            </w:r>
          </w:p>
        </w:tc>
        <w:tc>
          <w:tcPr>
            <w:tcW w:w="3520" w:type="dxa"/>
            <w:vAlign w:val="bottom"/>
          </w:tcPr>
          <w:p>
            <w:pPr>
              <w:ind w:left="136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International Newco, Inc.</w:t>
            </w:r>
          </w:p>
        </w:tc>
        <w:tc>
          <w:tcPr>
            <w:tcW w:w="3520" w:type="dxa"/>
            <w:vAlign w:val="bottom"/>
          </w:tcPr>
          <w:p>
            <w:pPr>
              <w:ind w:left="136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International, LLC.</w:t>
            </w:r>
          </w:p>
        </w:tc>
        <w:tc>
          <w:tcPr>
            <w:tcW w:w="3520" w:type="dxa"/>
            <w:vAlign w:val="bottom"/>
          </w:tcPr>
          <w:p>
            <w:pPr>
              <w:ind w:left="136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Ireland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Ireland</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Israel Travel Technologies LTD.</w:t>
            </w:r>
          </w:p>
        </w:tc>
        <w:tc>
          <w:tcPr>
            <w:tcW w:w="3520" w:type="dxa"/>
            <w:vAlign w:val="bottom"/>
          </w:tcPr>
          <w:p>
            <w:pPr>
              <w:ind w:left="1360"/>
              <w:spacing w:after="0"/>
              <w:rPr>
                <w:sz w:val="20"/>
                <w:szCs w:val="20"/>
                <w:color w:val="auto"/>
              </w:rPr>
            </w:pPr>
            <w:r>
              <w:rPr>
                <w:rFonts w:ascii="Arial" w:cs="Arial" w:eastAsia="Arial" w:hAnsi="Arial"/>
                <w:sz w:val="15"/>
                <w:szCs w:val="15"/>
                <w:color w:val="auto"/>
              </w:rPr>
              <w:t>Israel</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Italia S.r.l.</w:t>
            </w:r>
          </w:p>
        </w:tc>
        <w:tc>
          <w:tcPr>
            <w:tcW w:w="3520" w:type="dxa"/>
            <w:vAlign w:val="bottom"/>
          </w:tcPr>
          <w:p>
            <w:pPr>
              <w:ind w:left="1360"/>
              <w:spacing w:after="0"/>
              <w:rPr>
                <w:sz w:val="20"/>
                <w:szCs w:val="20"/>
                <w:color w:val="auto"/>
              </w:rPr>
            </w:pPr>
            <w:r>
              <w:rPr>
                <w:rFonts w:ascii="Arial" w:cs="Arial" w:eastAsia="Arial" w:hAnsi="Arial"/>
                <w:sz w:val="15"/>
                <w:szCs w:val="15"/>
                <w:color w:val="auto"/>
              </w:rPr>
              <w:t>Italy</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New Zealand</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Marketing Nederland B.V.</w:t>
            </w:r>
          </w:p>
        </w:tc>
        <w:tc>
          <w:tcPr>
            <w:tcW w:w="3520" w:type="dxa"/>
            <w:vAlign w:val="bottom"/>
          </w:tcPr>
          <w:p>
            <w:pPr>
              <w:ind w:left="1360"/>
              <w:spacing w:after="0"/>
              <w:rPr>
                <w:sz w:val="20"/>
                <w:szCs w:val="20"/>
                <w:color w:val="auto"/>
              </w:rPr>
            </w:pPr>
            <w:r>
              <w:rPr>
                <w:rFonts w:ascii="Arial" w:cs="Arial" w:eastAsia="Arial" w:hAnsi="Arial"/>
                <w:sz w:val="15"/>
                <w:szCs w:val="15"/>
                <w:color w:val="auto"/>
              </w:rPr>
              <w:t>Netherlands</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Marketing Pte. Ltd.</w:t>
            </w:r>
          </w:p>
        </w:tc>
        <w:tc>
          <w:tcPr>
            <w:tcW w:w="3520" w:type="dxa"/>
            <w:vAlign w:val="bottom"/>
          </w:tcPr>
          <w:p>
            <w:pPr>
              <w:ind w:left="1360"/>
              <w:spacing w:after="0"/>
              <w:rPr>
                <w:sz w:val="20"/>
                <w:szCs w:val="20"/>
                <w:color w:val="auto"/>
              </w:rPr>
            </w:pPr>
            <w:r>
              <w:rPr>
                <w:rFonts w:ascii="Arial" w:cs="Arial" w:eastAsia="Arial" w:hAnsi="Arial"/>
                <w:sz w:val="15"/>
                <w:szCs w:val="15"/>
                <w:color w:val="auto"/>
              </w:rPr>
              <w:t>Singapore</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Mexico LLC</w:t>
            </w:r>
          </w:p>
        </w:tc>
        <w:tc>
          <w:tcPr>
            <w:tcW w:w="3520" w:type="dxa"/>
            <w:vAlign w:val="bottom"/>
          </w:tcPr>
          <w:p>
            <w:pPr>
              <w:ind w:left="136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Norge AS</w:t>
            </w:r>
          </w:p>
        </w:tc>
        <w:tc>
          <w:tcPr>
            <w:tcW w:w="3520" w:type="dxa"/>
            <w:vAlign w:val="bottom"/>
          </w:tcPr>
          <w:p>
            <w:pPr>
              <w:ind w:left="1360"/>
              <w:spacing w:after="0"/>
              <w:rPr>
                <w:sz w:val="20"/>
                <w:szCs w:val="20"/>
                <w:color w:val="auto"/>
              </w:rPr>
            </w:pPr>
            <w:r>
              <w:rPr>
                <w:rFonts w:ascii="Arial" w:cs="Arial" w:eastAsia="Arial" w:hAnsi="Arial"/>
                <w:sz w:val="15"/>
                <w:szCs w:val="15"/>
                <w:color w:val="auto"/>
              </w:rPr>
              <w:t>Norway</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Pakistan (Private)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Pakistan</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Polska Sp. Z.o.o.</w:t>
            </w:r>
          </w:p>
        </w:tc>
        <w:tc>
          <w:tcPr>
            <w:tcW w:w="3520" w:type="dxa"/>
            <w:vAlign w:val="bottom"/>
          </w:tcPr>
          <w:p>
            <w:pPr>
              <w:ind w:left="1360"/>
              <w:spacing w:after="0"/>
              <w:rPr>
                <w:sz w:val="20"/>
                <w:szCs w:val="20"/>
                <w:color w:val="auto"/>
              </w:rPr>
            </w:pPr>
            <w:r>
              <w:rPr>
                <w:rFonts w:ascii="Arial" w:cs="Arial" w:eastAsia="Arial" w:hAnsi="Arial"/>
                <w:sz w:val="15"/>
                <w:szCs w:val="15"/>
                <w:color w:val="auto"/>
              </w:rPr>
              <w:t>Poland</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Portugal Servicios Lda</w:t>
            </w:r>
          </w:p>
        </w:tc>
        <w:tc>
          <w:tcPr>
            <w:tcW w:w="3520" w:type="dxa"/>
            <w:vAlign w:val="bottom"/>
          </w:tcPr>
          <w:p>
            <w:pPr>
              <w:ind w:left="1360"/>
              <w:spacing w:after="0"/>
              <w:rPr>
                <w:sz w:val="20"/>
                <w:szCs w:val="20"/>
                <w:color w:val="auto"/>
              </w:rPr>
            </w:pPr>
            <w:r>
              <w:rPr>
                <w:rFonts w:ascii="Arial" w:cs="Arial" w:eastAsia="Arial" w:hAnsi="Arial"/>
                <w:sz w:val="15"/>
                <w:szCs w:val="15"/>
                <w:color w:val="auto"/>
              </w:rPr>
              <w:t>Portugal</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Rocade AB</w:t>
            </w:r>
          </w:p>
        </w:tc>
        <w:tc>
          <w:tcPr>
            <w:tcW w:w="3520" w:type="dxa"/>
            <w:vAlign w:val="bottom"/>
          </w:tcPr>
          <w:p>
            <w:pPr>
              <w:ind w:left="1360"/>
              <w:spacing w:after="0"/>
              <w:rPr>
                <w:sz w:val="20"/>
                <w:szCs w:val="20"/>
                <w:color w:val="auto"/>
              </w:rPr>
            </w:pPr>
            <w:r>
              <w:rPr>
                <w:rFonts w:ascii="Arial" w:cs="Arial" w:eastAsia="Arial" w:hAnsi="Arial"/>
                <w:sz w:val="15"/>
                <w:szCs w:val="15"/>
                <w:color w:val="auto"/>
              </w:rPr>
              <w:t>Sweden</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Rocade Assist AB</w:t>
            </w:r>
          </w:p>
        </w:tc>
        <w:tc>
          <w:tcPr>
            <w:tcW w:w="3520" w:type="dxa"/>
            <w:vAlign w:val="bottom"/>
          </w:tcPr>
          <w:p>
            <w:pPr>
              <w:ind w:left="1360"/>
              <w:spacing w:after="0"/>
              <w:rPr>
                <w:sz w:val="20"/>
                <w:szCs w:val="20"/>
                <w:color w:val="auto"/>
              </w:rPr>
            </w:pPr>
            <w:r>
              <w:rPr>
                <w:rFonts w:ascii="Arial" w:cs="Arial" w:eastAsia="Arial" w:hAnsi="Arial"/>
                <w:sz w:val="15"/>
                <w:szCs w:val="15"/>
                <w:color w:val="auto"/>
              </w:rPr>
              <w:t>Sweden</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Seyahat Dagitim Sisternleri A.S.</w:t>
            </w:r>
          </w:p>
        </w:tc>
        <w:tc>
          <w:tcPr>
            <w:tcW w:w="3520" w:type="dxa"/>
            <w:vAlign w:val="bottom"/>
          </w:tcPr>
          <w:p>
            <w:pPr>
              <w:ind w:left="1360"/>
              <w:spacing w:after="0"/>
              <w:rPr>
                <w:sz w:val="20"/>
                <w:szCs w:val="20"/>
                <w:color w:val="auto"/>
              </w:rPr>
            </w:pPr>
            <w:r>
              <w:rPr>
                <w:rFonts w:ascii="Arial" w:cs="Arial" w:eastAsia="Arial" w:hAnsi="Arial"/>
                <w:sz w:val="15"/>
                <w:szCs w:val="15"/>
                <w:color w:val="auto"/>
              </w:rPr>
              <w:t>Turkey</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Sociedad Technologica S de RL de CV</w:t>
            </w:r>
          </w:p>
        </w:tc>
        <w:tc>
          <w:tcPr>
            <w:tcW w:w="3520" w:type="dxa"/>
            <w:vAlign w:val="bottom"/>
          </w:tcPr>
          <w:p>
            <w:pPr>
              <w:ind w:left="1360"/>
              <w:spacing w:after="0"/>
              <w:rPr>
                <w:sz w:val="20"/>
                <w:szCs w:val="20"/>
                <w:color w:val="auto"/>
              </w:rPr>
            </w:pPr>
            <w:r>
              <w:rPr>
                <w:rFonts w:ascii="Arial" w:cs="Arial" w:eastAsia="Arial" w:hAnsi="Arial"/>
                <w:sz w:val="15"/>
                <w:szCs w:val="15"/>
                <w:color w:val="auto"/>
              </w:rPr>
              <w:t>Mexico</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South Pacific I</w:t>
            </w:r>
          </w:p>
        </w:tc>
        <w:tc>
          <w:tcPr>
            <w:tcW w:w="3520" w:type="dxa"/>
            <w:vAlign w:val="bottom"/>
          </w:tcPr>
          <w:p>
            <w:pPr>
              <w:ind w:left="1360"/>
              <w:spacing w:after="0"/>
              <w:rPr>
                <w:sz w:val="20"/>
                <w:szCs w:val="20"/>
                <w:color w:val="auto"/>
              </w:rPr>
            </w:pPr>
            <w:r>
              <w:rPr>
                <w:rFonts w:ascii="Arial" w:cs="Arial" w:eastAsia="Arial" w:hAnsi="Arial"/>
                <w:sz w:val="15"/>
                <w:szCs w:val="15"/>
                <w:color w:val="auto"/>
              </w:rPr>
              <w:t>Australia</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Suomi Oy</w:t>
            </w:r>
          </w:p>
        </w:tc>
        <w:tc>
          <w:tcPr>
            <w:tcW w:w="3520" w:type="dxa"/>
            <w:vAlign w:val="bottom"/>
          </w:tcPr>
          <w:p>
            <w:pPr>
              <w:ind w:left="1360"/>
              <w:spacing w:after="0"/>
              <w:rPr>
                <w:sz w:val="20"/>
                <w:szCs w:val="20"/>
                <w:color w:val="auto"/>
              </w:rPr>
            </w:pPr>
            <w:r>
              <w:rPr>
                <w:rFonts w:ascii="Arial" w:cs="Arial" w:eastAsia="Arial" w:hAnsi="Arial"/>
                <w:sz w:val="15"/>
                <w:szCs w:val="15"/>
                <w:color w:val="auto"/>
              </w:rPr>
              <w:t>Finland</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Sverige AB</w:t>
            </w:r>
          </w:p>
        </w:tc>
        <w:tc>
          <w:tcPr>
            <w:tcW w:w="3520" w:type="dxa"/>
            <w:vAlign w:val="bottom"/>
          </w:tcPr>
          <w:p>
            <w:pPr>
              <w:ind w:left="1360"/>
              <w:spacing w:after="0"/>
              <w:rPr>
                <w:sz w:val="20"/>
                <w:szCs w:val="20"/>
                <w:color w:val="auto"/>
              </w:rPr>
            </w:pPr>
            <w:r>
              <w:rPr>
                <w:rFonts w:ascii="Arial" w:cs="Arial" w:eastAsia="Arial" w:hAnsi="Arial"/>
                <w:sz w:val="15"/>
                <w:szCs w:val="15"/>
                <w:color w:val="auto"/>
              </w:rPr>
              <w:t>Sweden</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Technology Enterprises II, Ltd.</w:t>
            </w:r>
          </w:p>
        </w:tc>
        <w:tc>
          <w:tcPr>
            <w:tcW w:w="3520" w:type="dxa"/>
            <w:vAlign w:val="bottom"/>
          </w:tcPr>
          <w:p>
            <w:pPr>
              <w:ind w:left="1360"/>
              <w:spacing w:after="0"/>
              <w:rPr>
                <w:sz w:val="20"/>
                <w:szCs w:val="20"/>
                <w:color w:val="auto"/>
              </w:rPr>
            </w:pPr>
            <w:r>
              <w:rPr>
                <w:rFonts w:ascii="Arial" w:cs="Arial" w:eastAsia="Arial" w:hAnsi="Arial"/>
                <w:sz w:val="15"/>
                <w:szCs w:val="15"/>
                <w:color w:val="auto"/>
              </w:rPr>
              <w:t>Cayman Islands</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Technology Enterprises, Ltd.</w:t>
            </w:r>
          </w:p>
        </w:tc>
        <w:tc>
          <w:tcPr>
            <w:tcW w:w="3520" w:type="dxa"/>
            <w:vAlign w:val="bottom"/>
          </w:tcPr>
          <w:p>
            <w:pPr>
              <w:ind w:left="1360"/>
              <w:spacing w:after="0"/>
              <w:rPr>
                <w:sz w:val="20"/>
                <w:szCs w:val="20"/>
                <w:color w:val="auto"/>
              </w:rPr>
            </w:pPr>
            <w:r>
              <w:rPr>
                <w:rFonts w:ascii="Arial" w:cs="Arial" w:eastAsia="Arial" w:hAnsi="Arial"/>
                <w:sz w:val="15"/>
                <w:szCs w:val="15"/>
                <w:color w:val="auto"/>
              </w:rPr>
              <w:t>Cayman Islands</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Technology Holdings Pte. Ltd.</w:t>
            </w:r>
          </w:p>
        </w:tc>
        <w:tc>
          <w:tcPr>
            <w:tcW w:w="3520" w:type="dxa"/>
            <w:vAlign w:val="bottom"/>
          </w:tcPr>
          <w:p>
            <w:pPr>
              <w:ind w:left="1360"/>
              <w:spacing w:after="0"/>
              <w:rPr>
                <w:sz w:val="20"/>
                <w:szCs w:val="20"/>
                <w:color w:val="auto"/>
              </w:rPr>
            </w:pPr>
            <w:r>
              <w:rPr>
                <w:rFonts w:ascii="Arial" w:cs="Arial" w:eastAsia="Arial" w:hAnsi="Arial"/>
                <w:sz w:val="15"/>
                <w:szCs w:val="15"/>
                <w:color w:val="auto"/>
              </w:rPr>
              <w:t>Singapore</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Technology Holland II B.V.</w:t>
            </w:r>
          </w:p>
        </w:tc>
        <w:tc>
          <w:tcPr>
            <w:tcW w:w="3520" w:type="dxa"/>
            <w:vAlign w:val="bottom"/>
          </w:tcPr>
          <w:p>
            <w:pPr>
              <w:ind w:left="1360"/>
              <w:spacing w:after="0"/>
              <w:rPr>
                <w:sz w:val="20"/>
                <w:szCs w:val="20"/>
                <w:color w:val="auto"/>
              </w:rPr>
            </w:pPr>
            <w:r>
              <w:rPr>
                <w:rFonts w:ascii="Arial" w:cs="Arial" w:eastAsia="Arial" w:hAnsi="Arial"/>
                <w:sz w:val="15"/>
                <w:szCs w:val="15"/>
                <w:color w:val="auto"/>
              </w:rPr>
              <w:t>Netherlands</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International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Ireland</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(Australia) Pty Ltd</w:t>
            </w:r>
          </w:p>
        </w:tc>
        <w:tc>
          <w:tcPr>
            <w:tcW w:w="3520" w:type="dxa"/>
            <w:vAlign w:val="bottom"/>
          </w:tcPr>
          <w:p>
            <w:pPr>
              <w:ind w:left="1360"/>
              <w:spacing w:after="0"/>
              <w:rPr>
                <w:sz w:val="20"/>
                <w:szCs w:val="20"/>
                <w:color w:val="auto"/>
              </w:rPr>
            </w:pPr>
            <w:r>
              <w:rPr>
                <w:rFonts w:ascii="Arial" w:cs="Arial" w:eastAsia="Arial" w:hAnsi="Arial"/>
                <w:sz w:val="15"/>
                <w:szCs w:val="15"/>
                <w:color w:val="auto"/>
              </w:rPr>
              <w:t>Australia</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(Bangladesh)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Bangladesh</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49%</w:t>
            </w: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(Brunei) Sdn Bhd</w:t>
            </w:r>
          </w:p>
        </w:tc>
        <w:tc>
          <w:tcPr>
            <w:tcW w:w="3520" w:type="dxa"/>
            <w:vAlign w:val="bottom"/>
          </w:tcPr>
          <w:p>
            <w:pPr>
              <w:ind w:left="1360"/>
              <w:spacing w:after="0"/>
              <w:rPr>
                <w:sz w:val="20"/>
                <w:szCs w:val="20"/>
                <w:color w:val="auto"/>
              </w:rPr>
            </w:pPr>
            <w:r>
              <w:rPr>
                <w:rFonts w:ascii="Arial" w:cs="Arial" w:eastAsia="Arial" w:hAnsi="Arial"/>
                <w:sz w:val="15"/>
                <w:szCs w:val="15"/>
                <w:color w:val="auto"/>
              </w:rPr>
              <w:t>Brunei Darussalam</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15%</w:t>
            </w: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(Central Asia) LLP</w:t>
            </w:r>
          </w:p>
        </w:tc>
        <w:tc>
          <w:tcPr>
            <w:tcW w:w="3520" w:type="dxa"/>
            <w:vAlign w:val="bottom"/>
          </w:tcPr>
          <w:p>
            <w:pPr>
              <w:ind w:left="1360"/>
              <w:spacing w:after="0"/>
              <w:rPr>
                <w:sz w:val="20"/>
                <w:szCs w:val="20"/>
                <w:color w:val="auto"/>
              </w:rPr>
            </w:pPr>
            <w:r>
              <w:rPr>
                <w:rFonts w:ascii="Arial" w:cs="Arial" w:eastAsia="Arial" w:hAnsi="Arial"/>
                <w:sz w:val="15"/>
                <w:szCs w:val="15"/>
                <w:color w:val="auto"/>
              </w:rPr>
              <w:t>Kazakhstan</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(Hong Kong)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Hong Kong</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(India) Private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India</w:t>
            </w:r>
          </w:p>
        </w:tc>
        <w:tc>
          <w:tcPr>
            <w:tcW w:w="1880" w:type="dxa"/>
            <w:vAlign w:val="bottom"/>
          </w:tcPr>
          <w:p>
            <w:pPr>
              <w:spacing w:after="0"/>
              <w:rPr>
                <w:sz w:val="21"/>
                <w:szCs w:val="2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5"/>
                <w:szCs w:val="15"/>
                <w:color w:val="auto"/>
              </w:rPr>
              <w:t>Sabre Travel Network (Lao) Co., Ltd.</w:t>
            </w:r>
          </w:p>
        </w:tc>
        <w:tc>
          <w:tcPr>
            <w:tcW w:w="3520" w:type="dxa"/>
            <w:vAlign w:val="bottom"/>
          </w:tcPr>
          <w:p>
            <w:pPr>
              <w:ind w:left="1360"/>
              <w:spacing w:after="0"/>
              <w:rPr>
                <w:sz w:val="20"/>
                <w:szCs w:val="20"/>
                <w:color w:val="auto"/>
              </w:rPr>
            </w:pPr>
            <w:r>
              <w:rPr>
                <w:rFonts w:ascii="Arial" w:cs="Arial" w:eastAsia="Arial" w:hAnsi="Arial"/>
                <w:sz w:val="15"/>
                <w:szCs w:val="15"/>
                <w:color w:val="auto"/>
              </w:rPr>
              <w:t>Lao People’s Democratic</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40%</w:t>
            </w:r>
          </w:p>
        </w:tc>
      </w:tr>
      <w:tr>
        <w:trPr>
          <w:trHeight w:val="177"/>
        </w:trPr>
        <w:tc>
          <w:tcPr>
            <w:tcW w:w="4500" w:type="dxa"/>
            <w:vAlign w:val="bottom"/>
          </w:tcPr>
          <w:p>
            <w:pPr>
              <w:spacing w:after="0"/>
              <w:rPr>
                <w:sz w:val="15"/>
                <w:szCs w:val="15"/>
                <w:color w:val="auto"/>
              </w:rPr>
            </w:pPr>
          </w:p>
        </w:tc>
        <w:tc>
          <w:tcPr>
            <w:tcW w:w="3520" w:type="dxa"/>
            <w:vAlign w:val="bottom"/>
          </w:tcPr>
          <w:p>
            <w:pPr>
              <w:ind w:left="1360"/>
              <w:spacing w:after="0"/>
              <w:rPr>
                <w:sz w:val="20"/>
                <w:szCs w:val="20"/>
                <w:color w:val="auto"/>
              </w:rPr>
            </w:pPr>
            <w:r>
              <w:rPr>
                <w:rFonts w:ascii="Arial" w:cs="Arial" w:eastAsia="Arial" w:hAnsi="Arial"/>
                <w:sz w:val="15"/>
                <w:szCs w:val="15"/>
                <w:color w:val="auto"/>
              </w:rPr>
              <w:t>Republic</w:t>
            </w:r>
          </w:p>
        </w:tc>
        <w:tc>
          <w:tcPr>
            <w:tcW w:w="1880" w:type="dxa"/>
            <w:vAlign w:val="bottom"/>
          </w:tcPr>
          <w:p>
            <w:pPr>
              <w:spacing w:after="0"/>
              <w:rPr>
                <w:sz w:val="15"/>
                <w:szCs w:val="15"/>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5"/>
                <w:szCs w:val="15"/>
                <w:color w:val="auto"/>
              </w:rPr>
              <w:t>Sabre Travel Network (Malaysia) Sdn. Bhd.</w:t>
            </w:r>
          </w:p>
        </w:tc>
        <w:tc>
          <w:tcPr>
            <w:tcW w:w="3520" w:type="dxa"/>
            <w:vAlign w:val="bottom"/>
          </w:tcPr>
          <w:p>
            <w:pPr>
              <w:ind w:left="1360"/>
              <w:spacing w:after="0"/>
              <w:rPr>
                <w:sz w:val="20"/>
                <w:szCs w:val="20"/>
                <w:color w:val="auto"/>
              </w:rPr>
            </w:pPr>
            <w:r>
              <w:rPr>
                <w:rFonts w:ascii="Arial" w:cs="Arial" w:eastAsia="Arial" w:hAnsi="Arial"/>
                <w:sz w:val="15"/>
                <w:szCs w:val="15"/>
                <w:color w:val="auto"/>
              </w:rPr>
              <w:t>Malaysia</w:t>
            </w:r>
          </w:p>
        </w:tc>
        <w:tc>
          <w:tcPr>
            <w:tcW w:w="1880" w:type="dxa"/>
            <w:vAlign w:val="bottom"/>
          </w:tcPr>
          <w:p>
            <w:pPr>
              <w:spacing w:after="0"/>
              <w:rPr>
                <w:sz w:val="19"/>
                <w:szCs w:val="19"/>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(New Zealand)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New Zealand</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(Pakistan) Private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Pakistan</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30%</w:t>
            </w: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(Philippines) Inc.</w:t>
            </w:r>
          </w:p>
        </w:tc>
        <w:tc>
          <w:tcPr>
            <w:tcW w:w="3520" w:type="dxa"/>
            <w:vAlign w:val="bottom"/>
          </w:tcPr>
          <w:p>
            <w:pPr>
              <w:ind w:left="1360"/>
              <w:spacing w:after="0"/>
              <w:rPr>
                <w:sz w:val="20"/>
                <w:szCs w:val="20"/>
                <w:color w:val="auto"/>
              </w:rPr>
            </w:pPr>
            <w:r>
              <w:rPr>
                <w:rFonts w:ascii="Arial" w:cs="Arial" w:eastAsia="Arial" w:hAnsi="Arial"/>
                <w:sz w:val="15"/>
                <w:szCs w:val="15"/>
                <w:color w:val="auto"/>
              </w:rPr>
              <w:t>Philippines</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17%</w:t>
            </w: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(Singapore) Pte. Ltd.</w:t>
            </w:r>
          </w:p>
        </w:tc>
        <w:tc>
          <w:tcPr>
            <w:tcW w:w="3520" w:type="dxa"/>
            <w:vAlign w:val="bottom"/>
          </w:tcPr>
          <w:p>
            <w:pPr>
              <w:ind w:left="1360"/>
              <w:spacing w:after="0"/>
              <w:rPr>
                <w:sz w:val="20"/>
                <w:szCs w:val="20"/>
                <w:color w:val="auto"/>
              </w:rPr>
            </w:pPr>
            <w:r>
              <w:rPr>
                <w:rFonts w:ascii="Arial" w:cs="Arial" w:eastAsia="Arial" w:hAnsi="Arial"/>
                <w:sz w:val="15"/>
                <w:szCs w:val="15"/>
                <w:color w:val="auto"/>
              </w:rPr>
              <w:t>Singapore</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(Thailand) Ltd.</w:t>
            </w:r>
          </w:p>
        </w:tc>
        <w:tc>
          <w:tcPr>
            <w:tcW w:w="3520" w:type="dxa"/>
            <w:vAlign w:val="bottom"/>
          </w:tcPr>
          <w:p>
            <w:pPr>
              <w:ind w:left="1360"/>
              <w:spacing w:after="0"/>
              <w:rPr>
                <w:sz w:val="20"/>
                <w:szCs w:val="20"/>
                <w:color w:val="auto"/>
              </w:rPr>
            </w:pPr>
            <w:r>
              <w:rPr>
                <w:rFonts w:ascii="Arial" w:cs="Arial" w:eastAsia="Arial" w:hAnsi="Arial"/>
                <w:sz w:val="15"/>
                <w:szCs w:val="15"/>
                <w:color w:val="auto"/>
              </w:rPr>
              <w:t>Thailand</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Egypt LLC</w:t>
            </w:r>
          </w:p>
        </w:tc>
        <w:tc>
          <w:tcPr>
            <w:tcW w:w="3520" w:type="dxa"/>
            <w:vAlign w:val="bottom"/>
          </w:tcPr>
          <w:p>
            <w:pPr>
              <w:ind w:left="1360"/>
              <w:spacing w:after="0"/>
              <w:rPr>
                <w:sz w:val="20"/>
                <w:szCs w:val="20"/>
                <w:color w:val="auto"/>
              </w:rPr>
            </w:pPr>
            <w:r>
              <w:rPr>
                <w:rFonts w:ascii="Arial" w:cs="Arial" w:eastAsia="Arial" w:hAnsi="Arial"/>
                <w:sz w:val="15"/>
                <w:szCs w:val="15"/>
                <w:color w:val="auto"/>
              </w:rPr>
              <w:t>Egypt</w:t>
            </w:r>
          </w:p>
        </w:tc>
        <w:tc>
          <w:tcPr>
            <w:tcW w:w="1880" w:type="dxa"/>
            <w:vAlign w:val="bottom"/>
          </w:tcPr>
          <w:p>
            <w:pPr>
              <w:spacing w:after="0"/>
              <w:rPr>
                <w:sz w:val="21"/>
                <w:szCs w:val="21"/>
                <w:color w:val="auto"/>
              </w:rPr>
            </w:pP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Lanka (Private) Limited</w:t>
            </w:r>
          </w:p>
        </w:tc>
        <w:tc>
          <w:tcPr>
            <w:tcW w:w="3520" w:type="dxa"/>
            <w:vAlign w:val="bottom"/>
          </w:tcPr>
          <w:p>
            <w:pPr>
              <w:ind w:left="1360"/>
              <w:spacing w:after="0"/>
              <w:rPr>
                <w:sz w:val="20"/>
                <w:szCs w:val="20"/>
                <w:color w:val="auto"/>
              </w:rPr>
            </w:pPr>
            <w:r>
              <w:rPr>
                <w:rFonts w:ascii="Arial" w:cs="Arial" w:eastAsia="Arial" w:hAnsi="Arial"/>
                <w:sz w:val="15"/>
                <w:szCs w:val="15"/>
                <w:color w:val="auto"/>
              </w:rPr>
              <w:t>Sri Lanka</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60%</w:t>
            </w:r>
          </w:p>
        </w:tc>
      </w:tr>
      <w:tr>
        <w:trPr>
          <w:trHeight w:val="245"/>
        </w:trPr>
        <w:tc>
          <w:tcPr>
            <w:tcW w:w="4500" w:type="dxa"/>
            <w:vAlign w:val="bottom"/>
          </w:tcPr>
          <w:p>
            <w:pPr>
              <w:spacing w:after="0"/>
              <w:rPr>
                <w:sz w:val="20"/>
                <w:szCs w:val="20"/>
                <w:color w:val="auto"/>
              </w:rPr>
            </w:pPr>
            <w:r>
              <w:rPr>
                <w:rFonts w:ascii="Arial" w:cs="Arial" w:eastAsia="Arial" w:hAnsi="Arial"/>
                <w:sz w:val="15"/>
                <w:szCs w:val="15"/>
                <w:color w:val="auto"/>
              </w:rPr>
              <w:t>Sabre Travel Network Middle East W.L.L.</w:t>
            </w:r>
          </w:p>
        </w:tc>
        <w:tc>
          <w:tcPr>
            <w:tcW w:w="3520" w:type="dxa"/>
            <w:vAlign w:val="bottom"/>
          </w:tcPr>
          <w:p>
            <w:pPr>
              <w:ind w:left="1360"/>
              <w:spacing w:after="0"/>
              <w:rPr>
                <w:sz w:val="20"/>
                <w:szCs w:val="20"/>
                <w:color w:val="auto"/>
              </w:rPr>
            </w:pPr>
            <w:r>
              <w:rPr>
                <w:rFonts w:ascii="Arial" w:cs="Arial" w:eastAsia="Arial" w:hAnsi="Arial"/>
                <w:sz w:val="15"/>
                <w:szCs w:val="15"/>
                <w:color w:val="auto"/>
              </w:rPr>
              <w:t>Bahrain</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60%</w:t>
            </w:r>
          </w:p>
        </w:tc>
      </w:tr>
    </w:tbl>
    <w:p>
      <w:pPr>
        <w:sectPr>
          <w:pgSz w:w="11900" w:h="16838" w:orient="portrait"/>
          <w:cols w:equalWidth="0" w:num="1">
            <w:col w:w="10199"/>
          </w:cols>
          <w:pgMar w:left="260" w:top="490" w:right="144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6"/>
              </w:rPr>
              <w:t>% of Voting</w:t>
            </w:r>
          </w:p>
        </w:tc>
      </w:tr>
      <w:tr>
        <w:trPr>
          <w:trHeight w:val="172"/>
        </w:trPr>
        <w:tc>
          <w:tcPr>
            <w:tcW w:w="4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8"/>
              </w:rPr>
              <w:t>Interest Directly</w:t>
            </w:r>
          </w:p>
        </w:tc>
      </w:tr>
      <w:tr>
        <w:trPr>
          <w:trHeight w:val="172"/>
        </w:trPr>
        <w:tc>
          <w:tcPr>
            <w:tcW w:w="4860" w:type="dxa"/>
            <w:vAlign w:val="bottom"/>
          </w:tcPr>
          <w:p>
            <w:pPr>
              <w:spacing w:after="0"/>
              <w:rPr>
                <w:sz w:val="14"/>
                <w:szCs w:val="14"/>
                <w:color w:val="auto"/>
              </w:rPr>
            </w:pPr>
          </w:p>
        </w:tc>
        <w:tc>
          <w:tcPr>
            <w:tcW w:w="3160" w:type="dxa"/>
            <w:vAlign w:val="bottom"/>
          </w:tcPr>
          <w:p>
            <w:pPr>
              <w:jc w:val="center"/>
              <w:ind w:left="926"/>
              <w:spacing w:after="0"/>
              <w:rPr>
                <w:sz w:val="20"/>
                <w:szCs w:val="20"/>
                <w:color w:val="auto"/>
              </w:rPr>
            </w:pPr>
            <w:r>
              <w:rPr>
                <w:rFonts w:ascii="Arial" w:cs="Arial" w:eastAsia="Arial" w:hAnsi="Arial"/>
                <w:sz w:val="15"/>
                <w:szCs w:val="15"/>
                <w:b w:val="1"/>
                <w:bCs w:val="1"/>
                <w:color w:val="auto"/>
                <w:w w:val="96"/>
              </w:rPr>
              <w:t>Jurisdiction of</w:t>
            </w:r>
          </w:p>
        </w:tc>
        <w:tc>
          <w:tcPr>
            <w:tcW w:w="1880" w:type="dxa"/>
            <w:vAlign w:val="bottom"/>
          </w:tcPr>
          <w:p>
            <w:pPr>
              <w:jc w:val="center"/>
              <w:ind w:left="406"/>
              <w:spacing w:after="0"/>
              <w:rPr>
                <w:sz w:val="20"/>
                <w:szCs w:val="20"/>
                <w:color w:val="auto"/>
              </w:rPr>
            </w:pPr>
            <w:r>
              <w:rPr>
                <w:rFonts w:ascii="Arial" w:cs="Arial" w:eastAsia="Arial" w:hAnsi="Arial"/>
                <w:sz w:val="15"/>
                <w:szCs w:val="15"/>
                <w:b w:val="1"/>
                <w:bCs w:val="1"/>
                <w:color w:val="auto"/>
                <w:w w:val="97"/>
              </w:rPr>
              <w:t>or Indirectly</w:t>
            </w:r>
          </w:p>
        </w:tc>
      </w:tr>
      <w:tr>
        <w:trPr>
          <w:trHeight w:val="172"/>
        </w:trPr>
        <w:tc>
          <w:tcPr>
            <w:tcW w:w="4860" w:type="dxa"/>
            <w:vAlign w:val="bottom"/>
          </w:tcPr>
          <w:p>
            <w:pPr>
              <w:spacing w:after="0"/>
              <w:rPr>
                <w:sz w:val="14"/>
                <w:szCs w:val="14"/>
                <w:color w:val="auto"/>
              </w:rPr>
            </w:pPr>
          </w:p>
        </w:tc>
        <w:tc>
          <w:tcPr>
            <w:tcW w:w="3160" w:type="dxa"/>
            <w:vAlign w:val="bottom"/>
          </w:tcPr>
          <w:p>
            <w:pPr>
              <w:jc w:val="center"/>
              <w:ind w:left="906"/>
              <w:spacing w:after="0"/>
              <w:rPr>
                <w:sz w:val="20"/>
                <w:szCs w:val="20"/>
                <w:color w:val="auto"/>
              </w:rPr>
            </w:pPr>
            <w:r>
              <w:rPr>
                <w:rFonts w:ascii="Arial" w:cs="Arial" w:eastAsia="Arial" w:hAnsi="Arial"/>
                <w:sz w:val="15"/>
                <w:szCs w:val="15"/>
                <w:b w:val="1"/>
                <w:bCs w:val="1"/>
                <w:color w:val="auto"/>
                <w:w w:val="98"/>
              </w:rPr>
              <w:t>Incorporation or</w:t>
            </w:r>
          </w:p>
        </w:tc>
        <w:tc>
          <w:tcPr>
            <w:tcW w:w="188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Held (If Not Wholly-</w:t>
            </w:r>
          </w:p>
        </w:tc>
      </w:tr>
      <w:tr>
        <w:trPr>
          <w:trHeight w:val="195"/>
        </w:trPr>
        <w:tc>
          <w:tcPr>
            <w:tcW w:w="4860" w:type="dxa"/>
            <w:vAlign w:val="bottom"/>
          </w:tcPr>
          <w:p>
            <w:pPr>
              <w:spacing w:after="0"/>
              <w:rPr>
                <w:sz w:val="20"/>
                <w:szCs w:val="20"/>
                <w:color w:val="auto"/>
              </w:rPr>
            </w:pPr>
            <w:r>
              <w:rPr>
                <w:rFonts w:ascii="Arial" w:cs="Arial" w:eastAsia="Arial" w:hAnsi="Arial"/>
                <w:sz w:val="15"/>
                <w:szCs w:val="15"/>
                <w:b w:val="1"/>
                <w:bCs w:val="1"/>
                <w:color w:val="auto"/>
              </w:rPr>
              <w:t>Legal Name of Subsidiary</w:t>
            </w:r>
          </w:p>
        </w:tc>
        <w:tc>
          <w:tcPr>
            <w:tcW w:w="3160" w:type="dxa"/>
            <w:vAlign w:val="bottom"/>
          </w:tcPr>
          <w:p>
            <w:pPr>
              <w:jc w:val="center"/>
              <w:ind w:left="946"/>
              <w:spacing w:after="0"/>
              <w:rPr>
                <w:sz w:val="20"/>
                <w:szCs w:val="20"/>
                <w:color w:val="auto"/>
              </w:rPr>
            </w:pPr>
            <w:r>
              <w:rPr>
                <w:rFonts w:ascii="Arial" w:cs="Arial" w:eastAsia="Arial" w:hAnsi="Arial"/>
                <w:sz w:val="15"/>
                <w:szCs w:val="15"/>
                <w:b w:val="1"/>
                <w:bCs w:val="1"/>
                <w:color w:val="auto"/>
                <w:w w:val="98"/>
              </w:rPr>
              <w:t>Organization</w:t>
            </w:r>
          </w:p>
        </w:tc>
        <w:tc>
          <w:tcPr>
            <w:tcW w:w="1880" w:type="dxa"/>
            <w:vAlign w:val="bottom"/>
          </w:tcPr>
          <w:p>
            <w:pPr>
              <w:jc w:val="center"/>
              <w:ind w:left="446"/>
              <w:spacing w:after="0"/>
              <w:rPr>
                <w:sz w:val="20"/>
                <w:szCs w:val="20"/>
                <w:color w:val="auto"/>
              </w:rPr>
            </w:pPr>
            <w:r>
              <w:rPr>
                <w:rFonts w:ascii="Arial" w:cs="Arial" w:eastAsia="Arial" w:hAnsi="Arial"/>
                <w:sz w:val="15"/>
                <w:szCs w:val="15"/>
                <w:b w:val="1"/>
                <w:bCs w:val="1"/>
                <w:color w:val="auto"/>
                <w:w w:val="98"/>
              </w:rPr>
              <w:t>owned)</w:t>
            </w:r>
          </w:p>
        </w:tc>
      </w:tr>
      <w:tr>
        <w:trPr>
          <w:trHeight w:val="221"/>
        </w:trPr>
        <w:tc>
          <w:tcPr>
            <w:tcW w:w="4860" w:type="dxa"/>
            <w:vAlign w:val="bottom"/>
          </w:tcPr>
          <w:p>
            <w:pPr>
              <w:spacing w:after="0"/>
              <w:rPr>
                <w:sz w:val="20"/>
                <w:szCs w:val="20"/>
                <w:color w:val="auto"/>
              </w:rPr>
            </w:pPr>
            <w:r>
              <w:rPr>
                <w:rFonts w:ascii="Arial" w:cs="Arial" w:eastAsia="Arial" w:hAnsi="Arial"/>
                <w:sz w:val="15"/>
                <w:szCs w:val="15"/>
                <w:color w:val="auto"/>
              </w:rPr>
              <w:t>Sabre Travel Network Romania S.R.L.</w:t>
            </w:r>
          </w:p>
        </w:tc>
        <w:tc>
          <w:tcPr>
            <w:tcW w:w="3160" w:type="dxa"/>
            <w:vAlign w:val="bottom"/>
          </w:tcPr>
          <w:p>
            <w:pPr>
              <w:ind w:left="1000"/>
              <w:spacing w:after="0"/>
              <w:rPr>
                <w:sz w:val="20"/>
                <w:szCs w:val="20"/>
                <w:color w:val="auto"/>
              </w:rPr>
            </w:pPr>
            <w:r>
              <w:rPr>
                <w:rFonts w:ascii="Arial" w:cs="Arial" w:eastAsia="Arial" w:hAnsi="Arial"/>
                <w:sz w:val="15"/>
                <w:szCs w:val="15"/>
                <w:color w:val="auto"/>
              </w:rPr>
              <w:t>Romania</w:t>
            </w:r>
          </w:p>
        </w:tc>
        <w:tc>
          <w:tcPr>
            <w:tcW w:w="1880" w:type="dxa"/>
            <w:vAlign w:val="bottom"/>
          </w:tcPr>
          <w:p>
            <w:pPr>
              <w:spacing w:after="0"/>
              <w:rPr>
                <w:sz w:val="19"/>
                <w:szCs w:val="19"/>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 Travel Network Southern Africa (Proprietary) Limited</w:t>
            </w:r>
          </w:p>
        </w:tc>
        <w:tc>
          <w:tcPr>
            <w:tcW w:w="3160" w:type="dxa"/>
            <w:vAlign w:val="bottom"/>
          </w:tcPr>
          <w:p>
            <w:pPr>
              <w:ind w:left="1000"/>
              <w:spacing w:after="0"/>
              <w:rPr>
                <w:sz w:val="20"/>
                <w:szCs w:val="20"/>
                <w:color w:val="auto"/>
              </w:rPr>
            </w:pPr>
            <w:r>
              <w:rPr>
                <w:rFonts w:ascii="Arial" w:cs="Arial" w:eastAsia="Arial" w:hAnsi="Arial"/>
                <w:sz w:val="15"/>
                <w:szCs w:val="15"/>
                <w:color w:val="auto"/>
              </w:rPr>
              <w:t>South Africa</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 Travel Network Taiwan Ltd.</w:t>
            </w:r>
          </w:p>
        </w:tc>
        <w:tc>
          <w:tcPr>
            <w:tcW w:w="3160" w:type="dxa"/>
            <w:vAlign w:val="bottom"/>
          </w:tcPr>
          <w:p>
            <w:pPr>
              <w:ind w:left="1000"/>
              <w:spacing w:after="0"/>
              <w:rPr>
                <w:sz w:val="20"/>
                <w:szCs w:val="20"/>
                <w:color w:val="auto"/>
              </w:rPr>
            </w:pPr>
            <w:r>
              <w:rPr>
                <w:rFonts w:ascii="Arial" w:cs="Arial" w:eastAsia="Arial" w:hAnsi="Arial"/>
                <w:sz w:val="15"/>
                <w:szCs w:val="15"/>
                <w:color w:val="auto"/>
              </w:rPr>
              <w:t>Taiwan</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8"/>
              </w:rPr>
              <w:t>4.39%</w:t>
            </w: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 Travel Technologies (Private) Limited</w:t>
            </w:r>
          </w:p>
        </w:tc>
        <w:tc>
          <w:tcPr>
            <w:tcW w:w="3160" w:type="dxa"/>
            <w:vAlign w:val="bottom"/>
          </w:tcPr>
          <w:p>
            <w:pPr>
              <w:ind w:left="1000"/>
              <w:spacing w:after="0"/>
              <w:rPr>
                <w:sz w:val="20"/>
                <w:szCs w:val="20"/>
                <w:color w:val="auto"/>
              </w:rPr>
            </w:pPr>
            <w:r>
              <w:rPr>
                <w:rFonts w:ascii="Arial" w:cs="Arial" w:eastAsia="Arial" w:hAnsi="Arial"/>
                <w:sz w:val="15"/>
                <w:szCs w:val="15"/>
                <w:color w:val="auto"/>
              </w:rPr>
              <w:t>India</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 UK Marketing Ltd.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 Ukraine Limited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 Ukraine Limited, LLC</w:t>
            </w:r>
          </w:p>
        </w:tc>
        <w:tc>
          <w:tcPr>
            <w:tcW w:w="3160" w:type="dxa"/>
            <w:vAlign w:val="bottom"/>
          </w:tcPr>
          <w:p>
            <w:pPr>
              <w:ind w:left="1000"/>
              <w:spacing w:after="0"/>
              <w:rPr>
                <w:sz w:val="20"/>
                <w:szCs w:val="20"/>
                <w:color w:val="auto"/>
              </w:rPr>
            </w:pPr>
            <w:r>
              <w:rPr>
                <w:rFonts w:ascii="Arial" w:cs="Arial" w:eastAsia="Arial" w:hAnsi="Arial"/>
                <w:sz w:val="15"/>
                <w:szCs w:val="15"/>
                <w:color w:val="auto"/>
              </w:rPr>
              <w:t>Ukraine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 Vietnam Joint Stock Company</w:t>
            </w:r>
          </w:p>
        </w:tc>
        <w:tc>
          <w:tcPr>
            <w:tcW w:w="3160" w:type="dxa"/>
            <w:vAlign w:val="bottom"/>
          </w:tcPr>
          <w:p>
            <w:pPr>
              <w:ind w:left="1000"/>
              <w:spacing w:after="0"/>
              <w:rPr>
                <w:sz w:val="20"/>
                <w:szCs w:val="20"/>
                <w:color w:val="auto"/>
              </w:rPr>
            </w:pPr>
            <w:r>
              <w:rPr>
                <w:rFonts w:ascii="Arial" w:cs="Arial" w:eastAsia="Arial" w:hAnsi="Arial"/>
                <w:sz w:val="15"/>
                <w:szCs w:val="15"/>
                <w:color w:val="auto"/>
              </w:rPr>
              <w:t>Vietnam</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10%</w:t>
            </w: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 Zenon Cyprus Limited</w:t>
            </w:r>
          </w:p>
        </w:tc>
        <w:tc>
          <w:tcPr>
            <w:tcW w:w="3160" w:type="dxa"/>
            <w:vAlign w:val="bottom"/>
          </w:tcPr>
          <w:p>
            <w:pPr>
              <w:ind w:left="1000"/>
              <w:spacing w:after="0"/>
              <w:rPr>
                <w:sz w:val="20"/>
                <w:szCs w:val="20"/>
                <w:color w:val="auto"/>
              </w:rPr>
            </w:pPr>
            <w:r>
              <w:rPr>
                <w:rFonts w:ascii="Arial" w:cs="Arial" w:eastAsia="Arial" w:hAnsi="Arial"/>
                <w:sz w:val="15"/>
                <w:szCs w:val="15"/>
                <w:color w:val="auto"/>
              </w:rPr>
              <w:t>Cyprus</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SabreMark G.P., LLC</w:t>
            </w:r>
          </w:p>
        </w:tc>
        <w:tc>
          <w:tcPr>
            <w:tcW w:w="3160" w:type="dxa"/>
            <w:vAlign w:val="bottom"/>
          </w:tcPr>
          <w:p>
            <w:pPr>
              <w:ind w:left="100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SabreMark Limited Partnership</w:t>
            </w:r>
          </w:p>
        </w:tc>
        <w:tc>
          <w:tcPr>
            <w:tcW w:w="3160" w:type="dxa"/>
            <w:vAlign w:val="bottom"/>
          </w:tcPr>
          <w:p>
            <w:pPr>
              <w:ind w:left="100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Secret Hotels Ltd.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Secret Hotels2 Ltd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Secret Hotels3 Ltd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Secret Hotels4 Ltd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Switch Automated Booking Services Co WLL</w:t>
            </w:r>
          </w:p>
        </w:tc>
        <w:tc>
          <w:tcPr>
            <w:tcW w:w="3160" w:type="dxa"/>
            <w:vAlign w:val="bottom"/>
          </w:tcPr>
          <w:p>
            <w:pPr>
              <w:ind w:left="1000"/>
              <w:spacing w:after="0"/>
              <w:rPr>
                <w:sz w:val="20"/>
                <w:szCs w:val="20"/>
                <w:color w:val="auto"/>
              </w:rPr>
            </w:pPr>
            <w:r>
              <w:rPr>
                <w:rFonts w:ascii="Arial" w:cs="Arial" w:eastAsia="Arial" w:hAnsi="Arial"/>
                <w:sz w:val="15"/>
                <w:szCs w:val="15"/>
                <w:color w:val="auto"/>
              </w:rPr>
              <w:t>Kuwait</w:t>
            </w:r>
          </w:p>
        </w:tc>
        <w:tc>
          <w:tcPr>
            <w:tcW w:w="1880" w:type="dxa"/>
            <w:vAlign w:val="bottom"/>
          </w:tcPr>
          <w:p>
            <w:pPr>
              <w:jc w:val="center"/>
              <w:ind w:left="466"/>
              <w:spacing w:after="0"/>
              <w:rPr>
                <w:sz w:val="20"/>
                <w:szCs w:val="20"/>
                <w:color w:val="auto"/>
              </w:rPr>
            </w:pPr>
            <w:r>
              <w:rPr>
                <w:rFonts w:ascii="Arial" w:cs="Arial" w:eastAsia="Arial" w:hAnsi="Arial"/>
                <w:sz w:val="15"/>
                <w:szCs w:val="15"/>
                <w:color w:val="auto"/>
                <w:w w:val="99"/>
              </w:rPr>
              <w:t>49%</w:t>
            </w: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Taskbrook Limited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TG India Holdings Company</w:t>
            </w:r>
          </w:p>
        </w:tc>
        <w:tc>
          <w:tcPr>
            <w:tcW w:w="3160" w:type="dxa"/>
            <w:vAlign w:val="bottom"/>
          </w:tcPr>
          <w:p>
            <w:pPr>
              <w:ind w:left="1000"/>
              <w:spacing w:after="0"/>
              <w:rPr>
                <w:sz w:val="20"/>
                <w:szCs w:val="20"/>
                <w:color w:val="auto"/>
              </w:rPr>
            </w:pPr>
            <w:r>
              <w:rPr>
                <w:rFonts w:ascii="Arial" w:cs="Arial" w:eastAsia="Arial" w:hAnsi="Arial"/>
                <w:sz w:val="15"/>
                <w:szCs w:val="15"/>
                <w:color w:val="auto"/>
              </w:rPr>
              <w:t>Cayman Islands</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TG India Management Company</w:t>
            </w:r>
          </w:p>
        </w:tc>
        <w:tc>
          <w:tcPr>
            <w:tcW w:w="3160" w:type="dxa"/>
            <w:vAlign w:val="bottom"/>
          </w:tcPr>
          <w:p>
            <w:pPr>
              <w:ind w:left="1000"/>
              <w:spacing w:after="0"/>
              <w:rPr>
                <w:sz w:val="20"/>
                <w:szCs w:val="20"/>
                <w:color w:val="auto"/>
              </w:rPr>
            </w:pPr>
            <w:r>
              <w:rPr>
                <w:rFonts w:ascii="Arial" w:cs="Arial" w:eastAsia="Arial" w:hAnsi="Arial"/>
                <w:sz w:val="15"/>
                <w:szCs w:val="15"/>
                <w:color w:val="auto"/>
              </w:rPr>
              <w:t>Cayman Islands</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Travelbargains Ltd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Travelcoast Ltd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Travelocity Global Technologies Private Limited</w:t>
            </w:r>
          </w:p>
        </w:tc>
        <w:tc>
          <w:tcPr>
            <w:tcW w:w="3160" w:type="dxa"/>
            <w:vAlign w:val="bottom"/>
          </w:tcPr>
          <w:p>
            <w:pPr>
              <w:ind w:left="1000"/>
              <w:spacing w:after="0"/>
              <w:rPr>
                <w:sz w:val="20"/>
                <w:szCs w:val="20"/>
                <w:color w:val="auto"/>
              </w:rPr>
            </w:pPr>
            <w:r>
              <w:rPr>
                <w:rFonts w:ascii="Arial" w:cs="Arial" w:eastAsia="Arial" w:hAnsi="Arial"/>
                <w:sz w:val="15"/>
                <w:szCs w:val="15"/>
                <w:color w:val="auto"/>
              </w:rPr>
              <w:t>India</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Travelprice Italia S.R.L</w:t>
            </w:r>
          </w:p>
        </w:tc>
        <w:tc>
          <w:tcPr>
            <w:tcW w:w="3160" w:type="dxa"/>
            <w:vAlign w:val="bottom"/>
          </w:tcPr>
          <w:p>
            <w:pPr>
              <w:ind w:left="1000"/>
              <w:spacing w:after="0"/>
              <w:rPr>
                <w:sz w:val="20"/>
                <w:szCs w:val="20"/>
                <w:color w:val="auto"/>
              </w:rPr>
            </w:pPr>
            <w:r>
              <w:rPr>
                <w:rFonts w:ascii="Arial" w:cs="Arial" w:eastAsia="Arial" w:hAnsi="Arial"/>
                <w:sz w:val="15"/>
                <w:szCs w:val="15"/>
                <w:color w:val="auto"/>
              </w:rPr>
              <w:t>Italy</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TravLynx LLC</w:t>
            </w:r>
          </w:p>
        </w:tc>
        <w:tc>
          <w:tcPr>
            <w:tcW w:w="3160" w:type="dxa"/>
            <w:vAlign w:val="bottom"/>
          </w:tcPr>
          <w:p>
            <w:pPr>
              <w:ind w:left="1000"/>
              <w:spacing w:after="0"/>
              <w:rPr>
                <w:sz w:val="20"/>
                <w:szCs w:val="20"/>
                <w:color w:val="auto"/>
              </w:rPr>
            </w:pPr>
            <w:r>
              <w:rPr>
                <w:rFonts w:ascii="Arial" w:cs="Arial" w:eastAsia="Arial" w:hAnsi="Arial"/>
                <w:sz w:val="15"/>
                <w:szCs w:val="15"/>
                <w:color w:val="auto"/>
              </w:rPr>
              <w:t>Florida</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TRUST – International Hotel Reservation Services GmbH</w:t>
            </w:r>
          </w:p>
        </w:tc>
        <w:tc>
          <w:tcPr>
            <w:tcW w:w="3160" w:type="dxa"/>
            <w:vAlign w:val="bottom"/>
          </w:tcPr>
          <w:p>
            <w:pPr>
              <w:ind w:left="100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Australia Pty Ltd.</w:t>
            </w:r>
          </w:p>
        </w:tc>
        <w:tc>
          <w:tcPr>
            <w:tcW w:w="3160" w:type="dxa"/>
            <w:vAlign w:val="bottom"/>
          </w:tcPr>
          <w:p>
            <w:pPr>
              <w:ind w:left="1000"/>
              <w:spacing w:after="0"/>
              <w:rPr>
                <w:sz w:val="20"/>
                <w:szCs w:val="20"/>
                <w:color w:val="auto"/>
              </w:rPr>
            </w:pPr>
            <w:r>
              <w:rPr>
                <w:rFonts w:ascii="Arial" w:cs="Arial" w:eastAsia="Arial" w:hAnsi="Arial"/>
                <w:sz w:val="15"/>
                <w:szCs w:val="15"/>
                <w:color w:val="auto"/>
              </w:rPr>
              <w:t>Australia</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Common, Inc.</w:t>
            </w:r>
          </w:p>
        </w:tc>
        <w:tc>
          <w:tcPr>
            <w:tcW w:w="3160" w:type="dxa"/>
            <w:vAlign w:val="bottom"/>
          </w:tcPr>
          <w:p>
            <w:pPr>
              <w:ind w:left="100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Europe</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GmbH</w:t>
            </w:r>
          </w:p>
        </w:tc>
        <w:tc>
          <w:tcPr>
            <w:tcW w:w="3160" w:type="dxa"/>
            <w:vAlign w:val="bottom"/>
          </w:tcPr>
          <w:p>
            <w:pPr>
              <w:ind w:left="1000"/>
              <w:spacing w:after="0"/>
              <w:rPr>
                <w:sz w:val="20"/>
                <w:szCs w:val="20"/>
                <w:color w:val="auto"/>
              </w:rPr>
            </w:pPr>
            <w:r>
              <w:rPr>
                <w:rFonts w:ascii="Arial" w:cs="Arial" w:eastAsia="Arial" w:hAnsi="Arial"/>
                <w:sz w:val="15"/>
                <w:szCs w:val="15"/>
                <w:color w:val="auto"/>
              </w:rPr>
              <w:t>Germany</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Holdings I, LLC</w:t>
            </w:r>
          </w:p>
        </w:tc>
        <w:tc>
          <w:tcPr>
            <w:tcW w:w="3160" w:type="dxa"/>
            <w:vAlign w:val="bottom"/>
          </w:tcPr>
          <w:p>
            <w:pPr>
              <w:ind w:left="100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Holdings, Inc.</w:t>
            </w:r>
          </w:p>
        </w:tc>
        <w:tc>
          <w:tcPr>
            <w:tcW w:w="3160" w:type="dxa"/>
            <w:vAlign w:val="bottom"/>
          </w:tcPr>
          <w:p>
            <w:pPr>
              <w:ind w:left="100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International B.V.</w:t>
            </w:r>
          </w:p>
        </w:tc>
        <w:tc>
          <w:tcPr>
            <w:tcW w:w="3160" w:type="dxa"/>
            <w:vAlign w:val="bottom"/>
          </w:tcPr>
          <w:p>
            <w:pPr>
              <w:ind w:left="1000"/>
              <w:spacing w:after="0"/>
              <w:rPr>
                <w:sz w:val="20"/>
                <w:szCs w:val="20"/>
                <w:color w:val="auto"/>
              </w:rPr>
            </w:pPr>
            <w:r>
              <w:rPr>
                <w:rFonts w:ascii="Arial" w:cs="Arial" w:eastAsia="Arial" w:hAnsi="Arial"/>
                <w:sz w:val="15"/>
                <w:szCs w:val="15"/>
                <w:color w:val="auto"/>
              </w:rPr>
              <w:t>Netherlands</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LLC</w:t>
            </w:r>
          </w:p>
        </w:tc>
        <w:tc>
          <w:tcPr>
            <w:tcW w:w="3160" w:type="dxa"/>
            <w:vAlign w:val="bottom"/>
          </w:tcPr>
          <w:p>
            <w:pPr>
              <w:ind w:left="100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LP</w:t>
            </w:r>
          </w:p>
        </w:tc>
        <w:tc>
          <w:tcPr>
            <w:tcW w:w="3160" w:type="dxa"/>
            <w:vAlign w:val="bottom"/>
          </w:tcPr>
          <w:p>
            <w:pPr>
              <w:ind w:left="1000"/>
              <w:spacing w:after="0"/>
              <w:rPr>
                <w:sz w:val="20"/>
                <w:szCs w:val="20"/>
                <w:color w:val="auto"/>
              </w:rPr>
            </w:pPr>
            <w:r>
              <w:rPr>
                <w:rFonts w:ascii="Arial" w:cs="Arial" w:eastAsia="Arial" w:hAnsi="Arial"/>
                <w:sz w:val="15"/>
                <w:szCs w:val="15"/>
                <w:color w:val="auto"/>
              </w:rPr>
              <w:t>Delaware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Nordic AS</w:t>
            </w:r>
          </w:p>
        </w:tc>
        <w:tc>
          <w:tcPr>
            <w:tcW w:w="3160" w:type="dxa"/>
            <w:vAlign w:val="bottom"/>
          </w:tcPr>
          <w:p>
            <w:pPr>
              <w:ind w:left="1000"/>
              <w:spacing w:after="0"/>
              <w:rPr>
                <w:sz w:val="20"/>
                <w:szCs w:val="20"/>
                <w:color w:val="auto"/>
              </w:rPr>
            </w:pPr>
            <w:r>
              <w:rPr>
                <w:rFonts w:ascii="Arial" w:cs="Arial" w:eastAsia="Arial" w:hAnsi="Arial"/>
                <w:sz w:val="15"/>
                <w:szCs w:val="15"/>
                <w:color w:val="auto"/>
              </w:rPr>
              <w:t>Norway</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Services Canada Ltd.</w:t>
            </w:r>
          </w:p>
        </w:tc>
        <w:tc>
          <w:tcPr>
            <w:tcW w:w="3160" w:type="dxa"/>
            <w:vAlign w:val="bottom"/>
          </w:tcPr>
          <w:p>
            <w:pPr>
              <w:ind w:left="1000"/>
              <w:spacing w:after="0"/>
              <w:rPr>
                <w:sz w:val="20"/>
                <w:szCs w:val="20"/>
                <w:color w:val="auto"/>
              </w:rPr>
            </w:pPr>
            <w:r>
              <w:rPr>
                <w:rFonts w:ascii="Arial" w:cs="Arial" w:eastAsia="Arial" w:hAnsi="Arial"/>
                <w:sz w:val="15"/>
                <w:szCs w:val="15"/>
                <w:color w:val="auto"/>
              </w:rPr>
              <w:t>Canada</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 Travel Limited</w:t>
            </w:r>
          </w:p>
        </w:tc>
        <w:tc>
          <w:tcPr>
            <w:tcW w:w="3160" w:type="dxa"/>
            <w:vAlign w:val="bottom"/>
          </w:tcPr>
          <w:p>
            <w:pPr>
              <w:ind w:left="1000"/>
              <w:spacing w:after="0"/>
              <w:rPr>
                <w:sz w:val="20"/>
                <w:szCs w:val="20"/>
                <w:color w:val="auto"/>
              </w:rPr>
            </w:pPr>
            <w:r>
              <w:rPr>
                <w:rFonts w:ascii="Arial" w:cs="Arial" w:eastAsia="Arial" w:hAnsi="Arial"/>
                <w:sz w:val="15"/>
                <w:szCs w:val="15"/>
                <w:color w:val="auto"/>
              </w:rPr>
              <w:t>United Kingdom</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TVLY S.R.L.</w:t>
            </w:r>
          </w:p>
        </w:tc>
        <w:tc>
          <w:tcPr>
            <w:tcW w:w="3160" w:type="dxa"/>
            <w:vAlign w:val="bottom"/>
          </w:tcPr>
          <w:p>
            <w:pPr>
              <w:ind w:left="1000"/>
              <w:spacing w:after="0"/>
              <w:rPr>
                <w:sz w:val="20"/>
                <w:szCs w:val="20"/>
                <w:color w:val="auto"/>
              </w:rPr>
            </w:pPr>
            <w:r>
              <w:rPr>
                <w:rFonts w:ascii="Arial" w:cs="Arial" w:eastAsia="Arial" w:hAnsi="Arial"/>
                <w:sz w:val="15"/>
                <w:szCs w:val="15"/>
                <w:color w:val="auto"/>
              </w:rPr>
              <w:t>Argentina</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Viva Travel Dun Laoghaire</w:t>
            </w:r>
          </w:p>
        </w:tc>
        <w:tc>
          <w:tcPr>
            <w:tcW w:w="3160" w:type="dxa"/>
            <w:vAlign w:val="bottom"/>
          </w:tcPr>
          <w:p>
            <w:pPr>
              <w:ind w:left="1000"/>
              <w:spacing w:after="0"/>
              <w:rPr>
                <w:sz w:val="20"/>
                <w:szCs w:val="20"/>
                <w:color w:val="auto"/>
              </w:rPr>
            </w:pPr>
            <w:r>
              <w:rPr>
                <w:rFonts w:ascii="Arial" w:cs="Arial" w:eastAsia="Arial" w:hAnsi="Arial"/>
                <w:sz w:val="15"/>
                <w:szCs w:val="15"/>
                <w:color w:val="auto"/>
              </w:rPr>
              <w:t>Ireland</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Voyages Sur Mesures S.A.S.</w:t>
            </w:r>
          </w:p>
        </w:tc>
        <w:tc>
          <w:tcPr>
            <w:tcW w:w="3160" w:type="dxa"/>
            <w:vAlign w:val="bottom"/>
          </w:tcPr>
          <w:p>
            <w:pPr>
              <w:ind w:left="1000"/>
              <w:spacing w:after="0"/>
              <w:rPr>
                <w:sz w:val="20"/>
                <w:szCs w:val="20"/>
                <w:color w:val="auto"/>
              </w:rPr>
            </w:pPr>
            <w:r>
              <w:rPr>
                <w:rFonts w:ascii="Arial" w:cs="Arial" w:eastAsia="Arial" w:hAnsi="Arial"/>
                <w:sz w:val="15"/>
                <w:szCs w:val="15"/>
                <w:color w:val="auto"/>
              </w:rPr>
              <w:t>France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XML (Singapore) Pte. Ltd.</w:t>
            </w:r>
          </w:p>
        </w:tc>
        <w:tc>
          <w:tcPr>
            <w:tcW w:w="3160" w:type="dxa"/>
            <w:vAlign w:val="bottom"/>
          </w:tcPr>
          <w:p>
            <w:pPr>
              <w:ind w:left="1000"/>
              <w:spacing w:after="0"/>
              <w:rPr>
                <w:sz w:val="20"/>
                <w:szCs w:val="20"/>
                <w:color w:val="auto"/>
              </w:rPr>
            </w:pPr>
            <w:r>
              <w:rPr>
                <w:rFonts w:ascii="Arial" w:cs="Arial" w:eastAsia="Arial" w:hAnsi="Arial"/>
                <w:sz w:val="15"/>
                <w:szCs w:val="15"/>
                <w:color w:val="auto"/>
              </w:rPr>
              <w:t>Singapore</w:t>
            </w:r>
          </w:p>
        </w:tc>
        <w:tc>
          <w:tcPr>
            <w:tcW w:w="1880" w:type="dxa"/>
            <w:vAlign w:val="bottom"/>
          </w:tcPr>
          <w:p>
            <w:pPr>
              <w:spacing w:after="0"/>
              <w:rPr>
                <w:sz w:val="21"/>
                <w:szCs w:val="2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5"/>
                <w:szCs w:val="15"/>
                <w:color w:val="auto"/>
              </w:rPr>
              <w:t>Zuji Holdings Ltd.</w:t>
            </w:r>
          </w:p>
        </w:tc>
        <w:tc>
          <w:tcPr>
            <w:tcW w:w="3160" w:type="dxa"/>
            <w:vAlign w:val="bottom"/>
          </w:tcPr>
          <w:p>
            <w:pPr>
              <w:ind w:left="1000"/>
              <w:spacing w:after="0"/>
              <w:rPr>
                <w:sz w:val="20"/>
                <w:szCs w:val="20"/>
                <w:color w:val="auto"/>
              </w:rPr>
            </w:pPr>
            <w:r>
              <w:rPr>
                <w:rFonts w:ascii="Arial" w:cs="Arial" w:eastAsia="Arial" w:hAnsi="Arial"/>
                <w:sz w:val="15"/>
                <w:szCs w:val="15"/>
                <w:color w:val="auto"/>
              </w:rPr>
              <w:t>Cayman Islands</w:t>
            </w:r>
          </w:p>
        </w:tc>
        <w:tc>
          <w:tcPr>
            <w:tcW w:w="1880" w:type="dxa"/>
            <w:vAlign w:val="bottom"/>
          </w:tcPr>
          <w:p>
            <w:pPr>
              <w:spacing w:after="0"/>
              <w:rPr>
                <w:sz w:val="21"/>
                <w:szCs w:val="21"/>
                <w:color w:val="auto"/>
              </w:rPr>
            </w:pPr>
          </w:p>
        </w:tc>
      </w:tr>
    </w:tbl>
    <w:p>
      <w:pPr>
        <w:sectPr>
          <w:pgSz w:w="11900" w:h="16838" w:orient="portrait"/>
          <w:cols w:equalWidth="0" w:num="1">
            <w:col w:w="10199"/>
          </w:cols>
          <w:pgMar w:left="260" w:top="490"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5"/>
          <w:szCs w:val="15"/>
          <w:b w:val="1"/>
          <w:bCs w:val="1"/>
          <w:color w:val="auto"/>
        </w:rPr>
        <w:t>Exhibit 23.1</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312" w:lineRule="exact"/>
        <w:rPr>
          <w:sz w:val="20"/>
          <w:szCs w:val="20"/>
          <w:color w:val="auto"/>
        </w:rPr>
      </w:pPr>
    </w:p>
    <w:p>
      <w:pPr>
        <w:ind w:left="2"/>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97" w:lineRule="exact"/>
        <w:rPr>
          <w:sz w:val="20"/>
          <w:szCs w:val="20"/>
          <w:color w:val="auto"/>
        </w:rPr>
      </w:pPr>
    </w:p>
    <w:p>
      <w:pPr>
        <w:ind w:left="302" w:hanging="302"/>
        <w:spacing w:after="0"/>
        <w:tabs>
          <w:tab w:leader="none" w:pos="302"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Registration Statement (Form S-8 No. 333-211661) pertaining to the Sabre Corporation 2016 Omnibus Incentive Compensation Plan,</w:t>
      </w:r>
    </w:p>
    <w:p>
      <w:pPr>
        <w:ind w:left="302" w:hanging="302"/>
        <w:spacing w:after="0"/>
        <w:tabs>
          <w:tab w:leader="none" w:pos="302"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Registration Statement (Form S-3 No. 333-204267) and related Prospectus of Sabre Corporation, and</w:t>
      </w:r>
    </w:p>
    <w:p>
      <w:pPr>
        <w:ind w:left="302" w:right="20" w:hanging="302"/>
        <w:spacing w:after="0" w:line="245" w:lineRule="auto"/>
        <w:tabs>
          <w:tab w:leader="none" w:pos="302"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Registration Statement (Form S-8 No. 333-196056) pertaining to the Sovereign Holdings, Inc. Management Equity Incentive Plan, Sovereign Holdings, Inc. 2012 Management Equity Incentive Plan, and the Sabre Corporation 2014 Omnibus Incentive Compensation Plan</w:t>
      </w:r>
    </w:p>
    <w:p>
      <w:pPr>
        <w:spacing w:after="0" w:line="89" w:lineRule="exact"/>
        <w:rPr>
          <w:sz w:val="20"/>
          <w:szCs w:val="20"/>
          <w:color w:val="auto"/>
        </w:rPr>
      </w:pPr>
    </w:p>
    <w:p>
      <w:pPr>
        <w:ind w:left="2" w:right="20"/>
        <w:spacing w:after="0" w:line="245" w:lineRule="auto"/>
        <w:rPr>
          <w:sz w:val="20"/>
          <w:szCs w:val="20"/>
          <w:color w:val="auto"/>
        </w:rPr>
      </w:pPr>
      <w:r>
        <w:rPr>
          <w:rFonts w:ascii="Arial" w:cs="Arial" w:eastAsia="Arial" w:hAnsi="Arial"/>
          <w:sz w:val="15"/>
          <w:szCs w:val="15"/>
          <w:color w:val="auto"/>
        </w:rPr>
        <w:t>of our report dated February 17, 2017, with respect to the consolidated financial statements and schedule of Sabre Corporation, and the effectiveness of internal control over financial reporting of Sabre Corporation, included in this Annual Report (Form 10-K) for the year ended December 31, 2016.</w:t>
      </w:r>
    </w:p>
    <w:p>
      <w:pPr>
        <w:spacing w:after="0" w:line="322" w:lineRule="exact"/>
        <w:rPr>
          <w:sz w:val="20"/>
          <w:szCs w:val="20"/>
          <w:color w:val="auto"/>
        </w:rPr>
      </w:pPr>
    </w:p>
    <w:p>
      <w:pPr>
        <w:ind w:left="5882"/>
        <w:spacing w:after="0"/>
        <w:rPr>
          <w:sz w:val="20"/>
          <w:szCs w:val="20"/>
          <w:color w:val="auto"/>
        </w:rPr>
      </w:pPr>
      <w:r>
        <w:rPr>
          <w:rFonts w:ascii="Arial" w:cs="Arial" w:eastAsia="Arial" w:hAnsi="Arial"/>
          <w:sz w:val="15"/>
          <w:szCs w:val="15"/>
          <w:color w:val="auto"/>
        </w:rPr>
        <w:t>/s/ Ernst &amp; Young LLP</w:t>
      </w:r>
    </w:p>
    <w:p>
      <w:pPr>
        <w:spacing w:after="0" w:line="146" w:lineRule="exact"/>
        <w:rPr>
          <w:sz w:val="20"/>
          <w:szCs w:val="20"/>
          <w:color w:val="auto"/>
        </w:rPr>
      </w:pPr>
    </w:p>
    <w:p>
      <w:pPr>
        <w:ind w:left="22"/>
        <w:spacing w:after="0"/>
        <w:rPr>
          <w:sz w:val="20"/>
          <w:szCs w:val="20"/>
          <w:color w:val="auto"/>
        </w:rPr>
      </w:pPr>
      <w:r>
        <w:rPr>
          <w:rFonts w:ascii="Arial" w:cs="Arial" w:eastAsia="Arial" w:hAnsi="Arial"/>
          <w:sz w:val="15"/>
          <w:szCs w:val="15"/>
          <w:color w:val="auto"/>
        </w:rPr>
        <w:t>Dallas, Texas</w:t>
      </w:r>
    </w:p>
    <w:p>
      <w:pPr>
        <w:spacing w:after="0" w:line="48" w:lineRule="exact"/>
        <w:rPr>
          <w:sz w:val="20"/>
          <w:szCs w:val="20"/>
          <w:color w:val="auto"/>
        </w:rPr>
      </w:pPr>
    </w:p>
    <w:p>
      <w:pPr>
        <w:ind w:left="22"/>
        <w:spacing w:after="0"/>
        <w:rPr>
          <w:sz w:val="20"/>
          <w:szCs w:val="20"/>
          <w:color w:val="auto"/>
        </w:rPr>
      </w:pPr>
      <w:r>
        <w:rPr>
          <w:rFonts w:ascii="Arial" w:cs="Arial" w:eastAsia="Arial" w:hAnsi="Arial"/>
          <w:sz w:val="15"/>
          <w:szCs w:val="15"/>
          <w:color w:val="auto"/>
        </w:rPr>
        <w:t>February 17, 2017</w:t>
      </w:r>
    </w:p>
    <w:p>
      <w:pPr>
        <w:sectPr>
          <w:pgSz w:w="11900" w:h="16838" w:orient="portrait"/>
          <w:cols w:equalWidth="0" w:num="1">
            <w:col w:w="11442"/>
          </w:cols>
          <w:pgMar w:left="238" w:top="540"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5"/>
          <w:szCs w:val="15"/>
          <w:b w:val="1"/>
          <w:bCs w:val="1"/>
          <w:color w:val="auto"/>
        </w:rPr>
        <w:t>Exhibit 31.1</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I, Sean Menke, certify that:</w:t>
      </w:r>
    </w:p>
    <w:p>
      <w:pPr>
        <w:spacing w:after="0" w:line="195" w:lineRule="exact"/>
        <w:rPr>
          <w:sz w:val="20"/>
          <w:szCs w:val="20"/>
          <w:color w:val="auto"/>
        </w:rPr>
      </w:pPr>
    </w:p>
    <w:p>
      <w:pPr>
        <w:ind w:left="580" w:hanging="287"/>
        <w:spacing w:after="0"/>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Sabre Corporation;</w:t>
      </w:r>
    </w:p>
    <w:p>
      <w:pPr>
        <w:spacing w:after="0" w:line="195" w:lineRule="exact"/>
        <w:rPr>
          <w:rFonts w:ascii="Arial" w:cs="Arial" w:eastAsia="Arial" w:hAnsi="Arial"/>
          <w:sz w:val="15"/>
          <w:szCs w:val="15"/>
          <w:color w:val="auto"/>
        </w:rPr>
      </w:pPr>
    </w:p>
    <w:p>
      <w:pPr>
        <w:ind w:left="580" w:right="20" w:hanging="287"/>
        <w:spacing w:after="0" w:line="245" w:lineRule="auto"/>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5"/>
          <w:szCs w:val="15"/>
          <w:color w:val="auto"/>
        </w:rPr>
      </w:pPr>
    </w:p>
    <w:p>
      <w:pPr>
        <w:ind w:left="580" w:right="20" w:hanging="287"/>
        <w:spacing w:after="0" w:line="245" w:lineRule="auto"/>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5"/>
          <w:szCs w:val="15"/>
          <w:color w:val="auto"/>
        </w:rPr>
      </w:pPr>
    </w:p>
    <w:p>
      <w:pPr>
        <w:ind w:left="580" w:hanging="287"/>
        <w:spacing w:after="0"/>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ind w:left="5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5" w:lineRule="exact"/>
        <w:rPr>
          <w:rFonts w:ascii="Arial" w:cs="Arial" w:eastAsia="Arial" w:hAnsi="Arial"/>
          <w:sz w:val="15"/>
          <w:szCs w:val="15"/>
          <w:color w:val="auto"/>
        </w:rPr>
      </w:pPr>
    </w:p>
    <w:p>
      <w:pPr>
        <w:jc w:val="both"/>
        <w:ind w:left="1180" w:right="20" w:hanging="299"/>
        <w:spacing w:after="0" w:line="242" w:lineRule="auto"/>
        <w:tabs>
          <w:tab w:leader="none" w:pos="11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5"/>
          <w:szCs w:val="15"/>
          <w:color w:val="auto"/>
        </w:rPr>
      </w:pPr>
    </w:p>
    <w:p>
      <w:pPr>
        <w:jc w:val="both"/>
        <w:ind w:left="1180" w:right="20" w:hanging="299"/>
        <w:spacing w:after="0" w:line="242" w:lineRule="auto"/>
        <w:tabs>
          <w:tab w:leader="none" w:pos="11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5"/>
          <w:szCs w:val="15"/>
          <w:color w:val="auto"/>
        </w:rPr>
      </w:pPr>
    </w:p>
    <w:p>
      <w:pPr>
        <w:ind w:left="1180" w:hanging="299"/>
        <w:spacing w:after="0" w:line="245" w:lineRule="auto"/>
        <w:tabs>
          <w:tab w:leader="none" w:pos="11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5"/>
          <w:szCs w:val="15"/>
          <w:color w:val="auto"/>
        </w:rPr>
      </w:pPr>
    </w:p>
    <w:p>
      <w:pPr>
        <w:jc w:val="both"/>
        <w:ind w:left="1180" w:right="20" w:hanging="299"/>
        <w:spacing w:after="0" w:line="242" w:lineRule="auto"/>
        <w:tabs>
          <w:tab w:leader="none" w:pos="11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5"/>
          <w:szCs w:val="15"/>
          <w:color w:val="auto"/>
        </w:rPr>
      </w:pPr>
    </w:p>
    <w:p>
      <w:pPr>
        <w:ind w:left="580" w:right="20" w:hanging="287"/>
        <w:spacing w:after="0" w:line="245" w:lineRule="auto"/>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5"/>
          <w:szCs w:val="15"/>
          <w:color w:val="auto"/>
        </w:rPr>
      </w:pPr>
    </w:p>
    <w:p>
      <w:pPr>
        <w:ind w:left="1180" w:right="20" w:hanging="299"/>
        <w:spacing w:after="0" w:line="245" w:lineRule="auto"/>
        <w:tabs>
          <w:tab w:leader="none" w:pos="11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5"/>
          <w:szCs w:val="15"/>
          <w:color w:val="auto"/>
        </w:rPr>
      </w:pPr>
    </w:p>
    <w:p>
      <w:pPr>
        <w:ind w:left="1180" w:right="20" w:hanging="299"/>
        <w:spacing w:after="0" w:line="245" w:lineRule="auto"/>
        <w:tabs>
          <w:tab w:leader="none" w:pos="1180" w:val="left"/>
        </w:tabs>
        <w:numPr>
          <w:ilvl w:val="1"/>
          <w:numId w:val="6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80" w:val="left"/>
          <w:tab w:leader="none" w:pos="6500" w:val="left"/>
          <w:tab w:leader="none" w:pos="6880" w:val="left"/>
        </w:tabs>
        <w:rPr>
          <w:sz w:val="20"/>
          <w:szCs w:val="20"/>
          <w:color w:val="auto"/>
        </w:rPr>
      </w:pPr>
      <w:r>
        <w:rPr>
          <w:rFonts w:ascii="Arial" w:cs="Arial" w:eastAsia="Arial" w:hAnsi="Arial"/>
          <w:sz w:val="15"/>
          <w:szCs w:val="15"/>
          <w:color w:val="auto"/>
        </w:rPr>
        <w:t>Date:</w:t>
        <w:tab/>
        <w:t>February 17, 2017</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13970</wp:posOffset>
            </wp:positionV>
            <wp:extent cx="28975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7505" cy="7620"/>
                    </a:xfrm>
                    <a:prstGeom prst="rect">
                      <a:avLst/>
                    </a:prstGeom>
                    <a:noFill/>
                  </pic:spPr>
                </pic:pic>
              </a:graphicData>
            </a:graphic>
          </wp:anchor>
        </w:drawing>
      </w:r>
    </w:p>
    <w:p>
      <w:pPr>
        <w:spacing w:after="0" w:line="53"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Sean Menke</w:t>
      </w:r>
    </w:p>
    <w:p>
      <w:pPr>
        <w:spacing w:after="0" w:line="73"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Chief Executive Officer</w:t>
      </w:r>
    </w:p>
    <w:p>
      <w:pPr>
        <w:spacing w:after="0" w:line="73"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(principal executive officer of the registrant)</w:t>
      </w:r>
    </w:p>
    <w:p>
      <w:pPr>
        <w:sectPr>
          <w:pgSz w:w="11900" w:h="16838" w:orient="portrait"/>
          <w:cols w:equalWidth="0" w:num="1">
            <w:col w:w="11440"/>
          </w:cols>
          <w:pgMar w:left="240" w:top="638" w:right="2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5"/>
          <w:szCs w:val="15"/>
          <w:b w:val="1"/>
          <w:bCs w:val="1"/>
          <w:color w:val="auto"/>
        </w:rPr>
        <w:t>Exhibit 31.2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I, Richard A. Simonson, certify that:</w:t>
      </w:r>
    </w:p>
    <w:p>
      <w:pPr>
        <w:spacing w:after="0" w:line="195" w:lineRule="exact"/>
        <w:rPr>
          <w:sz w:val="20"/>
          <w:szCs w:val="20"/>
          <w:color w:val="auto"/>
        </w:rPr>
      </w:pPr>
    </w:p>
    <w:p>
      <w:pPr>
        <w:ind w:left="580" w:hanging="287"/>
        <w:spacing w:after="0"/>
        <w:tabs>
          <w:tab w:leader="none" w:pos="5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Sabre Corporation;</w:t>
      </w:r>
    </w:p>
    <w:p>
      <w:pPr>
        <w:spacing w:after="0" w:line="195" w:lineRule="exact"/>
        <w:rPr>
          <w:rFonts w:ascii="Arial" w:cs="Arial" w:eastAsia="Arial" w:hAnsi="Arial"/>
          <w:sz w:val="15"/>
          <w:szCs w:val="15"/>
          <w:color w:val="auto"/>
        </w:rPr>
      </w:pPr>
    </w:p>
    <w:p>
      <w:pPr>
        <w:ind w:left="580" w:right="20" w:hanging="287"/>
        <w:spacing w:after="0" w:line="245" w:lineRule="auto"/>
        <w:tabs>
          <w:tab w:leader="none" w:pos="5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5"/>
          <w:szCs w:val="15"/>
          <w:color w:val="auto"/>
        </w:rPr>
      </w:pPr>
    </w:p>
    <w:p>
      <w:pPr>
        <w:ind w:left="580" w:right="20" w:hanging="287"/>
        <w:spacing w:after="0" w:line="245" w:lineRule="auto"/>
        <w:tabs>
          <w:tab w:leader="none" w:pos="5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5"/>
          <w:szCs w:val="15"/>
          <w:color w:val="auto"/>
        </w:rPr>
      </w:pPr>
    </w:p>
    <w:p>
      <w:pPr>
        <w:ind w:left="580" w:hanging="287"/>
        <w:spacing w:after="0"/>
        <w:tabs>
          <w:tab w:leader="none" w:pos="5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ind w:left="5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5" w:lineRule="exact"/>
        <w:rPr>
          <w:rFonts w:ascii="Arial" w:cs="Arial" w:eastAsia="Arial" w:hAnsi="Arial"/>
          <w:sz w:val="15"/>
          <w:szCs w:val="15"/>
          <w:color w:val="auto"/>
        </w:rPr>
      </w:pPr>
    </w:p>
    <w:p>
      <w:pPr>
        <w:jc w:val="both"/>
        <w:ind w:left="1180" w:right="20" w:hanging="299"/>
        <w:spacing w:after="0" w:line="242" w:lineRule="auto"/>
        <w:tabs>
          <w:tab w:leader="none" w:pos="1180" w:val="left"/>
        </w:tabs>
        <w:numPr>
          <w:ilvl w:val="1"/>
          <w:numId w:val="6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5"/>
          <w:szCs w:val="15"/>
          <w:color w:val="auto"/>
        </w:rPr>
      </w:pPr>
    </w:p>
    <w:p>
      <w:pPr>
        <w:jc w:val="both"/>
        <w:ind w:left="1180" w:right="20" w:hanging="299"/>
        <w:spacing w:after="0" w:line="242" w:lineRule="auto"/>
        <w:tabs>
          <w:tab w:leader="none" w:pos="1180" w:val="left"/>
        </w:tabs>
        <w:numPr>
          <w:ilvl w:val="1"/>
          <w:numId w:val="6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5"/>
          <w:szCs w:val="15"/>
          <w:color w:val="auto"/>
        </w:rPr>
      </w:pPr>
    </w:p>
    <w:p>
      <w:pPr>
        <w:ind w:left="1180" w:hanging="299"/>
        <w:spacing w:after="0" w:line="245" w:lineRule="auto"/>
        <w:tabs>
          <w:tab w:leader="none" w:pos="1180" w:val="left"/>
        </w:tabs>
        <w:numPr>
          <w:ilvl w:val="1"/>
          <w:numId w:val="6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5"/>
          <w:szCs w:val="15"/>
          <w:color w:val="auto"/>
        </w:rPr>
      </w:pPr>
    </w:p>
    <w:p>
      <w:pPr>
        <w:jc w:val="both"/>
        <w:ind w:left="1180" w:right="20" w:hanging="299"/>
        <w:spacing w:after="0" w:line="242" w:lineRule="auto"/>
        <w:tabs>
          <w:tab w:leader="none" w:pos="1180" w:val="left"/>
        </w:tabs>
        <w:numPr>
          <w:ilvl w:val="1"/>
          <w:numId w:val="6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5"/>
          <w:szCs w:val="15"/>
          <w:color w:val="auto"/>
        </w:rPr>
      </w:pPr>
    </w:p>
    <w:p>
      <w:pPr>
        <w:ind w:left="580" w:right="20" w:hanging="287"/>
        <w:spacing w:after="0" w:line="245" w:lineRule="auto"/>
        <w:tabs>
          <w:tab w:leader="none" w:pos="5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5"/>
          <w:szCs w:val="15"/>
          <w:color w:val="auto"/>
        </w:rPr>
      </w:pPr>
    </w:p>
    <w:p>
      <w:pPr>
        <w:ind w:left="1180" w:right="20" w:hanging="299"/>
        <w:spacing w:after="0" w:line="245" w:lineRule="auto"/>
        <w:tabs>
          <w:tab w:leader="none" w:pos="1180" w:val="left"/>
        </w:tabs>
        <w:numPr>
          <w:ilvl w:val="1"/>
          <w:numId w:val="6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5"/>
          <w:szCs w:val="15"/>
          <w:color w:val="auto"/>
        </w:rPr>
      </w:pPr>
    </w:p>
    <w:p>
      <w:pPr>
        <w:ind w:left="1180" w:right="20" w:hanging="299"/>
        <w:spacing w:after="0" w:line="245" w:lineRule="auto"/>
        <w:tabs>
          <w:tab w:leader="none" w:pos="1180" w:val="left"/>
        </w:tabs>
        <w:numPr>
          <w:ilvl w:val="1"/>
          <w:numId w:val="6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80" w:val="left"/>
          <w:tab w:leader="none" w:pos="6500" w:val="left"/>
          <w:tab w:leader="none" w:pos="6880" w:val="left"/>
        </w:tabs>
        <w:rPr>
          <w:sz w:val="20"/>
          <w:szCs w:val="20"/>
          <w:color w:val="auto"/>
        </w:rPr>
      </w:pPr>
      <w:r>
        <w:rPr>
          <w:rFonts w:ascii="Arial" w:cs="Arial" w:eastAsia="Arial" w:hAnsi="Arial"/>
          <w:sz w:val="15"/>
          <w:szCs w:val="15"/>
          <w:color w:val="auto"/>
        </w:rPr>
        <w:t>Date:</w:t>
        <w:tab/>
        <w:t>February 17, 2017</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Richard A. Simonson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13970</wp:posOffset>
            </wp:positionV>
            <wp:extent cx="28975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7505" cy="7620"/>
                    </a:xfrm>
                    <a:prstGeom prst="rect">
                      <a:avLst/>
                    </a:prstGeom>
                    <a:noFill/>
                  </pic:spPr>
                </pic:pic>
              </a:graphicData>
            </a:graphic>
          </wp:anchor>
        </w:drawing>
      </w:r>
    </w:p>
    <w:p>
      <w:pPr>
        <w:spacing w:after="0" w:line="53"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Richard A. Simonson</w:t>
      </w:r>
    </w:p>
    <w:p>
      <w:pPr>
        <w:spacing w:after="0" w:line="73"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Chief Financial Officer</w:t>
      </w:r>
    </w:p>
    <w:p>
      <w:pPr>
        <w:spacing w:after="0" w:line="73"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(principal financial officer of the registrant)</w:t>
      </w:r>
    </w:p>
    <w:p>
      <w:pPr>
        <w:sectPr>
          <w:pgSz w:w="11900" w:h="16838" w:orient="portrait"/>
          <w:cols w:equalWidth="0" w:num="1">
            <w:col w:w="11440"/>
          </w:cols>
          <w:pgMar w:left="240" w:top="638" w:right="2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5"/>
          <w:szCs w:val="15"/>
          <w:b w:val="1"/>
          <w:bCs w:val="1"/>
          <w:color w:val="auto"/>
        </w:rPr>
        <w:t>Exhibit 32.1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 PURSUANT TO</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18 U.S.C. SECTION 1350, AS ADOPTED PURSUANT TO SECTION 906</w:t>
      </w:r>
    </w:p>
    <w:p>
      <w:pPr>
        <w:jc w:val="center"/>
        <w:ind w:right="20"/>
        <w:spacing w:after="0"/>
        <w:rPr>
          <w:sz w:val="20"/>
          <w:szCs w:val="20"/>
          <w:color w:val="auto"/>
        </w:rPr>
      </w:pPr>
      <w:r>
        <w:rPr>
          <w:rFonts w:ascii="Arial" w:cs="Arial" w:eastAsia="Arial" w:hAnsi="Arial"/>
          <w:sz w:val="15"/>
          <w:szCs w:val="15"/>
          <w:b w:val="1"/>
          <w:bCs w:val="1"/>
          <w:color w:val="auto"/>
        </w:rPr>
        <w:t>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the Chief Executive Officer of Sabre Corporation, hereby certifies that to his knowledge, on the date hereof:</w:t>
      </w:r>
    </w:p>
    <w:p>
      <w:pPr>
        <w:spacing w:after="0" w:line="195" w:lineRule="exact"/>
        <w:rPr>
          <w:sz w:val="20"/>
          <w:szCs w:val="20"/>
          <w:color w:val="auto"/>
        </w:rPr>
      </w:pPr>
    </w:p>
    <w:p>
      <w:pPr>
        <w:ind w:left="580" w:right="20" w:hanging="287"/>
        <w:spacing w:after="0" w:line="245" w:lineRule="auto"/>
        <w:tabs>
          <w:tab w:leader="none" w:pos="5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Form 10-K of Sabre Corporation for the year ended December 31, 2016 (the “Report”), filed on the date hereof with the Securities and Exchange Commission fully complies with the requirements of Section 13(a) or 15(d) of the Securities Exchange Act of 1934; and</w:t>
      </w:r>
    </w:p>
    <w:p>
      <w:pPr>
        <w:spacing w:after="0" w:line="187" w:lineRule="exact"/>
        <w:rPr>
          <w:rFonts w:ascii="Arial" w:cs="Arial" w:eastAsia="Arial" w:hAnsi="Arial"/>
          <w:sz w:val="15"/>
          <w:szCs w:val="15"/>
          <w:color w:val="auto"/>
        </w:rPr>
      </w:pPr>
    </w:p>
    <w:p>
      <w:pPr>
        <w:ind w:left="580" w:hanging="287"/>
        <w:spacing w:after="0"/>
        <w:tabs>
          <w:tab w:leader="none" w:pos="5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Sabre Corporation.</w:t>
      </w:r>
    </w:p>
    <w:p>
      <w:pPr>
        <w:spacing w:after="0" w:line="318" w:lineRule="exact"/>
        <w:rPr>
          <w:sz w:val="20"/>
          <w:szCs w:val="20"/>
          <w:color w:val="auto"/>
        </w:rPr>
      </w:pPr>
    </w:p>
    <w:p>
      <w:pPr>
        <w:ind w:left="20"/>
        <w:spacing w:after="0"/>
        <w:tabs>
          <w:tab w:leader="none" w:pos="820" w:val="left"/>
          <w:tab w:leader="none" w:pos="5700" w:val="left"/>
          <w:tab w:leader="none" w:pos="606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February 17, 2017</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Sean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13970</wp:posOffset>
            </wp:positionV>
            <wp:extent cx="341122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1220" cy="762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Sean Menke</w:t>
      </w:r>
    </w:p>
    <w:p>
      <w:pPr>
        <w:spacing w:after="0" w:line="73"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Chief Executive Officer</w:t>
      </w:r>
    </w:p>
    <w:p>
      <w:pPr>
        <w:spacing w:after="0" w:line="73"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(principal executive officer of the registrant)</w:t>
      </w:r>
    </w:p>
    <w:p>
      <w:pPr>
        <w:spacing w:after="0" w:line="220"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440"/>
          </w:cols>
          <w:pgMar w:left="240" w:top="540" w:right="2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5"/>
          <w:szCs w:val="15"/>
          <w:b w:val="1"/>
          <w:bCs w:val="1"/>
          <w:color w:val="auto"/>
        </w:rPr>
        <w:t>Exhibit 32.2</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CERTIFICATION OF CHIEF FINANCIAL OFFICER PURSUANT TO</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18 U.S.C. SECTION 1350, AS ADOPTED PURSUANT TO SECTION 906</w:t>
      </w:r>
    </w:p>
    <w:p>
      <w:pPr>
        <w:jc w:val="center"/>
        <w:ind w:right="20"/>
        <w:spacing w:after="0"/>
        <w:rPr>
          <w:sz w:val="20"/>
          <w:szCs w:val="20"/>
          <w:color w:val="auto"/>
        </w:rPr>
      </w:pPr>
      <w:r>
        <w:rPr>
          <w:rFonts w:ascii="Arial" w:cs="Arial" w:eastAsia="Arial" w:hAnsi="Arial"/>
          <w:sz w:val="15"/>
          <w:szCs w:val="15"/>
          <w:b w:val="1"/>
          <w:bCs w:val="1"/>
          <w:color w:val="auto"/>
        </w:rPr>
        <w:t>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the Chief Financial Officer of Sabre Corporation, hereby certifies that to his knowledge, on the date hereof:</w:t>
      </w:r>
    </w:p>
    <w:p>
      <w:pPr>
        <w:spacing w:after="0" w:line="195" w:lineRule="exact"/>
        <w:rPr>
          <w:sz w:val="20"/>
          <w:szCs w:val="20"/>
          <w:color w:val="auto"/>
        </w:rPr>
      </w:pPr>
    </w:p>
    <w:p>
      <w:pPr>
        <w:ind w:left="580" w:right="20" w:hanging="287"/>
        <w:spacing w:after="0" w:line="245" w:lineRule="auto"/>
        <w:tabs>
          <w:tab w:leader="none" w:pos="5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Form 10-K of Sabre Corporation for the year ended December 31, 2016 (the “Report”), filed on the date hereof with the Securities and Exchange Commission fully complies with the requirements of Section 13(a) or 15(d) of the Securities Exchange Act of 1934; and</w:t>
      </w:r>
    </w:p>
    <w:p>
      <w:pPr>
        <w:spacing w:after="0" w:line="187" w:lineRule="exact"/>
        <w:rPr>
          <w:rFonts w:ascii="Arial" w:cs="Arial" w:eastAsia="Arial" w:hAnsi="Arial"/>
          <w:sz w:val="15"/>
          <w:szCs w:val="15"/>
          <w:color w:val="auto"/>
        </w:rPr>
      </w:pPr>
    </w:p>
    <w:p>
      <w:pPr>
        <w:ind w:left="580" w:hanging="287"/>
        <w:spacing w:after="0"/>
        <w:tabs>
          <w:tab w:leader="none" w:pos="5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Sabre Corporation.</w:t>
      </w:r>
    </w:p>
    <w:p>
      <w:pPr>
        <w:spacing w:after="0" w:line="318" w:lineRule="exact"/>
        <w:rPr>
          <w:sz w:val="20"/>
          <w:szCs w:val="20"/>
          <w:color w:val="auto"/>
        </w:rPr>
      </w:pPr>
    </w:p>
    <w:p>
      <w:pPr>
        <w:ind w:left="20"/>
        <w:spacing w:after="0"/>
        <w:tabs>
          <w:tab w:leader="none" w:pos="680" w:val="left"/>
          <w:tab w:leader="none" w:pos="5700" w:val="left"/>
          <w:tab w:leader="none" w:pos="606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February 17, 2017</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Richard A. Simonson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13970</wp:posOffset>
            </wp:positionV>
            <wp:extent cx="341122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1220" cy="762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Richard A. Simonson</w:t>
      </w:r>
    </w:p>
    <w:p>
      <w:pPr>
        <w:spacing w:after="0" w:line="73"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Chief Financial Officer</w:t>
      </w:r>
    </w:p>
    <w:p>
      <w:pPr>
        <w:spacing w:after="0" w:line="73"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(principal financial officer of the registrant)</w:t>
      </w:r>
    </w:p>
    <w:p>
      <w:pPr>
        <w:spacing w:after="0" w:line="220"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This certification accompanies the Form 10-K to which it relates, is not deemed filed with the Securities and Exchange Commission and is not to be incorporated by reference into any filing of Sabre Corporation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40"/>
      </w:cols>
      <w:pgMar w:left="240" w:top="5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3"/>
    </w:lvl>
    <w:lvl w:ilvl="1">
      <w:lvlJc w:val="left"/>
      <w:lvlText w:val="(%2)"/>
      <w:numFmt w:val="lowerRoman"/>
      <w:start w:val="2"/>
    </w:lvl>
    <w:lvl w:ilvl="2">
      <w:lvlJc w:val="left"/>
      <w:lvlText w:val="%3."/>
      <w:numFmt w:val="lowerLetter"/>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5"/>
    </w:lvl>
  </w:abstractNum>
  <w:abstractNum w:abstractNumId="35">
    <w:nsid w:val="3DC240FB"/>
    <w:multiLevelType w:val="hybridMultilevel"/>
    <w:lvl w:ilvl="0">
      <w:lvlJc w:val="left"/>
      <w:lvlText w:val="(%1)"/>
      <w:numFmt w:val="decimal"/>
      <w:start w:val="1"/>
    </w:lvl>
    <w:lvl w:ilvl="1">
      <w:lvlJc w:val="left"/>
      <w:lvlText w:val="%2."/>
      <w:numFmt w:val="lowerLetter"/>
      <w:start w:val="1"/>
    </w:lvl>
  </w:abstractNum>
  <w:abstractNum w:abstractNumId="36">
    <w:nsid w:val="1BA026FA"/>
    <w:multiLevelType w:val="hybridMultilevel"/>
    <w:lvl w:ilvl="0">
      <w:lvlJc w:val="left"/>
      <w:lvlText w:val="%1"/>
      <w:numFmt w:val="lowerLetter"/>
      <w:start w:val="1"/>
    </w:lvl>
    <w:lvl w:ilvl="1">
      <w:lvlJc w:val="left"/>
      <w:lvlText w:val="(%2)"/>
      <w:numFmt w:val="decimal"/>
      <w:start w:val="5"/>
    </w:lvl>
  </w:abstractNum>
  <w:abstractNum w:abstractNumId="37">
    <w:nsid w:val="79A1DEAA"/>
    <w:multiLevelType w:val="hybridMultilevel"/>
    <w:lvl w:ilvl="0">
      <w:lvlJc w:val="left"/>
      <w:lvlText w:val="(%1)"/>
      <w:numFmt w:val="lowerLetter"/>
      <w:start w:val="3"/>
    </w:lvl>
    <w:lvl w:ilvl="1">
      <w:lvlJc w:val="left"/>
      <w:lvlText w:val="%2"/>
      <w:numFmt w:val="decimal"/>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3"/>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lvl w:ilvl="1">
      <w:lvlJc w:val="left"/>
      <w:lvlText w:val="(%2)"/>
      <w:numFmt w:val="lowerLetter"/>
      <w:start w:val="1"/>
    </w:lvl>
  </w:abstractNum>
  <w:abstractNum w:abstractNumId="47">
    <w:nsid w:val="39386575"/>
    <w:multiLevelType w:val="hybridMultilevel"/>
    <w:lvl w:ilvl="0">
      <w:lvlJc w:val="left"/>
      <w:lvlText w:val="%1."/>
      <w:numFmt w:val="decimal"/>
      <w:start w:val="9"/>
    </w:lvl>
  </w:abstractNum>
  <w:abstractNum w:abstractNumId="48">
    <w:nsid w:val="1CF10FD8"/>
    <w:multiLevelType w:val="hybridMultilevel"/>
    <w:lvl w:ilvl="0">
      <w:lvlJc w:val="left"/>
      <w:lvlText w:val="%1."/>
      <w:numFmt w:val="decimal"/>
      <w:start w:val="10"/>
    </w:lvl>
  </w:abstractNum>
  <w:abstractNum w:abstractNumId="49">
    <w:nsid w:val="180115BE"/>
    <w:multiLevelType w:val="hybridMultilevel"/>
    <w:lvl w:ilvl="0">
      <w:lvlJc w:val="left"/>
      <w:lvlText w:val="%1."/>
      <w:numFmt w:val="decimal"/>
      <w:start w:val="14"/>
    </w:lvl>
  </w:abstractNum>
  <w:abstractNum w:abstractNumId="50">
    <w:nsid w:val="235BA86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1">
    <w:nsid w:val="47398C89"/>
    <w:multiLevelType w:val="hybridMultilevel"/>
    <w:lvl w:ilvl="0">
      <w:lvlJc w:val="left"/>
      <w:lvlText w:val="%1."/>
      <w:numFmt w:val="decimal"/>
      <w:start w:val="22"/>
    </w:lvl>
    <w:lvl w:ilvl="1">
      <w:lvlJc w:val="left"/>
      <w:lvlText w:val="%2"/>
      <w:numFmt w:val="lowerLetter"/>
      <w:start w:val="1"/>
    </w:lvl>
    <w:lvl w:ilvl="2">
      <w:lvlJc w:val="left"/>
      <w:lvlText w:val="%3"/>
      <w:numFmt w:val="decimal"/>
      <w:start w:val="1"/>
    </w:lvl>
  </w:abstractNum>
  <w:abstractNum w:abstractNumId="52">
    <w:nsid w:val="354FE9F9"/>
    <w:multiLevelType w:val="hybridMultilevel"/>
    <w:lvl w:ilvl="0">
      <w:lvlJc w:val="left"/>
      <w:lvlText w:val="%1."/>
      <w:numFmt w:val="decimal"/>
      <w:start w:val="24"/>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9"/>
    </w:lvl>
  </w:abstractNum>
  <w:abstractNum w:abstractNumId="55">
    <w:nsid w:val="D34B6A8"/>
    <w:multiLevelType w:val="hybridMultilevel"/>
    <w:lvl w:ilvl="0">
      <w:lvlJc w:val="left"/>
      <w:lvlText w:val="%1."/>
      <w:numFmt w:val="decimal"/>
      <w:start w:val="10"/>
    </w:lvl>
  </w:abstractNum>
  <w:abstractNum w:abstractNumId="56">
    <w:nsid w:val="10233C99"/>
    <w:multiLevelType w:val="hybridMultilevel"/>
    <w:lvl w:ilvl="0">
      <w:lvlJc w:val="left"/>
      <w:lvlText w:val="%1."/>
      <w:numFmt w:val="decimal"/>
      <w:start w:val="14"/>
    </w:lvl>
    <w:lvl w:ilvl="1">
      <w:lvlJc w:val="left"/>
      <w:lvlText w:val="(%2)"/>
      <w:numFmt w:val="lowerLetter"/>
      <w:start w:val="1"/>
    </w:lvl>
  </w:abstractNum>
  <w:abstractNum w:abstractNumId="57">
    <w:nsid w:val="3F6AB60F"/>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58">
    <w:nsid w:val="61574095"/>
    <w:multiLevelType w:val="hybridMultilevel"/>
    <w:lvl w:ilvl="0">
      <w:lvlJc w:val="left"/>
      <w:lvlText w:val="%1."/>
      <w:numFmt w:val="decimal"/>
      <w:start w:val="22"/>
    </w:lvl>
    <w:lvl w:ilvl="1">
      <w:lvlJc w:val="left"/>
      <w:lvlText w:val="%2"/>
      <w:numFmt w:val="lowerLetter"/>
      <w:start w:val="1"/>
    </w:lvl>
    <w:lvl w:ilvl="2">
      <w:lvlJc w:val="left"/>
      <w:lvlText w:val="%3"/>
      <w:numFmt w:val="decimal"/>
      <w:start w:val="1"/>
    </w:lvl>
  </w:abstractNum>
  <w:abstractNum w:abstractNumId="59">
    <w:nsid w:val="7E0C57B1"/>
    <w:multiLevelType w:val="hybridMultilevel"/>
    <w:lvl w:ilvl="0">
      <w:lvlJc w:val="left"/>
      <w:lvlText w:val="%1."/>
      <w:numFmt w:val="decimal"/>
      <w:start w:val="25"/>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2019-12-29T08:30:06Z</dcterms:created>
  <dcterms:modified xsi:type="dcterms:W3CDTF">2019-12-29T08:30:06Z</dcterms:modified>
</cp:coreProperties>
</file>