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963295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989330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238"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7, 2026</w:t>
      </w:r>
    </w:p>
    <w:p>
      <w:pPr>
        <w:spacing w:after="0" w:line="18"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tbl>
      <w:tblPr>
        <w:tblLayout w:type="fixed"/>
        <w:tblInd w:w="74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3280" w:type="dxa"/>
            <w:vAlign w:val="bottom"/>
          </w:tcPr>
          <w:p>
            <w:pPr>
              <w:jc w:val="center"/>
              <w:ind w:right="937"/>
              <w:spacing w:after="0"/>
              <w:rPr>
                <w:sz w:val="20"/>
                <w:szCs w:val="20"/>
                <w:color w:val="auto"/>
              </w:rPr>
            </w:pPr>
            <w:r>
              <w:rPr>
                <w:rFonts w:ascii="Arial" w:cs="Arial" w:eastAsia="Arial" w:hAnsi="Arial"/>
                <w:sz w:val="18"/>
                <w:szCs w:val="18"/>
                <w:color w:val="auto"/>
                <w:w w:val="99"/>
              </w:rPr>
              <w:t>_____________________</w:t>
            </w:r>
          </w:p>
        </w:tc>
        <w:tc>
          <w:tcPr>
            <w:tcW w:w="2300" w:type="dxa"/>
            <w:vAlign w:val="bottom"/>
          </w:tcPr>
          <w:p>
            <w:pPr>
              <w:spacing w:after="0"/>
              <w:rPr>
                <w:sz w:val="20"/>
                <w:szCs w:val="20"/>
                <w:color w:val="auto"/>
              </w:rPr>
            </w:pPr>
          </w:p>
        </w:tc>
      </w:tr>
      <w:tr>
        <w:trPr>
          <w:trHeight w:val="239"/>
        </w:trPr>
        <w:tc>
          <w:tcPr>
            <w:tcW w:w="3780" w:type="dxa"/>
            <w:vAlign w:val="bottom"/>
          </w:tcPr>
          <w:p>
            <w:pPr>
              <w:jc w:val="center"/>
              <w:ind w:right="1620"/>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center"/>
              <w:ind w:right="937"/>
              <w:spacing w:after="0"/>
              <w:rPr>
                <w:sz w:val="20"/>
                <w:szCs w:val="20"/>
                <w:color w:val="auto"/>
              </w:rPr>
            </w:pPr>
            <w:r>
              <w:rPr>
                <w:rFonts w:ascii="Arial" w:cs="Arial" w:eastAsia="Arial" w:hAnsi="Arial"/>
                <w:sz w:val="18"/>
                <w:szCs w:val="18"/>
                <w:b w:val="1"/>
                <w:bCs w:val="1"/>
                <w:color w:val="auto"/>
                <w:w w:val="99"/>
              </w:rPr>
              <w:t>001-36422</w:t>
            </w:r>
          </w:p>
        </w:tc>
        <w:tc>
          <w:tcPr>
            <w:tcW w:w="2300" w:type="dxa"/>
            <w:vAlign w:val="bottom"/>
          </w:tcPr>
          <w:p>
            <w:pPr>
              <w:jc w:val="center"/>
              <w:ind w:left="1021"/>
              <w:spacing w:after="0"/>
              <w:rPr>
                <w:sz w:val="20"/>
                <w:szCs w:val="20"/>
                <w:color w:val="auto"/>
              </w:rPr>
            </w:pPr>
            <w:r>
              <w:rPr>
                <w:rFonts w:ascii="Arial" w:cs="Arial" w:eastAsia="Arial" w:hAnsi="Arial"/>
                <w:sz w:val="18"/>
                <w:szCs w:val="18"/>
                <w:b w:val="1"/>
                <w:bCs w:val="1"/>
                <w:color w:val="auto"/>
                <w:w w:val="99"/>
              </w:rPr>
              <w:t>20-8647322</w:t>
            </w:r>
          </w:p>
        </w:tc>
      </w:tr>
      <w:tr>
        <w:trPr>
          <w:trHeight w:val="144"/>
        </w:trPr>
        <w:tc>
          <w:tcPr>
            <w:tcW w:w="3780" w:type="dxa"/>
            <w:vAlign w:val="bottom"/>
          </w:tcPr>
          <w:p>
            <w:pPr>
              <w:jc w:val="center"/>
              <w:ind w:right="1640"/>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280" w:type="dxa"/>
            <w:vAlign w:val="bottom"/>
          </w:tcPr>
          <w:p>
            <w:pPr>
              <w:jc w:val="center"/>
              <w:ind w:right="957"/>
              <w:spacing w:after="0" w:line="145" w:lineRule="exact"/>
              <w:rPr>
                <w:sz w:val="20"/>
                <w:szCs w:val="20"/>
                <w:color w:val="auto"/>
              </w:rPr>
            </w:pPr>
            <w:r>
              <w:rPr>
                <w:rFonts w:ascii="Arial" w:cs="Arial" w:eastAsia="Arial" w:hAnsi="Arial"/>
                <w:sz w:val="14"/>
                <w:szCs w:val="14"/>
                <w:b w:val="1"/>
                <w:bCs w:val="1"/>
                <w:color w:val="auto"/>
              </w:rPr>
              <w:t>(Commission</w:t>
            </w:r>
          </w:p>
        </w:tc>
        <w:tc>
          <w:tcPr>
            <w:tcW w:w="2300" w:type="dxa"/>
            <w:vAlign w:val="bottom"/>
          </w:tcPr>
          <w:p>
            <w:pPr>
              <w:jc w:val="center"/>
              <w:ind w:left="1001"/>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80" w:type="dxa"/>
            <w:vAlign w:val="bottom"/>
          </w:tcPr>
          <w:p>
            <w:pPr>
              <w:jc w:val="center"/>
              <w:ind w:right="1640"/>
              <w:spacing w:after="0"/>
              <w:rPr>
                <w:sz w:val="20"/>
                <w:szCs w:val="20"/>
                <w:color w:val="auto"/>
              </w:rPr>
            </w:pPr>
            <w:r>
              <w:rPr>
                <w:rFonts w:ascii="Arial" w:cs="Arial" w:eastAsia="Arial" w:hAnsi="Arial"/>
                <w:sz w:val="14"/>
                <w:szCs w:val="14"/>
                <w:b w:val="1"/>
                <w:bCs w:val="1"/>
                <w:color w:val="auto"/>
              </w:rPr>
              <w:t>incorporation or organization)</w:t>
            </w:r>
          </w:p>
        </w:tc>
        <w:tc>
          <w:tcPr>
            <w:tcW w:w="3280" w:type="dxa"/>
            <w:vAlign w:val="bottom"/>
          </w:tcPr>
          <w:p>
            <w:pPr>
              <w:jc w:val="center"/>
              <w:ind w:right="957"/>
              <w:spacing w:after="0"/>
              <w:rPr>
                <w:sz w:val="20"/>
                <w:szCs w:val="20"/>
                <w:color w:val="auto"/>
              </w:rPr>
            </w:pPr>
            <w:r>
              <w:rPr>
                <w:rFonts w:ascii="Arial" w:cs="Arial" w:eastAsia="Arial" w:hAnsi="Arial"/>
                <w:sz w:val="14"/>
                <w:szCs w:val="14"/>
                <w:b w:val="1"/>
                <w:bCs w:val="1"/>
                <w:color w:val="auto"/>
              </w:rPr>
              <w:t>File Number)</w:t>
            </w:r>
          </w:p>
        </w:tc>
        <w:tc>
          <w:tcPr>
            <w:tcW w:w="2300" w:type="dxa"/>
            <w:vAlign w:val="bottom"/>
          </w:tcPr>
          <w:p>
            <w:pPr>
              <w:jc w:val="center"/>
              <w:ind w:left="1001"/>
              <w:spacing w:after="0"/>
              <w:rPr>
                <w:sz w:val="20"/>
                <w:szCs w:val="20"/>
                <w:color w:val="auto"/>
              </w:rPr>
            </w:pPr>
            <w:r>
              <w:rPr>
                <w:rFonts w:ascii="Arial" w:cs="Arial" w:eastAsia="Arial" w:hAnsi="Arial"/>
                <w:sz w:val="14"/>
                <w:szCs w:val="14"/>
                <w:b w:val="1"/>
                <w:bCs w:val="1"/>
                <w:color w:val="auto"/>
              </w:rPr>
              <w:t>Identification No.)</w:t>
            </w:r>
          </w:p>
        </w:tc>
      </w:tr>
      <w:tr>
        <w:trPr>
          <w:trHeight w:val="689"/>
        </w:trPr>
        <w:tc>
          <w:tcPr>
            <w:tcW w:w="3780" w:type="dxa"/>
            <w:vAlign w:val="bottom"/>
          </w:tcPr>
          <w:p>
            <w:pPr>
              <w:jc w:val="center"/>
              <w:ind w:left="2080"/>
              <w:spacing w:after="0"/>
              <w:rPr>
                <w:sz w:val="20"/>
                <w:szCs w:val="20"/>
                <w:color w:val="auto"/>
              </w:rPr>
            </w:pPr>
            <w:r>
              <w:rPr>
                <w:rFonts w:ascii="Arial" w:cs="Arial" w:eastAsia="Arial" w:hAnsi="Arial"/>
                <w:sz w:val="18"/>
                <w:szCs w:val="18"/>
                <w:b w:val="1"/>
                <w:bCs w:val="1"/>
                <w:color w:val="auto"/>
              </w:rPr>
              <w:t>3150 Sabre Drive</w:t>
            </w:r>
          </w:p>
        </w:tc>
        <w:tc>
          <w:tcPr>
            <w:tcW w:w="3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80"/>
        </w:trPr>
        <w:tc>
          <w:tcPr>
            <w:tcW w:w="3780" w:type="dxa"/>
            <w:vAlign w:val="bottom"/>
          </w:tcPr>
          <w:p>
            <w:pPr>
              <w:ind w:left="2040"/>
              <w:spacing w:after="0" w:line="280" w:lineRule="exact"/>
              <w:rPr>
                <w:sz w:val="20"/>
                <w:szCs w:val="20"/>
                <w:color w:val="auto"/>
              </w:rPr>
            </w:pPr>
            <w:r>
              <w:rPr>
                <w:rFonts w:ascii="Arial" w:cs="Arial" w:eastAsia="Arial" w:hAnsi="Arial"/>
                <w:sz w:val="17"/>
                <w:szCs w:val="17"/>
                <w:b w:val="1"/>
                <w:bCs w:val="1"/>
                <w:color w:val="auto"/>
              </w:rPr>
              <w:t xml:space="preserve">Southlake, </w:t>
            </w:r>
            <w:r>
              <w:rPr>
                <w:rFonts w:ascii="Arial" w:cs="Arial" w:eastAsia="Arial" w:hAnsi="Arial"/>
                <w:sz w:val="32"/>
                <w:szCs w:val="32"/>
                <w:b w:val="1"/>
                <w:bCs w:val="1"/>
                <w:color w:val="auto"/>
                <w:vertAlign w:val="subscript"/>
              </w:rPr>
              <w:t>TX</w:t>
            </w:r>
          </w:p>
        </w:tc>
        <w:tc>
          <w:tcPr>
            <w:tcW w:w="3280" w:type="dxa"/>
            <w:vAlign w:val="bottom"/>
          </w:tcPr>
          <w:p>
            <w:pPr>
              <w:spacing w:after="0"/>
              <w:rPr>
                <w:sz w:val="24"/>
                <w:szCs w:val="24"/>
                <w:color w:val="auto"/>
              </w:rPr>
            </w:pPr>
          </w:p>
        </w:tc>
        <w:tc>
          <w:tcPr>
            <w:tcW w:w="2300" w:type="dxa"/>
            <w:vAlign w:val="bottom"/>
          </w:tcPr>
          <w:p>
            <w:pPr>
              <w:jc w:val="right"/>
              <w:ind w:right="361"/>
              <w:spacing w:after="0"/>
              <w:rPr>
                <w:sz w:val="20"/>
                <w:szCs w:val="20"/>
                <w:color w:val="auto"/>
              </w:rPr>
            </w:pPr>
            <w:r>
              <w:rPr>
                <w:rFonts w:ascii="Arial" w:cs="Arial" w:eastAsia="Arial" w:hAnsi="Arial"/>
                <w:sz w:val="18"/>
                <w:szCs w:val="18"/>
                <w:b w:val="1"/>
                <w:bCs w:val="1"/>
                <w:color w:val="auto"/>
              </w:rPr>
              <w:t>76092</w:t>
            </w:r>
          </w:p>
        </w:tc>
      </w:tr>
      <w:tr>
        <w:trPr>
          <w:trHeight w:val="196"/>
        </w:trPr>
        <w:tc>
          <w:tcPr>
            <w:tcW w:w="7060" w:type="dxa"/>
            <w:vAlign w:val="bottom"/>
            <w:gridSpan w:val="2"/>
          </w:tcPr>
          <w:p>
            <w:pPr>
              <w:jc w:val="center"/>
              <w:ind w:right="1037"/>
              <w:spacing w:after="0"/>
              <w:rPr>
                <w:sz w:val="20"/>
                <w:szCs w:val="20"/>
                <w:color w:val="auto"/>
              </w:rPr>
            </w:pPr>
            <w:r>
              <w:rPr>
                <w:rFonts w:ascii="Arial" w:cs="Arial" w:eastAsia="Arial" w:hAnsi="Arial"/>
                <w:sz w:val="14"/>
                <w:szCs w:val="14"/>
                <w:b w:val="1"/>
                <w:bCs w:val="1"/>
                <w:color w:val="auto"/>
              </w:rPr>
              <w:t>(Address of principal executive offices)</w:t>
            </w:r>
          </w:p>
        </w:tc>
        <w:tc>
          <w:tcPr>
            <w:tcW w:w="230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r>
        <w:trPr>
          <w:trHeight w:val="533"/>
        </w:trPr>
        <w:tc>
          <w:tcPr>
            <w:tcW w:w="3780" w:type="dxa"/>
            <w:vAlign w:val="bottom"/>
          </w:tcPr>
          <w:p>
            <w:pPr>
              <w:spacing w:after="0"/>
              <w:rPr>
                <w:sz w:val="24"/>
                <w:szCs w:val="24"/>
                <w:color w:val="auto"/>
              </w:rPr>
            </w:pPr>
          </w:p>
        </w:tc>
        <w:tc>
          <w:tcPr>
            <w:tcW w:w="3280" w:type="dxa"/>
            <w:vAlign w:val="bottom"/>
          </w:tcPr>
          <w:p>
            <w:pPr>
              <w:jc w:val="center"/>
              <w:ind w:right="997"/>
              <w:spacing w:after="0"/>
              <w:rPr>
                <w:sz w:val="20"/>
                <w:szCs w:val="20"/>
                <w:color w:val="auto"/>
              </w:rPr>
            </w:pPr>
            <w:r>
              <w:rPr>
                <w:rFonts w:ascii="Arial" w:cs="Arial" w:eastAsia="Arial" w:hAnsi="Arial"/>
                <w:sz w:val="18"/>
                <w:szCs w:val="18"/>
                <w:b w:val="1"/>
                <w:bCs w:val="1"/>
                <w:color w:val="auto"/>
              </w:rPr>
              <w:t>(682) 605-1000</w:t>
            </w:r>
          </w:p>
        </w:tc>
        <w:tc>
          <w:tcPr>
            <w:tcW w:w="23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w:t>
      </w:r>
    </w:p>
    <w:p>
      <w:pPr>
        <w:spacing w:after="0" w:line="234"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5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Title of each class</w:t>
      </w:r>
    </w:p>
    <w:p>
      <w:pPr>
        <w:spacing w:after="0" w:line="4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40"/>
        <w:spacing w:after="0"/>
        <w:rPr>
          <w:sz w:val="20"/>
          <w:szCs w:val="20"/>
          <w:color w:val="auto"/>
        </w:rPr>
      </w:pPr>
      <w:r>
        <w:rPr>
          <w:rFonts w:ascii="Arial" w:cs="Arial" w:eastAsia="Arial" w:hAnsi="Arial"/>
          <w:sz w:val="17"/>
          <w:szCs w:val="17"/>
          <w:b w:val="1"/>
          <w:bCs w:val="1"/>
          <w:color w:val="auto"/>
        </w:rPr>
        <w:t>Trading Symbol</w:t>
      </w:r>
    </w:p>
    <w:p>
      <w:pPr>
        <w:spacing w:after="0" w:line="5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SABR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060" w:space="720"/>
            <w:col w:w="1900" w:space="720"/>
            <w:col w:w="3840"/>
          </w:cols>
          <w:pgMar w:left="320" w:top="1440" w:right="339" w:bottom="1440" w:gutter="0" w:footer="0" w:header="0"/>
          <w:type w:val="continuous"/>
        </w:sectPr>
      </w:pPr>
    </w:p>
    <w:p>
      <w:pPr>
        <w:spacing w:after="0" w:line="10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of this chapter).</w:t>
      </w:r>
    </w:p>
    <w:p>
      <w:pPr>
        <w:spacing w:after="0" w:line="60"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Emerging growth company</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If emerging growth company, indicate by check mark if the registrant has elected not to use the extended transition</w:t>
      </w:r>
    </w:p>
    <w:p>
      <w:pPr>
        <w:ind w:left="20" w:right="60"/>
        <w:spacing w:after="0" w:line="227" w:lineRule="auto"/>
        <w:rPr>
          <w:sz w:val="20"/>
          <w:szCs w:val="20"/>
          <w:color w:val="auto"/>
        </w:rPr>
      </w:pPr>
      <w:r>
        <w:rPr>
          <w:rFonts w:ascii="Arial" w:cs="Arial" w:eastAsia="Arial" w:hAnsi="Arial"/>
          <w:sz w:val="17"/>
          <w:szCs w:val="17"/>
          <w:color w:val="auto"/>
        </w:rPr>
        <w:t>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87"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9140" w:space="720"/>
            <w:col w:w="279"/>
          </w:cols>
          <w:pgMar w:left="320" w:top="1440" w:right="1440" w:bottom="1440" w:gutter="0" w:footer="0" w:header="0"/>
        </w:sectPr>
      </w:pPr>
    </w:p>
    <w:bookmarkStart w:id="2" w:name="page3"/>
    <w:bookmarkEnd w:id="2"/>
    <w:p>
      <w:pPr>
        <w:spacing w:after="0" w:line="1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1" w:lineRule="exact"/>
        <w:rPr>
          <w:sz w:val="20"/>
          <w:szCs w:val="20"/>
          <w:color w:val="auto"/>
        </w:rPr>
      </w:pPr>
    </w:p>
    <w:p>
      <w:pPr>
        <w:ind w:right="460" w:firstLine="486"/>
        <w:spacing w:after="0" w:line="286" w:lineRule="auto"/>
        <w:rPr>
          <w:sz w:val="20"/>
          <w:szCs w:val="20"/>
          <w:color w:val="auto"/>
        </w:rPr>
      </w:pPr>
      <w:r>
        <w:rPr>
          <w:rFonts w:ascii="Arial" w:cs="Arial" w:eastAsia="Arial" w:hAnsi="Arial"/>
          <w:sz w:val="16"/>
          <w:szCs w:val="16"/>
          <w:color w:val="auto"/>
        </w:rPr>
        <w:t>On May 7, 2026, Sabre Corporation (“Sabre”) issued a press release and will hold a conference call regarding its financial results for the quarter ended March 31, 2026. A copy of the press release is attached as Exhibit 99.1.</w:t>
      </w:r>
    </w:p>
    <w:p>
      <w:pPr>
        <w:spacing w:after="0" w:line="156" w:lineRule="exact"/>
        <w:rPr>
          <w:sz w:val="20"/>
          <w:szCs w:val="20"/>
          <w:color w:val="auto"/>
        </w:rPr>
      </w:pPr>
    </w:p>
    <w:p>
      <w:pPr>
        <w:ind w:right="100" w:firstLine="486"/>
        <w:spacing w:after="0" w:line="275" w:lineRule="auto"/>
        <w:rPr>
          <w:sz w:val="20"/>
          <w:szCs w:val="20"/>
          <w:color w:val="auto"/>
        </w:rPr>
      </w:pPr>
      <w:r>
        <w:rPr>
          <w:rFonts w:ascii="Arial" w:cs="Arial" w:eastAsia="Arial" w:hAnsi="Arial"/>
          <w:sz w:val="16"/>
          <w:szCs w:val="16"/>
          <w:color w:val="auto"/>
        </w:rPr>
        <w:t>The information in this Item 2.02 of Form 8-K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178" w:lineRule="exact"/>
        <w:rPr>
          <w:sz w:val="20"/>
          <w:szCs w:val="20"/>
          <w:color w:val="auto"/>
        </w:rPr>
      </w:pPr>
    </w:p>
    <w:p>
      <w:pPr>
        <w:ind w:right="740" w:firstLine="486"/>
        <w:spacing w:after="0" w:line="286" w:lineRule="auto"/>
        <w:rPr>
          <w:sz w:val="20"/>
          <w:szCs w:val="20"/>
          <w:color w:val="auto"/>
        </w:rPr>
      </w:pPr>
      <w:r>
        <w:rPr>
          <w:rFonts w:ascii="Arial" w:cs="Arial" w:eastAsia="Arial" w:hAnsi="Arial"/>
          <w:sz w:val="16"/>
          <w:szCs w:val="16"/>
          <w:color w:val="auto"/>
        </w:rPr>
        <w:t>Sabre makes reference to non-GAAP financial measures in the press release. A reconciliation of these non-GAAP financial measures to the comparable GAAP financial measures is contained in the attached press release.</w:t>
      </w:r>
    </w:p>
    <w:p>
      <w:pPr>
        <w:spacing w:after="0" w:line="345"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tcPr>
          <w:p>
            <w:pPr>
              <w:jc w:val="right"/>
              <w:ind w:right="584"/>
              <w:spacing w:after="0" w:line="169" w:lineRule="exact"/>
              <w:rPr>
                <w:sz w:val="20"/>
                <w:szCs w:val="20"/>
                <w:color w:val="auto"/>
              </w:rPr>
            </w:pPr>
            <w:r>
              <w:rPr>
                <w:rFonts w:ascii="Arial" w:cs="Arial" w:eastAsia="Arial" w:hAnsi="Arial"/>
                <w:sz w:val="16"/>
                <w:szCs w:val="16"/>
                <w:color w:val="auto"/>
              </w:rPr>
              <w:t>99.1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500" w:type="dxa"/>
            <w:vAlign w:val="bottom"/>
            <w:tcBorders>
              <w:top w:val="single" w:sz="8" w:color="auto"/>
              <w:bottom w:val="single" w:sz="8" w:color="0000FF"/>
            </w:tcBorders>
          </w:tcPr>
          <w:p>
            <w:pPr>
              <w:spacing w:after="0" w:line="169" w:lineRule="exact"/>
              <w:rPr>
                <w:sz w:val="20"/>
                <w:szCs w:val="20"/>
                <w:color w:val="auto"/>
              </w:rPr>
            </w:pPr>
            <w:r>
              <w:rPr>
                <w:rFonts w:ascii="Arial" w:cs="Arial" w:eastAsia="Arial" w:hAnsi="Arial"/>
                <w:sz w:val="16"/>
                <w:szCs w:val="16"/>
                <w:color w:val="0000FF"/>
              </w:rPr>
              <w:t>Press Release dated May 7, 2026.</w:t>
            </w:r>
          </w:p>
        </w:tc>
        <w:tc>
          <w:tcPr>
            <w:tcW w:w="7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2"/>
          </w:tcPr>
          <w:p>
            <w:pPr>
              <w:ind w:left="40"/>
              <w:spacing w:after="0"/>
              <w:rPr>
                <w:sz w:val="20"/>
                <w:szCs w:val="20"/>
                <w:color w:val="auto"/>
              </w:rPr>
            </w:pPr>
            <w:r>
              <w:rPr>
                <w:rFonts w:ascii="Arial" w:cs="Arial" w:eastAsia="Arial" w:hAnsi="Arial"/>
                <w:sz w:val="16"/>
                <w:szCs w:val="16"/>
                <w:color w:val="auto"/>
              </w:rPr>
              <w:t>Cover Page Interactive Data File - formatted as Inline XBRL.</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7640" w:type="dxa"/>
            <w:vAlign w:val="bottom"/>
            <w:gridSpan w:val="2"/>
          </w:tcPr>
          <w:p>
            <w:pPr>
              <w:ind w:left="1940"/>
              <w:spacing w:after="0"/>
              <w:rPr>
                <w:sz w:val="20"/>
                <w:szCs w:val="20"/>
                <w:color w:val="auto"/>
              </w:rPr>
            </w:pPr>
            <w:r>
              <w:rPr>
                <w:rFonts w:ascii="Arial" w:cs="Arial" w:eastAsia="Arial" w:hAnsi="Arial"/>
                <w:sz w:val="16"/>
                <w:szCs w:val="16"/>
                <w:color w:val="auto"/>
              </w:rPr>
              <w:t>Sabre Corporation</w:t>
            </w:r>
          </w:p>
        </w:tc>
      </w:tr>
      <w:tr>
        <w:trPr>
          <w:trHeight w:val="486"/>
        </w:trPr>
        <w:tc>
          <w:tcPr>
            <w:tcW w:w="3580" w:type="dxa"/>
            <w:vAlign w:val="bottom"/>
          </w:tcPr>
          <w:p>
            <w:pPr>
              <w:spacing w:after="0"/>
              <w:rPr>
                <w:sz w:val="20"/>
                <w:szCs w:val="20"/>
                <w:color w:val="auto"/>
              </w:rPr>
            </w:pPr>
            <w:r>
              <w:rPr>
                <w:rFonts w:ascii="Arial" w:cs="Arial" w:eastAsia="Arial" w:hAnsi="Arial"/>
                <w:sz w:val="16"/>
                <w:szCs w:val="16"/>
                <w:color w:val="auto"/>
              </w:rPr>
              <w:t>Dated:   May 7, 2026</w:t>
            </w:r>
          </w:p>
        </w:tc>
        <w:tc>
          <w:tcPr>
            <w:tcW w:w="2760" w:type="dxa"/>
            <w:vAlign w:val="bottom"/>
          </w:tcPr>
          <w:p>
            <w:pPr>
              <w:ind w:left="194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Randolfi</w:t>
            </w:r>
          </w:p>
        </w:tc>
      </w:tr>
      <w:tr>
        <w:trPr>
          <w:trHeight w:val="210"/>
        </w:trPr>
        <w:tc>
          <w:tcPr>
            <w:tcW w:w="3580" w:type="dxa"/>
            <w:vAlign w:val="bottom"/>
          </w:tcPr>
          <w:p>
            <w:pPr>
              <w:spacing w:after="0"/>
              <w:rPr>
                <w:sz w:val="18"/>
                <w:szCs w:val="18"/>
                <w:color w:val="auto"/>
              </w:rPr>
            </w:pPr>
          </w:p>
        </w:tc>
        <w:tc>
          <w:tcPr>
            <w:tcW w:w="2760" w:type="dxa"/>
            <w:vAlign w:val="bottom"/>
          </w:tcPr>
          <w:p>
            <w:pPr>
              <w:ind w:left="1940"/>
              <w:spacing w:after="0"/>
              <w:rPr>
                <w:sz w:val="20"/>
                <w:szCs w:val="20"/>
                <w:color w:val="auto"/>
              </w:rPr>
            </w:pPr>
            <w:r>
              <w:rPr>
                <w:rFonts w:ascii="Arial" w:cs="Arial" w:eastAsia="Arial" w:hAnsi="Arial"/>
                <w:sz w:val="16"/>
                <w:szCs w:val="16"/>
                <w:color w:val="auto"/>
              </w:rPr>
              <w:t>Name:</w:t>
            </w:r>
          </w:p>
        </w:tc>
        <w:tc>
          <w:tcPr>
            <w:tcW w:w="4880" w:type="dxa"/>
            <w:vAlign w:val="bottom"/>
          </w:tcPr>
          <w:p>
            <w:pPr>
              <w:ind w:left="20"/>
              <w:spacing w:after="0"/>
              <w:rPr>
                <w:sz w:val="20"/>
                <w:szCs w:val="20"/>
                <w:color w:val="auto"/>
              </w:rPr>
            </w:pPr>
            <w:r>
              <w:rPr>
                <w:rFonts w:ascii="Arial" w:cs="Arial" w:eastAsia="Arial" w:hAnsi="Arial"/>
                <w:sz w:val="16"/>
                <w:szCs w:val="16"/>
                <w:color w:val="auto"/>
              </w:rPr>
              <w:t>Michael Randolfi</w:t>
            </w:r>
          </w:p>
        </w:tc>
      </w:tr>
      <w:tr>
        <w:trPr>
          <w:trHeight w:val="215"/>
        </w:trPr>
        <w:tc>
          <w:tcPr>
            <w:tcW w:w="3580" w:type="dxa"/>
            <w:vAlign w:val="bottom"/>
          </w:tcPr>
          <w:p>
            <w:pPr>
              <w:spacing w:after="0"/>
              <w:rPr>
                <w:sz w:val="18"/>
                <w:szCs w:val="18"/>
                <w:color w:val="auto"/>
              </w:rPr>
            </w:pPr>
          </w:p>
        </w:tc>
        <w:tc>
          <w:tcPr>
            <w:tcW w:w="2760" w:type="dxa"/>
            <w:vAlign w:val="bottom"/>
          </w:tcPr>
          <w:p>
            <w:pPr>
              <w:ind w:left="1940"/>
              <w:spacing w:after="0"/>
              <w:rPr>
                <w:sz w:val="20"/>
                <w:szCs w:val="20"/>
                <w:color w:val="auto"/>
              </w:rPr>
            </w:pPr>
            <w:r>
              <w:rPr>
                <w:rFonts w:ascii="Arial" w:cs="Arial" w:eastAsia="Arial" w:hAnsi="Arial"/>
                <w:sz w:val="16"/>
                <w:szCs w:val="16"/>
                <w:color w:val="auto"/>
              </w:rPr>
              <w:t>Title:</w:t>
            </w:r>
          </w:p>
        </w:tc>
        <w:tc>
          <w:tcPr>
            <w:tcW w:w="488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911860</wp:posOffset>
            </wp:positionV>
            <wp:extent cx="1423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00"/>
        <w:spacing w:after="0"/>
        <w:rPr>
          <w:sz w:val="20"/>
          <w:szCs w:val="20"/>
          <w:color w:val="auto"/>
        </w:rPr>
      </w:pPr>
      <w:r>
        <w:rPr>
          <w:rFonts w:ascii="Arial" w:cs="Arial" w:eastAsia="Arial" w:hAnsi="Arial"/>
          <w:sz w:val="25"/>
          <w:szCs w:val="25"/>
          <w:b w:val="1"/>
          <w:bCs w:val="1"/>
          <w:color w:val="auto"/>
        </w:rPr>
        <w:t>Sabre reports first quarter 2026 results</w:t>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25"/>
          <w:szCs w:val="25"/>
          <w:i w:val="1"/>
          <w:iCs w:val="1"/>
          <w:color w:val="auto"/>
        </w:rPr>
        <w:t>First quarter revenue growth of 8% and air distribution bookings growth of 6%; reaffirms full year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2026 Pro Forma Adjusted EBITDA and Free Cash Flow guidance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Highlights:</w:t>
      </w:r>
    </w:p>
    <w:p>
      <w:pPr>
        <w:spacing w:after="0" w:line="67" w:lineRule="exact"/>
        <w:rPr>
          <w:sz w:val="20"/>
          <w:szCs w:val="20"/>
          <w:color w:val="auto"/>
        </w:rPr>
      </w:pPr>
    </w:p>
    <w:p>
      <w:pPr>
        <w:ind w:left="660" w:hanging="328"/>
        <w:spacing w:after="0" w:line="324"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Exceeded revenue and Pro Forma Adjusted EBITDA guidance and achieved air distribution bookings guidance, reflecting continued execution of our growth strategies and effective cost management</w:t>
      </w: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Reaffirming 2026 guidance for Pro Forma Adjusted EBITDA and Free Cash Flow</w:t>
      </w:r>
    </w:p>
    <w:p>
      <w:pPr>
        <w:spacing w:after="0" w:line="67"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Grew Marketplace revenue 9% year-on-year, driven by strong bookings and higher booking fees</w:t>
      </w:r>
    </w:p>
    <w:p>
      <w:pPr>
        <w:spacing w:after="0" w:line="80"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Achieved 6% air distribution bookings growth, the highest in over two years</w:t>
      </w:r>
    </w:p>
    <w:p>
      <w:pPr>
        <w:spacing w:after="0" w:line="80" w:lineRule="exact"/>
        <w:rPr>
          <w:rFonts w:ascii="Arial" w:cs="Arial" w:eastAsia="Arial" w:hAnsi="Arial"/>
          <w:sz w:val="20"/>
          <w:szCs w:val="20"/>
          <w:b w:val="1"/>
          <w:bCs w:val="1"/>
          <w:color w:val="auto"/>
        </w:rPr>
      </w:pPr>
    </w:p>
    <w:p>
      <w:pPr>
        <w:ind w:left="660" w:hanging="328"/>
        <w:spacing w:after="0" w:line="316"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Delivered 27% year-on-year increase in operating income and expanded margin two percentage points from 13% to 15%</w:t>
      </w:r>
    </w:p>
    <w:p>
      <w:pPr>
        <w:spacing w:after="0" w:line="1"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Sabre's AI platform successfully launched first agentic AI experience for travel with MindTrip and PayPal</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8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First quarter revenue of $760 million, up 8% from Q1'25</w:t>
      </w:r>
    </w:p>
    <w:p>
      <w:pPr>
        <w:spacing w:after="0" w:line="67"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Operating income of $116 million, up 27% from Q1'25</w:t>
      </w:r>
    </w:p>
    <w:p>
      <w:pPr>
        <w:spacing w:after="0" w:line="80"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attributable to common stockholders of $8 million</w:t>
      </w:r>
    </w:p>
    <w:p>
      <w:pPr>
        <w:spacing w:after="0" w:line="80"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of $159 million, up 21% from Q1'25</w:t>
      </w:r>
    </w:p>
    <w:p>
      <w:pPr>
        <w:spacing w:after="0" w:line="43"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Normalized Adjusted EBITDA</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of $169 million, up 21% from Q1'25</w:t>
      </w:r>
    </w:p>
    <w:p>
      <w:pPr>
        <w:spacing w:after="0" w:line="9"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Ended quarter with cash balance of $665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5"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SOUTHLAKE, Texas – May 7, 2026 – Sabre Corporation ("Sabre" or the "Company") (NASDAQ: SABR) today announced financial results for the quarter ended March 31, 2026.</w:t>
      </w:r>
    </w:p>
    <w:p>
      <w:pPr>
        <w:spacing w:after="0" w:line="168" w:lineRule="exact"/>
        <w:rPr>
          <w:sz w:val="20"/>
          <w:szCs w:val="20"/>
          <w:color w:val="auto"/>
        </w:rPr>
      </w:pPr>
    </w:p>
    <w:p>
      <w:pPr>
        <w:jc w:val="both"/>
        <w:spacing w:after="0" w:line="334" w:lineRule="auto"/>
        <w:rPr>
          <w:sz w:val="20"/>
          <w:szCs w:val="20"/>
          <w:color w:val="auto"/>
        </w:rPr>
      </w:pPr>
      <w:r>
        <w:rPr>
          <w:rFonts w:ascii="Arial" w:cs="Arial" w:eastAsia="Arial" w:hAnsi="Arial"/>
          <w:sz w:val="20"/>
          <w:szCs w:val="20"/>
          <w:color w:val="auto"/>
        </w:rPr>
        <w:t>“We are pleased with our strong start to the year, delivering 8% revenue growth and a 21% increase in Normalized Adjusted EBITDA, significantly exceeding our first quarter outlook. Air distribution bookings grew 6%, our highest rate in more than two years, and we believe it outpaced the broader industry, underscoring our solid execution and continued momentum across our growth initiatives,” said Kurt Ekert, President and CEO.</w:t>
      </w:r>
    </w:p>
    <w:p>
      <w:pPr>
        <w:spacing w:after="0" w:line="191" w:lineRule="exact"/>
        <w:rPr>
          <w:sz w:val="20"/>
          <w:szCs w:val="20"/>
          <w:color w:val="auto"/>
        </w:rPr>
      </w:pPr>
    </w:p>
    <w:p>
      <w:pPr>
        <w:jc w:val="both"/>
        <w:spacing w:after="0" w:line="327" w:lineRule="auto"/>
        <w:rPr>
          <w:sz w:val="20"/>
          <w:szCs w:val="20"/>
          <w:color w:val="auto"/>
        </w:rPr>
      </w:pPr>
      <w:r>
        <w:rPr>
          <w:rFonts w:ascii="Arial" w:cs="Arial" w:eastAsia="Arial" w:hAnsi="Arial"/>
          <w:sz w:val="20"/>
          <w:szCs w:val="20"/>
          <w:color w:val="auto"/>
        </w:rPr>
        <w:t>Ekert continued, “While the conflict in the Middle East and higher fuel prices have weighed on near-term air bookings, our outlook assumes the conflict subsides during the second quarter. We expect a gradual recovery through the summer and fall, driving positive full-year air bookings growth. Given our strong first-quarter performance and current outlook, we are reaffirming our full-year guidance for Pro Forma Adjusted EBITDA and Free Cash Flow. Through continued share gains, disciplined execution, and our leadership role in next-generation, AI-powered travel solutions, we are confident in our ability to deliver sustained, long-term growth.”</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2026 Financial Summary</w:t>
      </w:r>
    </w:p>
    <w:p>
      <w:pPr>
        <w:spacing w:after="0" w:line="312" w:lineRule="exact"/>
        <w:rPr>
          <w:sz w:val="20"/>
          <w:szCs w:val="20"/>
          <w:color w:val="auto"/>
        </w:rPr>
      </w:pPr>
    </w:p>
    <w:p>
      <w:pPr>
        <w:jc w:val="both"/>
        <w:spacing w:after="0" w:line="334" w:lineRule="auto"/>
        <w:rPr>
          <w:sz w:val="20"/>
          <w:szCs w:val="20"/>
          <w:color w:val="auto"/>
        </w:rPr>
      </w:pPr>
      <w:r>
        <w:rPr>
          <w:rFonts w:ascii="Arial" w:cs="Arial" w:eastAsia="Arial" w:hAnsi="Arial"/>
          <w:sz w:val="20"/>
          <w:szCs w:val="20"/>
          <w:color w:val="auto"/>
        </w:rPr>
        <w:t>Effective this quarter, we have updated the terminology used to describe our revenue to better reflect our evolving brand identity and market positioning. Historically referred to as “Distribution” and “IT Solutions”, these revenue streams have been renamed to “Marketplace” and “Airline Technology”, respectively. The specific revenue from products, services, and underlying solutions offered within each category remain unchanged.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First quarter revenue totaled $760 million, compared to $702 million in the first quarter of 2025.</w:t>
      </w:r>
    </w:p>
    <w:p>
      <w:pPr>
        <w:spacing w:after="0" w:line="324" w:lineRule="exact"/>
        <w:rPr>
          <w:sz w:val="20"/>
          <w:szCs w:val="20"/>
          <w:color w:val="auto"/>
        </w:rPr>
      </w:pPr>
    </w:p>
    <w:p>
      <w:pPr>
        <w:jc w:val="both"/>
        <w:ind w:left="660" w:hanging="328"/>
        <w:spacing w:after="0" w:line="31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20"/>
          <w:szCs w:val="20"/>
          <w:color w:val="auto"/>
        </w:rPr>
        <w:t>Marketplace revenue increased by $49 million, or 9%, to $618 million, driven by a $42 million increase in transaction-based revenue primarily due to an increase in distribution bookings and favorable rate impacts, and a $7 million increase in other revenue.</w:t>
      </w:r>
    </w:p>
    <w:p>
      <w:pPr>
        <w:ind w:left="1300" w:hanging="320"/>
        <w:spacing w:after="0" w:line="321" w:lineRule="auto"/>
        <w:tabs>
          <w:tab w:leader="none" w:pos="1303" w:val="left"/>
        </w:tabs>
        <w:numPr>
          <w:ilvl w:val="1"/>
          <w:numId w:val="5"/>
        </w:numPr>
        <w:rPr>
          <w:rFonts w:ascii="Arial" w:cs="Arial" w:eastAsia="Arial" w:hAnsi="Arial"/>
          <w:sz w:val="20"/>
          <w:szCs w:val="20"/>
          <w:color w:val="auto"/>
        </w:rPr>
      </w:pPr>
      <w:r>
        <w:rPr>
          <w:rFonts w:ascii="Arial" w:cs="Arial" w:eastAsia="Arial" w:hAnsi="Arial"/>
          <w:sz w:val="20"/>
          <w:szCs w:val="20"/>
          <w:color w:val="auto"/>
        </w:rPr>
        <w:t>Total Marketplace bookings, net of cancellations, were 101 million, an increase of approximately 5% from first quarter 2025 levels.</w:t>
      </w:r>
    </w:p>
    <w:p>
      <w:pPr>
        <w:spacing w:after="0" w:line="19"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2"/>
          <w:szCs w:val="22"/>
          <w:color w:val="auto"/>
        </w:rPr>
      </w:pPr>
      <w:r>
        <w:rPr>
          <w:rFonts w:ascii="Arial" w:cs="Arial" w:eastAsia="Arial" w:hAnsi="Arial"/>
          <w:sz w:val="20"/>
          <w:szCs w:val="20"/>
          <w:color w:val="auto"/>
        </w:rPr>
        <w:t>Average booking fee totaled $6.10, an increase of approximately 3% from first quarter 2025.</w:t>
      </w:r>
    </w:p>
    <w:p>
      <w:pPr>
        <w:spacing w:after="0" w:line="57" w:lineRule="exact"/>
        <w:rPr>
          <w:rFonts w:ascii="Arial" w:cs="Arial" w:eastAsia="Arial" w:hAnsi="Arial"/>
          <w:sz w:val="22"/>
          <w:szCs w:val="22"/>
          <w:color w:val="auto"/>
        </w:rPr>
      </w:pPr>
    </w:p>
    <w:p>
      <w:pPr>
        <w:ind w:left="660" w:right="20" w:hanging="328"/>
        <w:spacing w:after="0" w:line="35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Airline Technology revenue increased by $9 million, or 7%, to $142 million, driven primarily by revenue that was previously deferred being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5"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Operating income totaled $116 million versus $91 million in the first quarter of 2025. The increase in operating income was driven by the increase in revenue described above, partially offset by an increase in incentive and other expenses.</w:t>
      </w:r>
    </w:p>
    <w:p>
      <w:pPr>
        <w:spacing w:after="0" w:line="182" w:lineRule="exact"/>
        <w:rPr>
          <w:sz w:val="20"/>
          <w:szCs w:val="20"/>
          <w:color w:val="auto"/>
        </w:rPr>
      </w:pPr>
    </w:p>
    <w:p>
      <w:pPr>
        <w:jc w:val="both"/>
        <w:ind w:right="20"/>
        <w:spacing w:after="0" w:line="347" w:lineRule="auto"/>
        <w:rPr>
          <w:sz w:val="20"/>
          <w:szCs w:val="20"/>
          <w:color w:val="auto"/>
        </w:rPr>
      </w:pPr>
      <w:r>
        <w:rPr>
          <w:rFonts w:ascii="Arial" w:cs="Arial" w:eastAsia="Arial" w:hAnsi="Arial"/>
          <w:sz w:val="20"/>
          <w:szCs w:val="20"/>
          <w:color w:val="auto"/>
        </w:rPr>
        <w:t>Income from continuing operations totaled $9 million, versus a loss of $3 million in the first quarter of 2025. The increase in net income from continuing operations in the first quarter of 2026 is primarily attributed to an increase in operating income described above, partially offset by an increase in interest expense, net.</w:t>
      </w:r>
    </w:p>
    <w:p>
      <w:pPr>
        <w:spacing w:after="0" w:line="190" w:lineRule="exact"/>
        <w:rPr>
          <w:sz w:val="20"/>
          <w:szCs w:val="20"/>
          <w:color w:val="auto"/>
        </w:rPr>
      </w:pPr>
    </w:p>
    <w:p>
      <w:pPr>
        <w:jc w:val="both"/>
        <w:spacing w:after="0" w:line="330" w:lineRule="auto"/>
        <w:rPr>
          <w:sz w:val="20"/>
          <w:szCs w:val="20"/>
          <w:color w:val="auto"/>
        </w:rPr>
      </w:pPr>
      <w:r>
        <w:rPr>
          <w:rFonts w:ascii="Arial" w:cs="Arial" w:eastAsia="Arial" w:hAnsi="Arial"/>
          <w:sz w:val="20"/>
          <w:szCs w:val="20"/>
          <w:color w:val="auto"/>
        </w:rPr>
        <w:t>Income attributable to common stockholders totaled $8 million, versus income of $35 million in the first quarter of 2025. The decrease in income attributable to common stockholders in the first quarter of 2026 was primarily driven by a decrease in income from discontinued operations, net of tax, partially offset by the items impacting net income from continuing operations described above.</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$169 million, up 21% year-on-year, an improvement versus 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$140 million in the first quarter of 2025. The improvement in Normalized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driven by the items impacting revenue described above, partially offset by increased incentive expense.</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With regard to Sabre's first quarter 2026 cash flows (versus prior year):</w:t>
      </w:r>
    </w:p>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operating activities totaled $134 million (vs. $64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investing activities totaled $21 million (vs. $7 million)</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used in financing activities totaled $92 million (vs. $13 million provided by)</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Capitalized expenditures totaled $21 million (vs. $17 million)</w:t>
      </w:r>
    </w:p>
    <w:p>
      <w:pPr>
        <w:spacing w:after="0" w:line="310" w:lineRule="exact"/>
        <w:rPr>
          <w:sz w:val="20"/>
          <w:szCs w:val="20"/>
          <w:color w:val="auto"/>
        </w:rPr>
      </w:pPr>
    </w:p>
    <w:p>
      <w:pPr>
        <w:spacing w:after="0" w:line="306" w:lineRule="auto"/>
        <w:rPr>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negative $155 million, compared to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negative $81 million and Pro Forma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negative $70 million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20" w:type="dxa"/>
            <w:vAlign w:val="bottom"/>
          </w:tcPr>
          <w:p>
            <w:pPr>
              <w:spacing w:after="0"/>
              <w:rPr>
                <w:sz w:val="17"/>
                <w:szCs w:val="17"/>
                <w:color w:val="auto"/>
              </w:rPr>
            </w:pPr>
          </w:p>
        </w:tc>
        <w:tc>
          <w:tcPr>
            <w:tcW w:w="3920" w:type="dxa"/>
            <w:vAlign w:val="bottom"/>
            <w:tcBorders>
              <w:bottom w:val="single" w:sz="8" w:color="800000"/>
            </w:tcBorders>
            <w:gridSpan w:val="3"/>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7320" w:type="dxa"/>
            <w:vAlign w:val="bottom"/>
          </w:tcPr>
          <w:p>
            <w:pPr>
              <w:ind w:left="20"/>
              <w:spacing w:after="0"/>
              <w:rPr>
                <w:sz w:val="20"/>
                <w:szCs w:val="20"/>
                <w:color w:val="auto"/>
              </w:rPr>
            </w:pPr>
            <w:r>
              <w:rPr>
                <w:rFonts w:ascii="Arial" w:cs="Arial" w:eastAsia="Arial" w:hAnsi="Arial"/>
                <w:sz w:val="14"/>
                <w:szCs w:val="14"/>
                <w:color w:val="auto"/>
              </w:rPr>
              <w:t>Financial Highlights</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2026</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2025</w:t>
            </w:r>
          </w:p>
        </w:tc>
        <w:tc>
          <w:tcPr>
            <w:tcW w:w="11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7320" w:type="dxa"/>
            <w:vAlign w:val="bottom"/>
            <w:tcBorders>
              <w:bottom w:val="single" w:sz="8" w:color="800000"/>
            </w:tcBorders>
          </w:tcPr>
          <w:p>
            <w:pPr>
              <w:ind w:left="20"/>
              <w:spacing w:after="0"/>
              <w:rPr>
                <w:sz w:val="20"/>
                <w:szCs w:val="20"/>
                <w:color w:val="auto"/>
              </w:rPr>
            </w:pPr>
            <w:r>
              <w:rPr>
                <w:rFonts w:ascii="Arial" w:cs="Arial" w:eastAsia="Arial" w:hAnsi="Arial"/>
                <w:sz w:val="14"/>
                <w:szCs w:val="14"/>
                <w:color w:val="auto"/>
              </w:rPr>
              <w:t>(in thousands, except for EPS; unaudited):</w:t>
            </w:r>
          </w:p>
        </w:tc>
        <w:tc>
          <w:tcPr>
            <w:tcW w:w="1400" w:type="dxa"/>
            <w:vAlign w:val="bottom"/>
            <w:tcBorders>
              <w:bottom w:val="single" w:sz="8" w:color="800000"/>
            </w:tcBorders>
            <w:vMerge w:val="continue"/>
          </w:tcPr>
          <w:p>
            <w:pPr>
              <w:spacing w:after="0"/>
              <w:rPr>
                <w:sz w:val="16"/>
                <w:szCs w:val="16"/>
                <w:color w:val="auto"/>
              </w:rPr>
            </w:pPr>
          </w:p>
        </w:tc>
        <w:tc>
          <w:tcPr>
            <w:tcW w:w="1360" w:type="dxa"/>
            <w:vAlign w:val="bottom"/>
            <w:tcBorders>
              <w:bottom w:val="single" w:sz="8" w:color="800000"/>
            </w:tcBorders>
            <w:vMerge w:val="continue"/>
          </w:tcPr>
          <w:p>
            <w:pPr>
              <w:spacing w:after="0"/>
              <w:rPr>
                <w:sz w:val="16"/>
                <w:szCs w:val="16"/>
                <w:color w:val="auto"/>
              </w:rPr>
            </w:pPr>
          </w:p>
        </w:tc>
        <w:tc>
          <w:tcPr>
            <w:tcW w:w="1160" w:type="dxa"/>
            <w:vAlign w:val="bottom"/>
            <w:tcBorders>
              <w:bottom w:val="single" w:sz="8" w:color="800000"/>
            </w:tcBorders>
          </w:tcPr>
          <w:p>
            <w:pPr>
              <w:jc w:val="right"/>
              <w:ind w:right="280"/>
              <w:spacing w:after="0"/>
              <w:rPr>
                <w:sz w:val="20"/>
                <w:szCs w:val="20"/>
                <w:color w:val="auto"/>
              </w:rPr>
            </w:pPr>
            <w:r>
              <w:rPr>
                <w:rFonts w:ascii="Arial" w:cs="Arial" w:eastAsia="Arial" w:hAnsi="Arial"/>
                <w:sz w:val="14"/>
                <w:szCs w:val="14"/>
                <w:b w:val="1"/>
                <w:bCs w:val="1"/>
                <w:color w:val="auto"/>
              </w:rPr>
              <w:t>(B/W)</w:t>
            </w:r>
          </w:p>
        </w:tc>
        <w:tc>
          <w:tcPr>
            <w:tcW w:w="0" w:type="dxa"/>
            <w:vAlign w:val="bottom"/>
          </w:tcPr>
          <w:p>
            <w:pPr>
              <w:spacing w:after="0"/>
              <w:rPr>
                <w:sz w:val="1"/>
                <w:szCs w:val="1"/>
                <w:color w:val="auto"/>
              </w:rPr>
            </w:pPr>
          </w:p>
        </w:tc>
      </w:tr>
      <w:tr>
        <w:trPr>
          <w:trHeight w:val="210"/>
        </w:trPr>
        <w:tc>
          <w:tcPr>
            <w:tcW w:w="7320" w:type="dxa"/>
            <w:vAlign w:val="bottom"/>
            <w:shd w:val="clear" w:color="auto" w:fill="F2DCDB"/>
          </w:tcPr>
          <w:p>
            <w:pPr>
              <w:ind w:left="20"/>
              <w:spacing w:after="0"/>
              <w:rPr>
                <w:sz w:val="20"/>
                <w:szCs w:val="20"/>
                <w:color w:val="auto"/>
              </w:rPr>
            </w:pPr>
            <w:r>
              <w:rPr>
                <w:rFonts w:ascii="Arial" w:cs="Arial" w:eastAsia="Arial" w:hAnsi="Arial"/>
                <w:sz w:val="16"/>
                <w:szCs w:val="16"/>
                <w:color w:val="auto"/>
              </w:rPr>
              <w:t>Total Company:</w:t>
            </w:r>
          </w:p>
        </w:tc>
        <w:tc>
          <w:tcPr>
            <w:tcW w:w="1400" w:type="dxa"/>
            <w:vAlign w:val="bottom"/>
            <w:shd w:val="clear" w:color="auto" w:fill="F2DCDB"/>
          </w:tcPr>
          <w:p>
            <w:pPr>
              <w:spacing w:after="0"/>
              <w:rPr>
                <w:sz w:val="18"/>
                <w:szCs w:val="18"/>
                <w:color w:val="auto"/>
              </w:rPr>
            </w:pPr>
          </w:p>
        </w:tc>
        <w:tc>
          <w:tcPr>
            <w:tcW w:w="1360" w:type="dxa"/>
            <w:vAlign w:val="bottom"/>
            <w:shd w:val="clear" w:color="auto" w:fill="F2DCDB"/>
          </w:tcPr>
          <w:p>
            <w:pPr>
              <w:spacing w:after="0"/>
              <w:rPr>
                <w:sz w:val="18"/>
                <w:szCs w:val="18"/>
                <w:color w:val="auto"/>
              </w:rPr>
            </w:pPr>
          </w:p>
        </w:tc>
        <w:tc>
          <w:tcPr>
            <w:tcW w:w="1160" w:type="dxa"/>
            <w:vAlign w:val="bottom"/>
            <w:shd w:val="clear" w:color="auto" w:fill="F2DC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1400" w:type="dxa"/>
            <w:vAlign w:val="bottom"/>
          </w:tcPr>
          <w:p>
            <w:pPr>
              <w:jc w:val="center"/>
              <w:spacing w:after="0"/>
              <w:rPr>
                <w:sz w:val="20"/>
                <w:szCs w:val="20"/>
                <w:color w:val="auto"/>
              </w:rPr>
            </w:pPr>
            <w:r>
              <w:rPr>
                <w:rFonts w:ascii="Arial" w:cs="Arial" w:eastAsia="Arial" w:hAnsi="Arial"/>
                <w:sz w:val="16"/>
                <w:szCs w:val="16"/>
                <w:color w:val="auto"/>
              </w:rPr>
              <w:t>$760,326</w:t>
            </w:r>
          </w:p>
        </w:tc>
        <w:tc>
          <w:tcPr>
            <w:tcW w:w="1360" w:type="dxa"/>
            <w:vAlign w:val="bottom"/>
          </w:tcPr>
          <w:p>
            <w:pPr>
              <w:jc w:val="center"/>
              <w:spacing w:after="0"/>
              <w:rPr>
                <w:sz w:val="20"/>
                <w:szCs w:val="20"/>
                <w:color w:val="auto"/>
              </w:rPr>
            </w:pPr>
            <w:r>
              <w:rPr>
                <w:rFonts w:ascii="Arial" w:cs="Arial" w:eastAsia="Arial" w:hAnsi="Arial"/>
                <w:sz w:val="16"/>
                <w:szCs w:val="16"/>
                <w:color w:val="auto"/>
              </w:rPr>
              <w:t>$702,126</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6"/>
                <w:szCs w:val="16"/>
                <w:b w:val="1"/>
                <w:bCs w:val="1"/>
                <w:color w:val="auto"/>
              </w:rPr>
              <w:t>Marketplace Revenue</w:t>
            </w:r>
          </w:p>
        </w:tc>
        <w:tc>
          <w:tcPr>
            <w:tcW w:w="1400" w:type="dxa"/>
            <w:vAlign w:val="bottom"/>
          </w:tcPr>
          <w:p>
            <w:pPr>
              <w:jc w:val="center"/>
              <w:spacing w:after="0"/>
              <w:rPr>
                <w:sz w:val="20"/>
                <w:szCs w:val="20"/>
                <w:color w:val="auto"/>
              </w:rPr>
            </w:pPr>
            <w:r>
              <w:rPr>
                <w:rFonts w:ascii="Arial" w:cs="Arial" w:eastAsia="Arial" w:hAnsi="Arial"/>
                <w:sz w:val="16"/>
                <w:szCs w:val="16"/>
                <w:color w:val="auto"/>
              </w:rPr>
              <w:t>$618,011</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$569,115</w:t>
            </w: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6"/>
                <w:szCs w:val="16"/>
                <w:b w:val="1"/>
                <w:bCs w:val="1"/>
                <w:color w:val="auto"/>
              </w:rPr>
              <w:t>Airline Technology Revenue</w:t>
            </w:r>
          </w:p>
        </w:tc>
        <w:tc>
          <w:tcPr>
            <w:tcW w:w="1400" w:type="dxa"/>
            <w:vAlign w:val="bottom"/>
          </w:tcPr>
          <w:p>
            <w:pPr>
              <w:jc w:val="center"/>
              <w:spacing w:after="0"/>
              <w:rPr>
                <w:sz w:val="20"/>
                <w:szCs w:val="20"/>
                <w:color w:val="auto"/>
              </w:rPr>
            </w:pPr>
            <w:r>
              <w:rPr>
                <w:rFonts w:ascii="Arial" w:cs="Arial" w:eastAsia="Arial" w:hAnsi="Arial"/>
                <w:sz w:val="16"/>
                <w:szCs w:val="16"/>
                <w:color w:val="auto"/>
              </w:rPr>
              <w:t>$142,315</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$133,011</w:t>
            </w: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0" w:type="dxa"/>
            <w:vAlign w:val="bottom"/>
          </w:tcPr>
          <w:p>
            <w:pPr>
              <w:jc w:val="center"/>
              <w:spacing w:after="0"/>
              <w:rPr>
                <w:sz w:val="20"/>
                <w:szCs w:val="20"/>
                <w:color w:val="auto"/>
              </w:rPr>
            </w:pPr>
            <w:r>
              <w:rPr>
                <w:rFonts w:ascii="Arial" w:cs="Arial" w:eastAsia="Arial" w:hAnsi="Arial"/>
                <w:sz w:val="16"/>
                <w:szCs w:val="16"/>
                <w:color w:val="auto"/>
              </w:rPr>
              <w:t>$115,917</w:t>
            </w:r>
          </w:p>
        </w:tc>
        <w:tc>
          <w:tcPr>
            <w:tcW w:w="1360" w:type="dxa"/>
            <w:vAlign w:val="bottom"/>
          </w:tcPr>
          <w:p>
            <w:pPr>
              <w:jc w:val="center"/>
              <w:spacing w:after="0"/>
              <w:rPr>
                <w:sz w:val="20"/>
                <w:szCs w:val="20"/>
                <w:color w:val="auto"/>
              </w:rPr>
            </w:pPr>
            <w:r>
              <w:rPr>
                <w:rFonts w:ascii="Arial" w:cs="Arial" w:eastAsia="Arial" w:hAnsi="Arial"/>
                <w:sz w:val="16"/>
                <w:szCs w:val="16"/>
                <w:color w:val="auto"/>
              </w:rPr>
              <w:t>$91,395</w:t>
            </w: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Operating Margin</w:t>
            </w: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15.2%</w:t>
            </w:r>
          </w:p>
        </w:tc>
        <w:tc>
          <w:tcPr>
            <w:tcW w:w="1360" w:type="dxa"/>
            <w:vAlign w:val="bottom"/>
          </w:tcPr>
          <w:p>
            <w:pPr>
              <w:jc w:val="center"/>
              <w:spacing w:after="0"/>
              <w:rPr>
                <w:sz w:val="20"/>
                <w:szCs w:val="20"/>
                <w:color w:val="auto"/>
              </w:rPr>
            </w:pPr>
            <w:r>
              <w:rPr>
                <w:rFonts w:ascii="Arial" w:cs="Arial" w:eastAsia="Arial" w:hAnsi="Arial"/>
                <w:sz w:val="16"/>
                <w:szCs w:val="16"/>
                <w:color w:val="auto"/>
              </w:rPr>
              <w:t>13.0%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$8,116</w:t>
            </w:r>
          </w:p>
        </w:tc>
        <w:tc>
          <w:tcPr>
            <w:tcW w:w="1360" w:type="dxa"/>
            <w:vAlign w:val="bottom"/>
          </w:tcPr>
          <w:p>
            <w:pPr>
              <w:jc w:val="center"/>
              <w:spacing w:after="0"/>
              <w:rPr>
                <w:sz w:val="20"/>
                <w:szCs w:val="20"/>
                <w:color w:val="auto"/>
              </w:rPr>
            </w:pPr>
            <w:r>
              <w:rPr>
                <w:rFonts w:ascii="Arial" w:cs="Arial" w:eastAsia="Arial" w:hAnsi="Arial"/>
                <w:sz w:val="16"/>
                <w:szCs w:val="16"/>
                <w:color w:val="auto"/>
              </w:rPr>
              <w:t>$35,335</w:t>
            </w: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3"/>
        </w:trPr>
        <w:tc>
          <w:tcPr>
            <w:tcW w:w="73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Diluted net income (loss) per share attributable to common stockholders (EPS) from</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9"/>
              </w:rPr>
              <w:t>$0.02</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rPr>
              <w:t>$(0.01)</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33"/>
        </w:trPr>
        <w:tc>
          <w:tcPr>
            <w:tcW w:w="7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continuing operations</w:t>
            </w:r>
          </w:p>
        </w:tc>
        <w:tc>
          <w:tcPr>
            <w:tcW w:w="14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732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rPr>
              <w:t>$158,710</w:t>
            </w:r>
          </w:p>
        </w:tc>
        <w:tc>
          <w:tcPr>
            <w:tcW w:w="1360" w:type="dxa"/>
            <w:vAlign w:val="bottom"/>
          </w:tcPr>
          <w:p>
            <w:pPr>
              <w:jc w:val="center"/>
              <w:spacing w:after="0"/>
              <w:rPr>
                <w:sz w:val="20"/>
                <w:szCs w:val="20"/>
                <w:color w:val="auto"/>
              </w:rPr>
            </w:pPr>
            <w:r>
              <w:rPr>
                <w:rFonts w:ascii="Arial" w:cs="Arial" w:eastAsia="Arial" w:hAnsi="Arial"/>
                <w:sz w:val="16"/>
                <w:szCs w:val="16"/>
                <w:color w:val="auto"/>
              </w:rPr>
              <w:t>$130,818</w:t>
            </w: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20.9%</w:t>
            </w:r>
          </w:p>
        </w:tc>
        <w:tc>
          <w:tcPr>
            <w:tcW w:w="1360" w:type="dxa"/>
            <w:vAlign w:val="bottom"/>
          </w:tcPr>
          <w:p>
            <w:pPr>
              <w:jc w:val="center"/>
              <w:spacing w:after="0"/>
              <w:rPr>
                <w:sz w:val="20"/>
                <w:szCs w:val="20"/>
                <w:color w:val="auto"/>
              </w:rPr>
            </w:pPr>
            <w:r>
              <w:rPr>
                <w:rFonts w:ascii="Arial" w:cs="Arial" w:eastAsia="Arial" w:hAnsi="Arial"/>
                <w:sz w:val="16"/>
                <w:szCs w:val="16"/>
                <w:color w:val="auto"/>
              </w:rPr>
              <w:t>18.6%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Normalized Adjusted EBITDA</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rPr>
              <w:t>$169,089</w:t>
            </w:r>
          </w:p>
        </w:tc>
        <w:tc>
          <w:tcPr>
            <w:tcW w:w="1360" w:type="dxa"/>
            <w:vAlign w:val="bottom"/>
          </w:tcPr>
          <w:p>
            <w:pPr>
              <w:jc w:val="center"/>
              <w:spacing w:after="0"/>
              <w:rPr>
                <w:sz w:val="20"/>
                <w:szCs w:val="20"/>
                <w:color w:val="auto"/>
              </w:rPr>
            </w:pPr>
            <w:r>
              <w:rPr>
                <w:rFonts w:ascii="Arial" w:cs="Arial" w:eastAsia="Arial" w:hAnsi="Arial"/>
                <w:sz w:val="16"/>
                <w:szCs w:val="16"/>
                <w:color w:val="auto"/>
              </w:rPr>
              <w:t>$139,656</w:t>
            </w: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Normalized Adjusted EBITDA Margin</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w w:val="96"/>
              </w:rPr>
              <w:t>22.2%</w:t>
            </w:r>
          </w:p>
        </w:tc>
        <w:tc>
          <w:tcPr>
            <w:tcW w:w="1360" w:type="dxa"/>
            <w:vAlign w:val="bottom"/>
          </w:tcPr>
          <w:p>
            <w:pPr>
              <w:jc w:val="center"/>
              <w:spacing w:after="0"/>
              <w:rPr>
                <w:sz w:val="20"/>
                <w:szCs w:val="20"/>
                <w:color w:val="auto"/>
              </w:rPr>
            </w:pPr>
            <w:r>
              <w:rPr>
                <w:rFonts w:ascii="Arial" w:cs="Arial" w:eastAsia="Arial" w:hAnsi="Arial"/>
                <w:sz w:val="16"/>
                <w:szCs w:val="16"/>
                <w:color w:val="auto"/>
              </w:rPr>
              <w:t>19.9%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Net Income</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rPr>
              <w:t>$24,293</w:t>
            </w:r>
          </w:p>
        </w:tc>
        <w:tc>
          <w:tcPr>
            <w:tcW w:w="1360" w:type="dxa"/>
            <w:vAlign w:val="bottom"/>
          </w:tcPr>
          <w:p>
            <w:pPr>
              <w:jc w:val="center"/>
              <w:spacing w:after="0"/>
              <w:rPr>
                <w:sz w:val="20"/>
                <w:szCs w:val="20"/>
                <w:color w:val="auto"/>
              </w:rPr>
            </w:pPr>
            <w:r>
              <w:rPr>
                <w:rFonts w:ascii="Arial" w:cs="Arial" w:eastAsia="Arial" w:hAnsi="Arial"/>
                <w:sz w:val="16"/>
                <w:szCs w:val="16"/>
                <w:color w:val="auto"/>
              </w:rPr>
              <w:t>$2,783</w:t>
            </w:r>
          </w:p>
        </w:tc>
        <w:tc>
          <w:tcPr>
            <w:tcW w:w="1160" w:type="dxa"/>
            <w:vAlign w:val="bottom"/>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EPS</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$0.06</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$0.01</w:t>
            </w:r>
          </w:p>
        </w:tc>
        <w:tc>
          <w:tcPr>
            <w:tcW w:w="116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used in operating activities</w:t>
            </w:r>
          </w:p>
        </w:tc>
        <w:tc>
          <w:tcPr>
            <w:tcW w:w="1400" w:type="dxa"/>
            <w:vAlign w:val="bottom"/>
          </w:tcPr>
          <w:p>
            <w:pPr>
              <w:jc w:val="center"/>
              <w:spacing w:after="0"/>
              <w:rPr>
                <w:sz w:val="20"/>
                <w:szCs w:val="20"/>
                <w:color w:val="auto"/>
              </w:rPr>
            </w:pPr>
            <w:r>
              <w:rPr>
                <w:rFonts w:ascii="Arial" w:cs="Arial" w:eastAsia="Arial" w:hAnsi="Arial"/>
                <w:sz w:val="16"/>
                <w:szCs w:val="16"/>
                <w:color w:val="auto"/>
              </w:rPr>
              <w:t>$(134,160)</w:t>
            </w:r>
          </w:p>
        </w:tc>
        <w:tc>
          <w:tcPr>
            <w:tcW w:w="1360" w:type="dxa"/>
            <w:vAlign w:val="bottom"/>
          </w:tcPr>
          <w:p>
            <w:pPr>
              <w:jc w:val="center"/>
              <w:spacing w:after="0"/>
              <w:rPr>
                <w:sz w:val="20"/>
                <w:szCs w:val="20"/>
                <w:color w:val="auto"/>
              </w:rPr>
            </w:pPr>
            <w:r>
              <w:rPr>
                <w:rFonts w:ascii="Arial" w:cs="Arial" w:eastAsia="Arial" w:hAnsi="Arial"/>
                <w:sz w:val="16"/>
                <w:szCs w:val="16"/>
                <w:color w:val="auto"/>
              </w:rPr>
              <w:t>$(63,961)</w:t>
            </w:r>
          </w:p>
        </w:tc>
        <w:tc>
          <w:tcPr>
            <w:tcW w:w="11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used in investing activities</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$(21,230)</w:t>
            </w:r>
          </w:p>
        </w:tc>
        <w:tc>
          <w:tcPr>
            <w:tcW w:w="1360" w:type="dxa"/>
            <w:vAlign w:val="bottom"/>
          </w:tcPr>
          <w:p>
            <w:pPr>
              <w:jc w:val="center"/>
              <w:spacing w:after="0"/>
              <w:rPr>
                <w:sz w:val="20"/>
                <w:szCs w:val="20"/>
                <w:color w:val="auto"/>
              </w:rPr>
            </w:pPr>
            <w:r>
              <w:rPr>
                <w:rFonts w:ascii="Arial" w:cs="Arial" w:eastAsia="Arial" w:hAnsi="Arial"/>
                <w:sz w:val="16"/>
                <w:szCs w:val="16"/>
                <w:color w:val="auto"/>
              </w:rPr>
              <w:t>$(7,230)</w:t>
            </w:r>
          </w:p>
        </w:tc>
        <w:tc>
          <w:tcPr>
            <w:tcW w:w="116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(used in) provided by financing activities</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$(92,006)</w:t>
            </w:r>
          </w:p>
        </w:tc>
        <w:tc>
          <w:tcPr>
            <w:tcW w:w="1360" w:type="dxa"/>
            <w:vAlign w:val="bottom"/>
          </w:tcPr>
          <w:p>
            <w:pPr>
              <w:jc w:val="center"/>
              <w:spacing w:after="0"/>
              <w:rPr>
                <w:sz w:val="20"/>
                <w:szCs w:val="20"/>
                <w:color w:val="auto"/>
              </w:rPr>
            </w:pPr>
            <w:r>
              <w:rPr>
                <w:rFonts w:ascii="Arial" w:cs="Arial" w:eastAsia="Arial" w:hAnsi="Arial"/>
                <w:sz w:val="16"/>
                <w:szCs w:val="16"/>
                <w:color w:val="auto"/>
              </w:rPr>
              <w:t>$13,208</w:t>
            </w:r>
          </w:p>
        </w:tc>
        <w:tc>
          <w:tcPr>
            <w:tcW w:w="116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Capitalized expenditures</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$(21,230)</w:t>
            </w:r>
          </w:p>
        </w:tc>
        <w:tc>
          <w:tcPr>
            <w:tcW w:w="1360" w:type="dxa"/>
            <w:vAlign w:val="bottom"/>
          </w:tcPr>
          <w:p>
            <w:pPr>
              <w:jc w:val="center"/>
              <w:spacing w:after="0"/>
              <w:rPr>
                <w:sz w:val="20"/>
                <w:szCs w:val="20"/>
                <w:color w:val="auto"/>
              </w:rPr>
            </w:pPr>
            <w:r>
              <w:rPr>
                <w:rFonts w:ascii="Arial" w:cs="Arial" w:eastAsia="Arial" w:hAnsi="Arial"/>
                <w:sz w:val="16"/>
                <w:szCs w:val="16"/>
                <w:color w:val="auto"/>
              </w:rPr>
              <w:t>$(16,871)</w:t>
            </w: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Free Cash Flow</w:t>
            </w:r>
            <w:r>
              <w:rPr>
                <w:rFonts w:ascii="Arial" w:cs="Arial" w:eastAsia="Arial" w:hAnsi="Arial"/>
                <w:sz w:val="21"/>
                <w:szCs w:val="21"/>
                <w:b w:val="1"/>
                <w:bCs w:val="1"/>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6"/>
                <w:szCs w:val="16"/>
                <w:color w:val="auto"/>
              </w:rPr>
              <w:t>$(155,390)</w:t>
            </w:r>
          </w:p>
        </w:tc>
        <w:tc>
          <w:tcPr>
            <w:tcW w:w="1360" w:type="dxa"/>
            <w:vAlign w:val="bottom"/>
          </w:tcPr>
          <w:p>
            <w:pPr>
              <w:jc w:val="center"/>
              <w:spacing w:after="0"/>
              <w:rPr>
                <w:sz w:val="20"/>
                <w:szCs w:val="20"/>
                <w:color w:val="auto"/>
              </w:rPr>
            </w:pPr>
            <w:r>
              <w:rPr>
                <w:rFonts w:ascii="Arial" w:cs="Arial" w:eastAsia="Arial" w:hAnsi="Arial"/>
                <w:sz w:val="16"/>
                <w:szCs w:val="16"/>
                <w:color w:val="auto"/>
              </w:rPr>
              <w:t>$(80,832)</w:t>
            </w: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Pro Forma Free Cash Flow</w:t>
            </w:r>
            <w:r>
              <w:rPr>
                <w:rFonts w:ascii="Arial" w:cs="Arial" w:eastAsia="Arial" w:hAnsi="Arial"/>
                <w:sz w:val="21"/>
                <w:szCs w:val="21"/>
                <w:b w:val="1"/>
                <w:bCs w:val="1"/>
                <w:color w:val="auto"/>
                <w:vertAlign w:val="superscript"/>
              </w:rPr>
              <w:t>(1)</w:t>
            </w:r>
          </w:p>
        </w:tc>
        <w:tc>
          <w:tcPr>
            <w:tcW w:w="1400" w:type="dxa"/>
            <w:vAlign w:val="bottom"/>
          </w:tcPr>
          <w:p>
            <w:pPr>
              <w:ind w:left="580"/>
              <w:spacing w:after="0"/>
              <w:rPr>
                <w:sz w:val="20"/>
                <w:szCs w:val="20"/>
                <w:color w:val="auto"/>
              </w:rPr>
            </w:pPr>
            <w:r>
              <w:rPr>
                <w:rFonts w:ascii="Arial" w:cs="Arial" w:eastAsia="Arial" w:hAnsi="Arial"/>
                <w:sz w:val="16"/>
                <w:szCs w:val="16"/>
                <w:color w:val="auto"/>
              </w:rPr>
              <w:t>NA</w:t>
            </w:r>
          </w:p>
        </w:tc>
        <w:tc>
          <w:tcPr>
            <w:tcW w:w="1360" w:type="dxa"/>
            <w:vAlign w:val="bottom"/>
          </w:tcPr>
          <w:p>
            <w:pPr>
              <w:jc w:val="center"/>
              <w:spacing w:after="0"/>
              <w:rPr>
                <w:sz w:val="20"/>
                <w:szCs w:val="20"/>
                <w:color w:val="auto"/>
              </w:rPr>
            </w:pPr>
            <w:r>
              <w:rPr>
                <w:rFonts w:ascii="Arial" w:cs="Arial" w:eastAsia="Arial" w:hAnsi="Arial"/>
                <w:sz w:val="16"/>
                <w:szCs w:val="16"/>
                <w:color w:val="auto"/>
              </w:rPr>
              <w:t>$(70,321)</w:t>
            </w:r>
          </w:p>
        </w:tc>
        <w:tc>
          <w:tcPr>
            <w:tcW w:w="11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Net Debt (total debt, less cash and cash equivalents)</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$3,795,267</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$4,613,756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F2DCDB"/>
          </w:tcPr>
          <w:p>
            <w:pPr>
              <w:ind w:left="20"/>
              <w:spacing w:after="0"/>
              <w:rPr>
                <w:sz w:val="20"/>
                <w:szCs w:val="20"/>
                <w:color w:val="auto"/>
              </w:rPr>
            </w:pPr>
            <w:r>
              <w:rPr>
                <w:rFonts w:ascii="Arial" w:cs="Arial" w:eastAsia="Arial" w:hAnsi="Arial"/>
                <w:sz w:val="16"/>
                <w:szCs w:val="16"/>
                <w:color w:val="auto"/>
              </w:rPr>
              <w:t>Volume Metrics:</w:t>
            </w:r>
          </w:p>
        </w:tc>
        <w:tc>
          <w:tcPr>
            <w:tcW w:w="1400" w:type="dxa"/>
            <w:vAlign w:val="bottom"/>
            <w:shd w:val="clear" w:color="auto" w:fill="F2DCDB"/>
          </w:tcPr>
          <w:p>
            <w:pPr>
              <w:spacing w:after="0"/>
              <w:rPr>
                <w:sz w:val="18"/>
                <w:szCs w:val="18"/>
                <w:color w:val="auto"/>
              </w:rPr>
            </w:pPr>
          </w:p>
        </w:tc>
        <w:tc>
          <w:tcPr>
            <w:tcW w:w="1360" w:type="dxa"/>
            <w:vAlign w:val="bottom"/>
            <w:shd w:val="clear" w:color="auto" w:fill="F2DCDB"/>
          </w:tcPr>
          <w:p>
            <w:pPr>
              <w:spacing w:after="0"/>
              <w:rPr>
                <w:sz w:val="18"/>
                <w:szCs w:val="18"/>
                <w:color w:val="auto"/>
              </w:rPr>
            </w:pPr>
          </w:p>
        </w:tc>
        <w:tc>
          <w:tcPr>
            <w:tcW w:w="1160" w:type="dxa"/>
            <w:vAlign w:val="bottom"/>
            <w:shd w:val="clear" w:color="auto" w:fill="F2DC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Total Bookings</w:t>
            </w:r>
          </w:p>
        </w:tc>
        <w:tc>
          <w:tcPr>
            <w:tcW w:w="1400" w:type="dxa"/>
            <w:vAlign w:val="bottom"/>
          </w:tcPr>
          <w:p>
            <w:pPr>
              <w:jc w:val="center"/>
              <w:spacing w:after="0"/>
              <w:rPr>
                <w:sz w:val="20"/>
                <w:szCs w:val="20"/>
                <w:color w:val="auto"/>
              </w:rPr>
            </w:pPr>
            <w:r>
              <w:rPr>
                <w:rFonts w:ascii="Arial" w:cs="Arial" w:eastAsia="Arial" w:hAnsi="Arial"/>
                <w:sz w:val="16"/>
                <w:szCs w:val="16"/>
                <w:color w:val="auto"/>
              </w:rPr>
              <w:t>101,262</w:t>
            </w:r>
          </w:p>
        </w:tc>
        <w:tc>
          <w:tcPr>
            <w:tcW w:w="1360" w:type="dxa"/>
            <w:vAlign w:val="bottom"/>
          </w:tcPr>
          <w:p>
            <w:pPr>
              <w:jc w:val="center"/>
              <w:spacing w:after="0"/>
              <w:rPr>
                <w:sz w:val="20"/>
                <w:szCs w:val="20"/>
                <w:color w:val="auto"/>
              </w:rPr>
            </w:pPr>
            <w:r>
              <w:rPr>
                <w:rFonts w:ascii="Arial" w:cs="Arial" w:eastAsia="Arial" w:hAnsi="Arial"/>
                <w:sz w:val="16"/>
                <w:szCs w:val="16"/>
                <w:color w:val="auto"/>
              </w:rPr>
              <w:t>96,356</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6"/>
                <w:szCs w:val="16"/>
                <w:b w:val="1"/>
                <w:bCs w:val="1"/>
                <w:color w:val="auto"/>
              </w:rPr>
              <w:t>Air Bookings</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86,973</w:t>
            </w:r>
          </w:p>
        </w:tc>
        <w:tc>
          <w:tcPr>
            <w:tcW w:w="1360" w:type="dxa"/>
            <w:vAlign w:val="bottom"/>
          </w:tcPr>
          <w:p>
            <w:pPr>
              <w:jc w:val="center"/>
              <w:spacing w:after="0"/>
              <w:rPr>
                <w:sz w:val="20"/>
                <w:szCs w:val="20"/>
                <w:color w:val="auto"/>
              </w:rPr>
            </w:pPr>
            <w:r>
              <w:rPr>
                <w:rFonts w:ascii="Arial" w:cs="Arial" w:eastAsia="Arial" w:hAnsi="Arial"/>
                <w:sz w:val="16"/>
                <w:szCs w:val="16"/>
                <w:color w:val="auto"/>
              </w:rPr>
              <w:t>82,438</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6"/>
                <w:szCs w:val="16"/>
                <w:b w:val="1"/>
                <w:bCs w:val="1"/>
                <w:color w:val="auto"/>
              </w:rPr>
              <w:t>Lodging and Other Bookings</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14,289</w:t>
            </w:r>
          </w:p>
        </w:tc>
        <w:tc>
          <w:tcPr>
            <w:tcW w:w="1360" w:type="dxa"/>
            <w:vAlign w:val="bottom"/>
          </w:tcPr>
          <w:p>
            <w:pPr>
              <w:jc w:val="center"/>
              <w:spacing w:after="0"/>
              <w:rPr>
                <w:sz w:val="20"/>
                <w:szCs w:val="20"/>
                <w:color w:val="auto"/>
              </w:rPr>
            </w:pPr>
            <w:r>
              <w:rPr>
                <w:rFonts w:ascii="Arial" w:cs="Arial" w:eastAsia="Arial" w:hAnsi="Arial"/>
                <w:sz w:val="16"/>
                <w:szCs w:val="16"/>
                <w:color w:val="auto"/>
              </w:rPr>
              <w:t>13,918</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Passengers Boarded</w:t>
            </w:r>
          </w:p>
        </w:tc>
        <w:tc>
          <w:tcPr>
            <w:tcW w:w="1400" w:type="dxa"/>
            <w:vAlign w:val="bottom"/>
          </w:tcPr>
          <w:p>
            <w:pPr>
              <w:jc w:val="center"/>
              <w:spacing w:after="0"/>
              <w:rPr>
                <w:sz w:val="20"/>
                <w:szCs w:val="20"/>
                <w:color w:val="auto"/>
              </w:rPr>
            </w:pPr>
            <w:r>
              <w:rPr>
                <w:rFonts w:ascii="Arial" w:cs="Arial" w:eastAsia="Arial" w:hAnsi="Arial"/>
                <w:sz w:val="16"/>
                <w:szCs w:val="16"/>
                <w:color w:val="auto"/>
              </w:rPr>
              <w:t>170,035</w:t>
            </w:r>
          </w:p>
        </w:tc>
        <w:tc>
          <w:tcPr>
            <w:tcW w:w="1360" w:type="dxa"/>
            <w:vAlign w:val="bottom"/>
          </w:tcPr>
          <w:p>
            <w:pPr>
              <w:jc w:val="center"/>
              <w:spacing w:after="0"/>
              <w:rPr>
                <w:sz w:val="20"/>
                <w:szCs w:val="20"/>
                <w:color w:val="auto"/>
              </w:rPr>
            </w:pPr>
            <w:r>
              <w:rPr>
                <w:rFonts w:ascii="Arial" w:cs="Arial" w:eastAsia="Arial" w:hAnsi="Arial"/>
                <w:sz w:val="16"/>
                <w:szCs w:val="16"/>
                <w:color w:val="auto"/>
              </w:rPr>
              <w:t>165,826</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Indicates non-GAAP financial measure; see descriptions and reconciliations below.</w:t>
      </w:r>
    </w:p>
    <w:p>
      <w:pPr>
        <w:ind w:left="20"/>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and Pro Forma Financial Outlook</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the second quarter and full-year 2026 financial outlook below:</w:t>
      </w:r>
    </w:p>
    <w:p>
      <w:pPr>
        <w:spacing w:after="0" w:line="310" w:lineRule="exact"/>
        <w:rPr>
          <w:sz w:val="20"/>
          <w:szCs w:val="20"/>
          <w:color w:val="auto"/>
        </w:rPr>
      </w:pPr>
    </w:p>
    <w:p>
      <w:pPr>
        <w:jc w:val="both"/>
        <w:ind w:left="660" w:hanging="328"/>
        <w:spacing w:after="0" w:line="327"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Second quarter Pro Forma Adjusted EBITDA guidance consists of expected net loss from continuing operations of approximately $63 million; less impact of acquisition-related amortization of approximately $8 million; expected stock-based compensation expense of approximately $18 million; expected depreciation and amortization of property and equipment and amortization of capitalized implementation costs of approximately $18 million; expected interest expense, inclusive of issuance costs and debt discounts, net of approximately $124 million; expected provision for income taxes of approximately $17 million; expected pro forma adjustments of approximately $8 million associated with costs previously allocated to Hospitality Solutions.</w:t>
      </w:r>
    </w:p>
    <w:p>
      <w:pPr>
        <w:spacing w:after="0" w:line="196" w:lineRule="exact"/>
        <w:rPr>
          <w:rFonts w:ascii="Arial" w:cs="Arial" w:eastAsia="Arial" w:hAnsi="Arial"/>
          <w:sz w:val="20"/>
          <w:szCs w:val="20"/>
          <w:color w:val="auto"/>
        </w:rPr>
      </w:pPr>
    </w:p>
    <w:p>
      <w:pPr>
        <w:jc w:val="both"/>
        <w:ind w:left="660" w:hanging="328"/>
        <w:spacing w:after="0" w:line="346"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Full-year Pro Forma Adjusted EBITDA guidance consists of expected net loss from continuing operations of approximately $128 million; less impact of acquisition-related amortization of approximately $31 million; expected stock-based compensation expense of approximately $59 million; expected depreciation and amortization of property and equipment and amortization of capitalized implementation costs of approximately $73 million; expected interest expense, inclusive of issuance costs and debt discounts, net of approximately $491 million; expected restructuring and other expenses, net of approximately $6 million; expected provision for income taxes of approximately $26 million; expected pro forma adjustments of approximately $27 million associated with costs previously allocated to Hospitality Solutions.</w:t>
      </w:r>
    </w:p>
    <w:p>
      <w:pPr>
        <w:spacing w:after="0" w:line="198" w:lineRule="exact"/>
        <w:rPr>
          <w:rFonts w:ascii="Arial" w:cs="Arial" w:eastAsia="Arial" w:hAnsi="Arial"/>
          <w:sz w:val="19"/>
          <w:szCs w:val="19"/>
          <w:color w:val="auto"/>
        </w:rPr>
      </w:pPr>
    </w:p>
    <w:p>
      <w:pPr>
        <w:ind w:left="660" w:hanging="328"/>
        <w:spacing w:after="0" w:line="34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 year Free Cash Flow guidance consists of expected cash provided by operating activities of approximately $10 million, and less expected additions to property and equipment of approximately $80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and Full Year 2026 Pro Forma Financial Outlook</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Sabre’s second quarter and full year 2026 outlook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46" w:lineRule="exact"/>
        <w:rPr>
          <w:sz w:val="20"/>
          <w:szCs w:val="20"/>
          <w:color w:val="auto"/>
        </w:rPr>
      </w:pPr>
    </w:p>
    <w:tbl>
      <w:tblPr>
        <w:tblLayout w:type="fixed"/>
        <w:tblInd w:w="1350" w:type="dxa"/>
        <w:tblCellMar>
          <w:top w:w="0" w:type="dxa"/>
          <w:left w:w="0" w:type="dxa"/>
          <w:bottom w:w="0" w:type="dxa"/>
          <w:right w:w="0" w:type="dxa"/>
        </w:tblCellMar>
      </w:tblPr>
      <w:tr>
        <w:trPr>
          <w:trHeight w:val="216"/>
        </w:trPr>
        <w:tc>
          <w:tcPr>
            <w:tcW w:w="3400" w:type="dxa"/>
            <w:vAlign w:val="bottom"/>
            <w:tcBorders>
              <w:top w:val="single" w:sz="8" w:color="auto"/>
              <w:left w:val="single" w:sz="8" w:color="auto"/>
              <w:right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center"/>
              <w:ind w:right="840"/>
              <w:spacing w:after="0" w:line="216" w:lineRule="exact"/>
              <w:rPr>
                <w:sz w:val="20"/>
                <w:szCs w:val="20"/>
                <w:color w:val="auto"/>
              </w:rPr>
            </w:pPr>
            <w:r>
              <w:rPr>
                <w:rFonts w:ascii="Arial" w:cs="Arial" w:eastAsia="Arial" w:hAnsi="Arial"/>
                <w:sz w:val="20"/>
                <w:szCs w:val="20"/>
                <w:b w:val="1"/>
                <w:bCs w:val="1"/>
                <w:color w:val="auto"/>
                <w:w w:val="98"/>
              </w:rPr>
              <w:t>Q2 2026</w:t>
            </w:r>
          </w:p>
        </w:tc>
        <w:tc>
          <w:tcPr>
            <w:tcW w:w="1000" w:type="dxa"/>
            <w:vAlign w:val="bottom"/>
            <w:tcBorders>
              <w:top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center"/>
              <w:ind w:right="940"/>
              <w:spacing w:after="0" w:line="216" w:lineRule="exact"/>
              <w:rPr>
                <w:sz w:val="20"/>
                <w:szCs w:val="20"/>
                <w:color w:val="auto"/>
              </w:rPr>
            </w:pPr>
            <w:r>
              <w:rPr>
                <w:rFonts w:ascii="Arial" w:cs="Arial" w:eastAsia="Arial" w:hAnsi="Arial"/>
                <w:sz w:val="20"/>
                <w:szCs w:val="20"/>
                <w:b w:val="1"/>
                <w:bCs w:val="1"/>
                <w:color w:val="auto"/>
                <w:w w:val="97"/>
              </w:rPr>
              <w:t>FY 2026</w:t>
            </w:r>
          </w:p>
        </w:tc>
        <w:tc>
          <w:tcPr>
            <w:tcW w:w="0" w:type="dxa"/>
            <w:vAlign w:val="bottom"/>
          </w:tcPr>
          <w:p>
            <w:pPr>
              <w:spacing w:after="0"/>
              <w:rPr>
                <w:sz w:val="1"/>
                <w:szCs w:val="1"/>
                <w:color w:val="auto"/>
              </w:rPr>
            </w:pP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00" w:type="dxa"/>
            <w:vAlign w:val="bottom"/>
            <w:tcBorders>
              <w:left w:val="single" w:sz="8" w:color="auto"/>
              <w:right w:val="single" w:sz="8" w:color="auto"/>
            </w:tcBorders>
            <w:vMerge w:val="restart"/>
            <w:shd w:val="clear" w:color="auto" w:fill="DBDBDB"/>
          </w:tcPr>
          <w:p>
            <w:pPr>
              <w:jc w:val="center"/>
              <w:spacing w:after="0"/>
              <w:rPr>
                <w:sz w:val="20"/>
                <w:szCs w:val="20"/>
                <w:color w:val="auto"/>
              </w:rPr>
            </w:pPr>
            <w:r>
              <w:rPr>
                <w:rFonts w:ascii="Arial" w:cs="Arial" w:eastAsia="Arial" w:hAnsi="Arial"/>
                <w:sz w:val="20"/>
                <w:szCs w:val="20"/>
                <w:b w:val="1"/>
                <w:bCs w:val="1"/>
                <w:color w:val="auto"/>
                <w:w w:val="99"/>
              </w:rPr>
              <w:t>Air Distribution Bookings</w:t>
            </w:r>
          </w:p>
        </w:tc>
        <w:tc>
          <w:tcPr>
            <w:tcW w:w="2500" w:type="dxa"/>
            <w:vAlign w:val="bottom"/>
            <w:gridSpan w:val="3"/>
            <w:shd w:val="clear" w:color="auto" w:fill="DBDBDB"/>
          </w:tcPr>
          <w:p>
            <w:pPr>
              <w:jc w:val="center"/>
              <w:spacing w:after="0" w:line="185" w:lineRule="exact"/>
              <w:rPr>
                <w:sz w:val="20"/>
                <w:szCs w:val="20"/>
                <w:color w:val="auto"/>
              </w:rPr>
            </w:pPr>
            <w:r>
              <w:rPr>
                <w:rFonts w:ascii="Arial" w:cs="Arial" w:eastAsia="Arial" w:hAnsi="Arial"/>
                <w:sz w:val="20"/>
                <w:szCs w:val="20"/>
                <w:b w:val="1"/>
                <w:bCs w:val="1"/>
                <w:color w:val="auto"/>
                <w:w w:val="99"/>
              </w:rPr>
              <w:t>Near flat</w:t>
            </w:r>
          </w:p>
        </w:tc>
        <w:tc>
          <w:tcPr>
            <w:tcW w:w="2680" w:type="dxa"/>
            <w:vAlign w:val="bottom"/>
            <w:tcBorders>
              <w:right w:val="single" w:sz="8" w:color="auto"/>
            </w:tcBorders>
            <w:gridSpan w:val="3"/>
            <w:shd w:val="clear" w:color="auto" w:fill="DBDBDB"/>
          </w:tcPr>
          <w:p>
            <w:pPr>
              <w:jc w:val="center"/>
              <w:spacing w:after="0" w:line="185" w:lineRule="exact"/>
              <w:rPr>
                <w:sz w:val="20"/>
                <w:szCs w:val="20"/>
                <w:color w:val="auto"/>
              </w:rPr>
            </w:pPr>
            <w:r>
              <w:rPr>
                <w:rFonts w:ascii="Arial" w:cs="Arial" w:eastAsia="Arial" w:hAnsi="Arial"/>
                <w:sz w:val="20"/>
                <w:szCs w:val="20"/>
                <w:b w:val="1"/>
                <w:bCs w:val="1"/>
                <w:color w:val="auto"/>
                <w:w w:val="98"/>
              </w:rPr>
              <w:t>Low-to-mid-single-digit</w:t>
            </w:r>
          </w:p>
        </w:tc>
        <w:tc>
          <w:tcPr>
            <w:tcW w:w="0" w:type="dxa"/>
            <w:vAlign w:val="bottom"/>
          </w:tcPr>
          <w:p>
            <w:pPr>
              <w:spacing w:after="0"/>
              <w:rPr>
                <w:sz w:val="1"/>
                <w:szCs w:val="1"/>
                <w:color w:val="auto"/>
              </w:rPr>
            </w:pPr>
          </w:p>
        </w:tc>
      </w:tr>
      <w:tr>
        <w:trPr>
          <w:trHeight w:val="165"/>
        </w:trPr>
        <w:tc>
          <w:tcPr>
            <w:tcW w:w="3400" w:type="dxa"/>
            <w:vAlign w:val="bottom"/>
            <w:tcBorders>
              <w:left w:val="single" w:sz="8" w:color="auto"/>
              <w:right w:val="single" w:sz="8" w:color="auto"/>
            </w:tcBorders>
            <w:vMerge w:val="continue"/>
            <w:shd w:val="clear" w:color="auto" w:fill="DBDBDB"/>
          </w:tcPr>
          <w:p>
            <w:pPr>
              <w:spacing w:after="0"/>
              <w:rPr>
                <w:sz w:val="14"/>
                <w:szCs w:val="14"/>
                <w:color w:val="auto"/>
              </w:rPr>
            </w:pPr>
          </w:p>
        </w:tc>
        <w:tc>
          <w:tcPr>
            <w:tcW w:w="2500" w:type="dxa"/>
            <w:vAlign w:val="bottom"/>
            <w:gridSpan w:val="3"/>
            <w:vMerge w:val="restart"/>
            <w:shd w:val="clear" w:color="auto" w:fill="DBDBDB"/>
          </w:tcPr>
          <w:p>
            <w:pPr>
              <w:jc w:val="center"/>
              <w:spacing w:after="0"/>
              <w:rPr>
                <w:sz w:val="20"/>
                <w:szCs w:val="20"/>
                <w:color w:val="auto"/>
              </w:rPr>
            </w:pPr>
            <w:r>
              <w:rPr>
                <w:rFonts w:ascii="Arial" w:cs="Arial" w:eastAsia="Arial" w:hAnsi="Arial"/>
                <w:sz w:val="20"/>
                <w:szCs w:val="20"/>
                <w:b w:val="1"/>
                <w:bCs w:val="1"/>
                <w:color w:val="auto"/>
                <w:w w:val="97"/>
              </w:rPr>
              <w:t>YoY growth</w:t>
            </w:r>
          </w:p>
        </w:tc>
        <w:tc>
          <w:tcPr>
            <w:tcW w:w="2680" w:type="dxa"/>
            <w:vAlign w:val="bottom"/>
            <w:tcBorders>
              <w:right w:val="single" w:sz="8" w:color="auto"/>
            </w:tcBorders>
            <w:gridSpan w:val="3"/>
            <w:vMerge w:val="restart"/>
            <w:shd w:val="clear" w:color="auto" w:fill="DBDBDB"/>
          </w:tcPr>
          <w:p>
            <w:pPr>
              <w:jc w:val="center"/>
              <w:spacing w:after="0"/>
              <w:rPr>
                <w:sz w:val="20"/>
                <w:szCs w:val="20"/>
                <w:color w:val="auto"/>
              </w:rPr>
            </w:pPr>
            <w:r>
              <w:rPr>
                <w:rFonts w:ascii="Arial" w:cs="Arial" w:eastAsia="Arial" w:hAnsi="Arial"/>
                <w:sz w:val="20"/>
                <w:szCs w:val="20"/>
                <w:b w:val="1"/>
                <w:bCs w:val="1"/>
                <w:color w:val="auto"/>
                <w:w w:val="97"/>
              </w:rPr>
              <w:t>YoY growth</w:t>
            </w:r>
          </w:p>
        </w:tc>
        <w:tc>
          <w:tcPr>
            <w:tcW w:w="0" w:type="dxa"/>
            <w:vAlign w:val="bottom"/>
          </w:tcPr>
          <w:p>
            <w:pPr>
              <w:spacing w:after="0"/>
              <w:rPr>
                <w:sz w:val="1"/>
                <w:szCs w:val="1"/>
                <w:color w:val="auto"/>
              </w:rPr>
            </w:pPr>
          </w:p>
        </w:tc>
      </w:tr>
      <w:tr>
        <w:trPr>
          <w:trHeight w:val="88"/>
        </w:trPr>
        <w:tc>
          <w:tcPr>
            <w:tcW w:w="3400" w:type="dxa"/>
            <w:vAlign w:val="bottom"/>
            <w:tcBorders>
              <w:left w:val="single" w:sz="8" w:color="auto"/>
              <w:right w:val="single" w:sz="8" w:color="auto"/>
            </w:tcBorders>
            <w:shd w:val="clear" w:color="auto" w:fill="DBDBDB"/>
          </w:tcPr>
          <w:p>
            <w:pPr>
              <w:spacing w:after="0"/>
              <w:rPr>
                <w:sz w:val="7"/>
                <w:szCs w:val="7"/>
                <w:color w:val="auto"/>
              </w:rPr>
            </w:pPr>
          </w:p>
        </w:tc>
        <w:tc>
          <w:tcPr>
            <w:tcW w:w="2500" w:type="dxa"/>
            <w:vAlign w:val="bottom"/>
            <w:gridSpan w:val="3"/>
            <w:vMerge w:val="continue"/>
            <w:shd w:val="clear" w:color="auto" w:fill="DBDBDB"/>
          </w:tcPr>
          <w:p>
            <w:pPr>
              <w:spacing w:after="0"/>
              <w:rPr>
                <w:sz w:val="7"/>
                <w:szCs w:val="7"/>
                <w:color w:val="auto"/>
              </w:rPr>
            </w:pPr>
          </w:p>
        </w:tc>
        <w:tc>
          <w:tcPr>
            <w:tcW w:w="2680" w:type="dxa"/>
            <w:vAlign w:val="bottom"/>
            <w:tcBorders>
              <w:right w:val="single" w:sz="8" w:color="auto"/>
            </w:tcBorders>
            <w:gridSpan w:val="3"/>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Revenue</w:t>
            </w:r>
          </w:p>
        </w:tc>
        <w:tc>
          <w:tcPr>
            <w:tcW w:w="2500" w:type="dxa"/>
            <w:vAlign w:val="bottom"/>
            <w:gridSpan w:val="3"/>
          </w:tcPr>
          <w:p>
            <w:pPr>
              <w:jc w:val="center"/>
              <w:spacing w:after="0" w:line="192" w:lineRule="exact"/>
              <w:rPr>
                <w:sz w:val="20"/>
                <w:szCs w:val="20"/>
                <w:color w:val="auto"/>
              </w:rPr>
            </w:pPr>
            <w:r>
              <w:rPr>
                <w:rFonts w:ascii="Arial" w:cs="Arial" w:eastAsia="Arial" w:hAnsi="Arial"/>
                <w:sz w:val="20"/>
                <w:szCs w:val="20"/>
                <w:b w:val="1"/>
                <w:bCs w:val="1"/>
                <w:color w:val="auto"/>
                <w:w w:val="97"/>
              </w:rPr>
              <w:t>Flat-to-nominal YoY</w:t>
            </w:r>
          </w:p>
        </w:tc>
        <w:tc>
          <w:tcPr>
            <w:tcW w:w="2680" w:type="dxa"/>
            <w:vAlign w:val="bottom"/>
            <w:tcBorders>
              <w:right w:val="single" w:sz="8" w:color="auto"/>
            </w:tcBorders>
            <w:gridSpan w:val="3"/>
          </w:tcPr>
          <w:p>
            <w:pPr>
              <w:jc w:val="center"/>
              <w:spacing w:after="0" w:line="192" w:lineRule="exact"/>
              <w:rPr>
                <w:sz w:val="20"/>
                <w:szCs w:val="20"/>
                <w:color w:val="auto"/>
              </w:rPr>
            </w:pPr>
            <w:r>
              <w:rPr>
                <w:rFonts w:ascii="Arial" w:cs="Arial" w:eastAsia="Arial" w:hAnsi="Arial"/>
                <w:sz w:val="20"/>
                <w:szCs w:val="20"/>
                <w:b w:val="1"/>
                <w:bCs w:val="1"/>
                <w:color w:val="auto"/>
                <w:w w:val="98"/>
              </w:rPr>
              <w:t>Low-to-mid-single-digit</w:t>
            </w:r>
          </w:p>
        </w:tc>
        <w:tc>
          <w:tcPr>
            <w:tcW w:w="0" w:type="dxa"/>
            <w:vAlign w:val="bottom"/>
          </w:tcPr>
          <w:p>
            <w:pPr>
              <w:spacing w:after="0"/>
              <w:rPr>
                <w:sz w:val="1"/>
                <w:szCs w:val="1"/>
                <w:color w:val="auto"/>
              </w:rPr>
            </w:pPr>
          </w:p>
        </w:tc>
      </w:tr>
      <w:tr>
        <w:trPr>
          <w:trHeight w:val="165"/>
        </w:trPr>
        <w:tc>
          <w:tcPr>
            <w:tcW w:w="3400" w:type="dxa"/>
            <w:vAlign w:val="bottom"/>
            <w:tcBorders>
              <w:left w:val="single" w:sz="8" w:color="auto"/>
              <w:right w:val="single" w:sz="8" w:color="auto"/>
            </w:tcBorders>
            <w:vMerge w:val="continue"/>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gridSpan w:val="2"/>
            <w:vMerge w:val="restart"/>
          </w:tcPr>
          <w:p>
            <w:pPr>
              <w:jc w:val="center"/>
              <w:ind w:right="840"/>
              <w:spacing w:after="0"/>
              <w:rPr>
                <w:sz w:val="20"/>
                <w:szCs w:val="20"/>
                <w:color w:val="auto"/>
              </w:rPr>
            </w:pPr>
            <w:r>
              <w:rPr>
                <w:rFonts w:ascii="Arial" w:cs="Arial" w:eastAsia="Arial" w:hAnsi="Arial"/>
                <w:sz w:val="20"/>
                <w:szCs w:val="20"/>
                <w:b w:val="1"/>
                <w:bCs w:val="1"/>
                <w:color w:val="auto"/>
                <w:w w:val="97"/>
              </w:rPr>
              <w:t>Growth</w:t>
            </w:r>
          </w:p>
        </w:tc>
        <w:tc>
          <w:tcPr>
            <w:tcW w:w="26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20"/>
                <w:szCs w:val="20"/>
                <w:b w:val="1"/>
                <w:bCs w:val="1"/>
                <w:color w:val="auto"/>
                <w:w w:val="97"/>
              </w:rPr>
              <w:t>YoY growth</w:t>
            </w:r>
          </w:p>
        </w:tc>
        <w:tc>
          <w:tcPr>
            <w:tcW w:w="0" w:type="dxa"/>
            <w:vAlign w:val="bottom"/>
          </w:tcPr>
          <w:p>
            <w:pPr>
              <w:spacing w:after="0"/>
              <w:rPr>
                <w:sz w:val="1"/>
                <w:szCs w:val="1"/>
                <w:color w:val="auto"/>
              </w:rPr>
            </w:pPr>
          </w:p>
        </w:tc>
      </w:tr>
      <w:tr>
        <w:trPr>
          <w:trHeight w:val="88"/>
        </w:trPr>
        <w:tc>
          <w:tcPr>
            <w:tcW w:w="3400" w:type="dxa"/>
            <w:vAlign w:val="bottom"/>
            <w:tcBorders>
              <w:left w:val="single" w:sz="8" w:color="auto"/>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6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400" w:type="dxa"/>
            <w:vAlign w:val="bottom"/>
            <w:tcBorders>
              <w:left w:val="single" w:sz="8" w:color="auto"/>
              <w:right w:val="single" w:sz="8" w:color="auto"/>
            </w:tcBorders>
            <w:shd w:val="clear" w:color="auto" w:fill="DBDBDB"/>
          </w:tcPr>
          <w:p>
            <w:pPr>
              <w:jc w:val="center"/>
              <w:spacing w:after="0" w:line="192" w:lineRule="exact"/>
              <w:rPr>
                <w:sz w:val="20"/>
                <w:szCs w:val="20"/>
                <w:color w:val="auto"/>
              </w:rPr>
            </w:pPr>
            <w:r>
              <w:rPr>
                <w:rFonts w:ascii="Arial" w:cs="Arial" w:eastAsia="Arial" w:hAnsi="Arial"/>
                <w:sz w:val="20"/>
                <w:szCs w:val="20"/>
                <w:b w:val="1"/>
                <w:bCs w:val="1"/>
                <w:color w:val="auto"/>
                <w:w w:val="99"/>
              </w:rPr>
              <w:t>Pro Forma</w:t>
            </w:r>
          </w:p>
        </w:tc>
        <w:tc>
          <w:tcPr>
            <w:tcW w:w="900" w:type="dxa"/>
            <w:vAlign w:val="bottom"/>
            <w:shd w:val="clear" w:color="auto" w:fill="DBDBDB"/>
          </w:tcPr>
          <w:p>
            <w:pPr>
              <w:spacing w:after="0"/>
              <w:rPr>
                <w:sz w:val="16"/>
                <w:szCs w:val="16"/>
                <w:color w:val="auto"/>
              </w:rPr>
            </w:pPr>
          </w:p>
        </w:tc>
        <w:tc>
          <w:tcPr>
            <w:tcW w:w="1600" w:type="dxa"/>
            <w:vAlign w:val="bottom"/>
            <w:gridSpan w:val="2"/>
            <w:shd w:val="clear" w:color="auto" w:fill="DBDBDB"/>
          </w:tcPr>
          <w:p>
            <w:pPr>
              <w:jc w:val="center"/>
              <w:ind w:right="840"/>
              <w:spacing w:after="0" w:line="192" w:lineRule="exact"/>
              <w:rPr>
                <w:sz w:val="20"/>
                <w:szCs w:val="20"/>
                <w:color w:val="auto"/>
              </w:rPr>
            </w:pPr>
            <w:r>
              <w:rPr>
                <w:rFonts w:ascii="Arial" w:cs="Arial" w:eastAsia="Arial" w:hAnsi="Arial"/>
                <w:sz w:val="20"/>
                <w:szCs w:val="20"/>
                <w:b w:val="1"/>
                <w:bCs w:val="1"/>
                <w:color w:val="auto"/>
                <w:w w:val="98"/>
              </w:rPr>
              <w:t>~$130M</w:t>
            </w:r>
          </w:p>
        </w:tc>
        <w:tc>
          <w:tcPr>
            <w:tcW w:w="1000" w:type="dxa"/>
            <w:vAlign w:val="bottom"/>
            <w:shd w:val="clear" w:color="auto" w:fill="DBDBDB"/>
          </w:tcPr>
          <w:p>
            <w:pPr>
              <w:spacing w:after="0"/>
              <w:rPr>
                <w:sz w:val="16"/>
                <w:szCs w:val="16"/>
                <w:color w:val="auto"/>
              </w:rPr>
            </w:pPr>
          </w:p>
        </w:tc>
        <w:tc>
          <w:tcPr>
            <w:tcW w:w="1680" w:type="dxa"/>
            <w:vAlign w:val="bottom"/>
            <w:tcBorders>
              <w:right w:val="single" w:sz="8" w:color="auto"/>
            </w:tcBorders>
            <w:gridSpan w:val="2"/>
            <w:shd w:val="clear" w:color="auto" w:fill="DBDBDB"/>
          </w:tcPr>
          <w:p>
            <w:pPr>
              <w:jc w:val="center"/>
              <w:ind w:right="960"/>
              <w:spacing w:after="0" w:line="192" w:lineRule="exact"/>
              <w:rPr>
                <w:sz w:val="20"/>
                <w:szCs w:val="20"/>
                <w:color w:val="auto"/>
              </w:rPr>
            </w:pPr>
            <w:r>
              <w:rPr>
                <w:rFonts w:ascii="Arial" w:cs="Arial" w:eastAsia="Arial" w:hAnsi="Arial"/>
                <w:sz w:val="20"/>
                <w:szCs w:val="20"/>
                <w:b w:val="1"/>
                <w:bCs w:val="1"/>
                <w:color w:val="auto"/>
                <w:w w:val="98"/>
              </w:rPr>
              <w:t>~$585M</w:t>
            </w:r>
          </w:p>
        </w:tc>
        <w:tc>
          <w:tcPr>
            <w:tcW w:w="0" w:type="dxa"/>
            <w:vAlign w:val="bottom"/>
          </w:tcPr>
          <w:p>
            <w:pPr>
              <w:spacing w:after="0"/>
              <w:rPr>
                <w:sz w:val="1"/>
                <w:szCs w:val="1"/>
                <w:color w:val="auto"/>
              </w:rPr>
            </w:pPr>
          </w:p>
        </w:tc>
      </w:tr>
      <w:tr>
        <w:trPr>
          <w:trHeight w:val="253"/>
        </w:trPr>
        <w:tc>
          <w:tcPr>
            <w:tcW w:w="3400" w:type="dxa"/>
            <w:vAlign w:val="bottom"/>
            <w:tcBorders>
              <w:left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20"/>
                <w:szCs w:val="20"/>
                <w:b w:val="1"/>
                <w:bCs w:val="1"/>
                <w:color w:val="auto"/>
                <w:w w:val="99"/>
              </w:rPr>
              <w:t>Adjusted EBITDA</w:t>
            </w:r>
          </w:p>
        </w:tc>
        <w:tc>
          <w:tcPr>
            <w:tcW w:w="900" w:type="dxa"/>
            <w:vAlign w:val="bottom"/>
            <w:shd w:val="clear" w:color="auto" w:fill="DBDBDB"/>
          </w:tcPr>
          <w:p>
            <w:pPr>
              <w:spacing w:after="0"/>
              <w:rPr>
                <w:sz w:val="22"/>
                <w:szCs w:val="22"/>
                <w:color w:val="auto"/>
              </w:rPr>
            </w:pPr>
          </w:p>
        </w:tc>
        <w:tc>
          <w:tcPr>
            <w:tcW w:w="1600" w:type="dxa"/>
            <w:vAlign w:val="bottom"/>
            <w:gridSpan w:val="2"/>
            <w:shd w:val="clear" w:color="auto" w:fill="DBDBDB"/>
          </w:tcPr>
          <w:p>
            <w:pPr>
              <w:jc w:val="center"/>
              <w:ind w:right="840"/>
              <w:spacing w:after="0"/>
              <w:rPr>
                <w:sz w:val="20"/>
                <w:szCs w:val="20"/>
                <w:color w:val="auto"/>
              </w:rPr>
            </w:pPr>
            <w:r>
              <w:rPr>
                <w:rFonts w:ascii="Arial" w:cs="Arial" w:eastAsia="Arial" w:hAnsi="Arial"/>
                <w:sz w:val="18"/>
                <w:szCs w:val="18"/>
                <w:b w:val="1"/>
                <w:bCs w:val="1"/>
                <w:color w:val="auto"/>
                <w:w w:val="99"/>
              </w:rPr>
              <w:t>+2% YoY</w:t>
            </w:r>
          </w:p>
        </w:tc>
        <w:tc>
          <w:tcPr>
            <w:tcW w:w="2680" w:type="dxa"/>
            <w:vAlign w:val="bottom"/>
            <w:tcBorders>
              <w:right w:val="single" w:sz="8" w:color="auto"/>
            </w:tcBorders>
            <w:gridSpan w:val="3"/>
            <w:shd w:val="clear" w:color="auto" w:fill="DBDBDB"/>
          </w:tcPr>
          <w:p>
            <w:pPr>
              <w:jc w:val="center"/>
              <w:spacing w:after="0"/>
              <w:rPr>
                <w:sz w:val="20"/>
                <w:szCs w:val="20"/>
                <w:color w:val="auto"/>
              </w:rPr>
            </w:pPr>
            <w:r>
              <w:rPr>
                <w:rFonts w:ascii="Arial" w:cs="Arial" w:eastAsia="Arial" w:hAnsi="Arial"/>
                <w:sz w:val="18"/>
                <w:szCs w:val="18"/>
                <w:b w:val="1"/>
                <w:bCs w:val="1"/>
                <w:color w:val="auto"/>
                <w:w w:val="96"/>
              </w:rPr>
              <w:t>+9% YoY</w:t>
            </w:r>
          </w:p>
        </w:tc>
        <w:tc>
          <w:tcPr>
            <w:tcW w:w="0" w:type="dxa"/>
            <w:vAlign w:val="bottom"/>
          </w:tcPr>
          <w:p>
            <w:pPr>
              <w:spacing w:after="0"/>
              <w:rPr>
                <w:sz w:val="1"/>
                <w:szCs w:val="1"/>
                <w:color w:val="auto"/>
              </w:rPr>
            </w:pPr>
          </w:p>
        </w:tc>
      </w:tr>
      <w:tr>
        <w:trPr>
          <w:trHeight w:val="257"/>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Free Cash Flow</w:t>
            </w:r>
          </w:p>
        </w:tc>
        <w:tc>
          <w:tcPr>
            <w:tcW w:w="9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80" w:type="dxa"/>
            <w:vAlign w:val="bottom"/>
            <w:tcBorders>
              <w:bottom w:val="single" w:sz="8" w:color="auto"/>
              <w:right w:val="single" w:sz="8" w:color="auto"/>
            </w:tcBorders>
            <w:gridSpan w:val="2"/>
          </w:tcPr>
          <w:p>
            <w:pPr>
              <w:jc w:val="center"/>
              <w:ind w:right="940"/>
              <w:spacing w:after="0"/>
              <w:rPr>
                <w:sz w:val="20"/>
                <w:szCs w:val="20"/>
                <w:color w:val="auto"/>
              </w:rPr>
            </w:pPr>
            <w:r>
              <w:rPr>
                <w:rFonts w:ascii="Arial" w:cs="Arial" w:eastAsia="Arial" w:hAnsi="Arial"/>
                <w:sz w:val="20"/>
                <w:szCs w:val="20"/>
                <w:b w:val="1"/>
                <w:bCs w:val="1"/>
                <w:color w:val="auto"/>
                <w:w w:val="98"/>
              </w:rPr>
              <w:t>~($70M)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312"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Sabre will conduct its first quarter 2026 investor conference call today at 9:00 a.m. ET. The live webcast and accompanying slide presentation can be accessed via the Investor Relations section of our website, investors.sabre.com. A replay of the event will be available on the website for at least 90 days following the event.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Sabre</w:t>
      </w:r>
    </w:p>
    <w:p>
      <w:pPr>
        <w:spacing w:after="0" w:line="310" w:lineRule="exact"/>
        <w:rPr>
          <w:sz w:val="20"/>
          <w:szCs w:val="20"/>
          <w:color w:val="auto"/>
        </w:rPr>
      </w:pPr>
    </w:p>
    <w:p>
      <w:pPr>
        <w:jc w:val="both"/>
        <w:spacing w:after="0" w:line="328" w:lineRule="auto"/>
        <w:rPr>
          <w:sz w:val="20"/>
          <w:szCs w:val="20"/>
          <w:color w:val="auto"/>
        </w:rPr>
      </w:pPr>
      <w:r>
        <w:rPr>
          <w:rFonts w:ascii="Arial" w:cs="Arial" w:eastAsia="Arial" w:hAnsi="Arial"/>
          <w:sz w:val="20"/>
          <w:szCs w:val="20"/>
          <w:b w:val="1"/>
          <w:bCs w:val="1"/>
          <w:color w:val="auto"/>
        </w:rPr>
        <w:t xml:space="preserve">Powering the agentic revolution in travel. </w:t>
      </w:r>
      <w:r>
        <w:rPr>
          <w:rFonts w:ascii="Arial" w:cs="Arial" w:eastAsia="Arial" w:hAnsi="Arial"/>
          <w:sz w:val="20"/>
          <w:szCs w:val="20"/>
          <w:color w:val="auto"/>
        </w:rPr>
        <w:t>Sabre is an AI-native technology leader, backed by one of the world’s largest travel</w:t>
      </w:r>
      <w:r>
        <w:rPr>
          <w:rFonts w:ascii="Arial" w:cs="Arial" w:eastAsia="Arial" w:hAnsi="Arial"/>
          <w:sz w:val="20"/>
          <w:szCs w:val="20"/>
          <w:b w:val="1"/>
          <w:bCs w:val="1"/>
          <w:color w:val="auto"/>
        </w:rPr>
        <w:t xml:space="preserve"> </w:t>
      </w:r>
      <w:r>
        <w:rPr>
          <w:rFonts w:ascii="Arial" w:cs="Arial" w:eastAsia="Arial" w:hAnsi="Arial"/>
          <w:sz w:val="20"/>
          <w:szCs w:val="20"/>
          <w:color w:val="auto"/>
        </w:rPr>
        <w:t>data clouds. With AI at its core and operating at unparalleled scale, Sabre transforms insights into innovation, empowering airlines, hoteliers, agencies and other partners to retail, distribute and fulfill travel worldwide. Sabre is built on an open, modular, cloud-native architecture and serves as the backbone for both established leaders and bold, new disruptors, guiding them to the next age of travel retailing through intelligent, connected, and personalized experiences. For more information visit  </w:t>
      </w:r>
      <w:r>
        <w:rPr>
          <w:rFonts w:ascii="Arial" w:cs="Arial" w:eastAsia="Arial" w:hAnsi="Arial"/>
          <w:sz w:val="20"/>
          <w:szCs w:val="20"/>
          <w:u w:val="single" w:color="auto"/>
          <w:color w:val="1D12FF"/>
        </w:rPr>
        <w:t>www.sabre.com</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 Information</w:t>
      </w:r>
    </w:p>
    <w:p>
      <w:pPr>
        <w:spacing w:after="0" w:line="312"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 xml:space="preserve">Sabre routinely posts important information for investors on the Investor Relations section of its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 on its LinkedIn account, and on its X account, @Sabre_Corp. The Company intends to use the Investor Relations section of its website, its LinkedIn account,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 w:lineRule="exact"/>
        <w:rPr>
          <w:sz w:val="20"/>
          <w:szCs w:val="20"/>
          <w:color w:val="auto"/>
        </w:rPr>
      </w:pPr>
    </w:p>
    <w:p>
      <w:pPr>
        <w:jc w:val="both"/>
        <w:spacing w:after="0" w:line="328" w:lineRule="auto"/>
        <w:rPr>
          <w:sz w:val="20"/>
          <w:szCs w:val="20"/>
          <w:color w:val="auto"/>
        </w:rPr>
      </w:pPr>
      <w:r>
        <w:rPr>
          <w:rFonts w:ascii="Arial" w:cs="Arial" w:eastAsia="Arial" w:hAnsi="Arial"/>
          <w:sz w:val="20"/>
          <w:szCs w:val="20"/>
          <w:color w:val="auto"/>
        </w:rPr>
        <w:t>its X account as a means of disclosing material, non-public information and for complying with disclosure obligations under Regulation FD. Accordingly, investors should monitor the Investor Relations section of Sabre's website, its LinkedIn account and its X account, in addition to following its press releases, SEC filings, public conference calls, presentations and webcasts. The information contained on, or that may be accessed through, Sabre's website, its LinkedIn account or its X account is not incorporated by reference into, and is not a part of, this document.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Financial Information</w:t>
      </w:r>
    </w:p>
    <w:p>
      <w:pPr>
        <w:spacing w:after="0" w:line="312"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 xml:space="preserve">In conjunction with today’s earnings report, a file of supplemental financial information will be available on the Investor Relations section of our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Data</w:t>
      </w:r>
    </w:p>
    <w:p>
      <w:pPr>
        <w:spacing w:after="0" w:line="312" w:lineRule="exact"/>
        <w:rPr>
          <w:sz w:val="20"/>
          <w:szCs w:val="20"/>
          <w:color w:val="auto"/>
        </w:rPr>
      </w:pPr>
    </w:p>
    <w:p>
      <w:pPr>
        <w:jc w:val="both"/>
        <w:spacing w:after="0" w:line="327" w:lineRule="auto"/>
        <w:rPr>
          <w:sz w:val="20"/>
          <w:szCs w:val="20"/>
          <w:color w:val="auto"/>
        </w:rPr>
      </w:pPr>
      <w:r>
        <w:rPr>
          <w:rFonts w:ascii="Arial" w:cs="Arial" w:eastAsia="Arial" w:hAnsi="Arial"/>
          <w:sz w:val="20"/>
          <w:szCs w:val="20"/>
          <w:color w:val="auto"/>
        </w:rPr>
        <w:t>This release contains industry data, forecasts and other information that Sabre obtained from industry publications and surveys, public filings and internal company sources, and there can be no assurance as to the accuracy or completeness of the included information. Statements as to Sabre's ranking, market position, bookings share and market estimates are based on independent industry publications, government publications, third-party forecasts and management’s estimates and assumptions about our markets and our internal research. The Company has not independently verified this third-party information nor has it ascertained the underlying economic assumptions relied upon in those sources, and cannot assure you of the accuracy or completeness of this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31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press release includes unaudited non-GAAP financial measures, including Adjusted Net Income from continuing operations ("Adjusted Net Income"), Adjusted EBITDA, Adjusted EBITDA margin, Normalized Adjusted EBITDA, Normalized Adjusted EBITDA margin, Adjusted Net Income from continuing operations per share ("Adjusted EPS"), Free Cash Flow and the ratios based on these financial measures. In addition, we provide certain forward guidance with respect to Adjusted EBITDA on a pro forma basis and Free Cash Flow. We do not provide reconciliations of these forward-looking non-GAAP financial measures to the respective GAAP metrics as we are unable to predict the components of the non-GAAP adjustments contained in the guidance with reasonable certainty and without unreasonable effort; however, see "Business and Pro Forma Financial Outlook" for additional information including estimates of certain components of the non-GAAP adjustments contained in the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58"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We present non-GAAP measures when our management believes that the additional information provides useful information about our operating performance.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See “Non-GAAP Financial Measures” below for an explanation of the non-GAAP measures and “Tabular Reconciliations for Non-GAAP Measures” below for a reconciliation of the non-GAAP financial measures to the comparable GAAP measures.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Discontinued Operations</w:t>
      </w:r>
    </w:p>
    <w:p>
      <w:pPr>
        <w:spacing w:after="0" w:line="326" w:lineRule="exact"/>
        <w:rPr>
          <w:sz w:val="20"/>
          <w:szCs w:val="20"/>
          <w:color w:val="auto"/>
        </w:rPr>
      </w:pPr>
    </w:p>
    <w:p>
      <w:pPr>
        <w:jc w:val="both"/>
        <w:spacing w:after="0" w:line="328" w:lineRule="auto"/>
        <w:rPr>
          <w:sz w:val="20"/>
          <w:szCs w:val="20"/>
          <w:color w:val="auto"/>
        </w:rPr>
      </w:pPr>
      <w:r>
        <w:rPr>
          <w:rFonts w:ascii="Arial" w:cs="Arial" w:eastAsia="Arial" w:hAnsi="Arial"/>
          <w:sz w:val="20"/>
          <w:szCs w:val="20"/>
          <w:color w:val="auto"/>
        </w:rPr>
        <w:t>On April 27, 2025, we entered into a definitive agreement with an affiliate of TPG (the “Buyer”) pursuant to which the Buyer agreed to purchase our Hospitality Solutions business, and on July 3, 2025, we closed the sale (the “Hospitality Solutions Sale”). The operating results of our Hospitality Solutions business are presented as discontinued operations on our consolidated statements of operations for all periods presented. Unless otherwise noted, results presented are based on continuing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26" w:lineRule="exact"/>
        <w:rPr>
          <w:sz w:val="20"/>
          <w:szCs w:val="20"/>
          <w:color w:val="auto"/>
        </w:rPr>
      </w:pPr>
    </w:p>
    <w:p>
      <w:pPr>
        <w:jc w:val="both"/>
        <w:spacing w:after="0" w:line="323" w:lineRule="auto"/>
        <w:rPr>
          <w:sz w:val="20"/>
          <w:szCs w:val="20"/>
          <w:color w:val="auto"/>
        </w:rPr>
      </w:pPr>
      <w:r>
        <w:rPr>
          <w:rFonts w:ascii="Arial" w:cs="Arial" w:eastAsia="Arial" w:hAnsi="Arial"/>
          <w:sz w:val="20"/>
          <w:szCs w:val="20"/>
          <w:color w:val="auto"/>
        </w:rPr>
        <w:t>Certain statements herein are forward-looking statements within the meaning of the Private Securities Litigation Reform Act of 1995. These forward-looking statements include, without limitation, statements about trends, future events, uncertainties and our plans and expectations of what may happen in the future, including regarding the Company's plan for long-term growth and the impact and timing of geopolitical events.. Any statements that are not historical or current facts are forward-looking statements and in many cases, you can identify forward-looking statements by terms such as "outlook," “pro forma,” “believe,” “momentum,” “expect,” “guidance,” “confident,” “encouraged,” “normalize,” “anticipate,” “growth,” “position,” “foundation,” “intend,” "plan," “well-positioned,” “sustained,” “focus,” “optimistic,” “will,” “long-term,” “accelerate,” “potential,” “opportunity,” “goal,” “estimate,” "commitment," “temporary,” “continue,” “progress,” “possible,” “outcome,” “assume,” “challenge,” "enhance," "strategy," "on track," "objective," "target," "pipeline," "trajectory," "benefit," "forecast," "estimate," "project," "may," "should," "would," or the negative of these terms, where applicable, or other comparable terminology. Forward-looking statements involve known and unknown risks, uncertainties and other factors that may cause Sabre’s actual results, performance or achievements to be materially different from any future results, performances or achievements expressed or implied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5" w:lineRule="exact"/>
        <w:rPr>
          <w:sz w:val="20"/>
          <w:szCs w:val="20"/>
          <w:color w:val="auto"/>
        </w:rPr>
      </w:pPr>
    </w:p>
    <w:p>
      <w:pPr>
        <w:jc w:val="both"/>
        <w:spacing w:after="0" w:line="321" w:lineRule="auto"/>
        <w:rPr>
          <w:sz w:val="20"/>
          <w:szCs w:val="20"/>
          <w:color w:val="auto"/>
        </w:rPr>
      </w:pPr>
      <w:r>
        <w:rPr>
          <w:rFonts w:ascii="Arial" w:cs="Arial" w:eastAsia="Arial" w:hAnsi="Arial"/>
          <w:sz w:val="20"/>
          <w:szCs w:val="20"/>
          <w:color w:val="auto"/>
        </w:rPr>
        <w:t>by the forward-looking statements. The potential risks and uncertainties include, among others, dependency on transaction volumes in the global travel industry, particularly air travel transaction volumes, the effects of the Middle East conflict and fuel prices, the implementation and effects of our growth strategies, the completion and effects of travel platforms, exposure to pricing pressure from travel suppliers, changes affecting travel supplier customers, maintenance of the integrity of our systems and infrastructure and the effect of any security incidents, our ability to recruit, train and retain employees, competition in the travel distribution industry and solutions industry, failure to adapt to technological advancements, including AI, implementation of software solutions, implementation and effects of new, amended or renewed agreements and strategic partnerships, dependence on establishing, maintaining and renewing contracts with customers and other counterparties and collecting amounts due to us under these agreements, dependence on relationships with travel buyers, the ability to achieve our cost savings and efficiency goals and the effects of these goals, our collection, processing, storage, use and transmission of personal data and risks associated with PCI compliance, the effects of cost savings initiatives, the effects of new legislation or regulations or the failure to comply with regulations or other legal requirements, use of third-party distributor partners, the financial and business results and effects of acquisitions and divestitures of businesses or business operations, including the sale of Hospitality Solutions, reliance on the value of our brands, reliance on third parties to provide information technology services and the effects of these services, the effects of any profit enhancing measures we implement, the effects of any litigation, regulatory reviews and investigations, adverse global and regional economic and political conditions, risks related to global conflicts, risks arising from global operations, risks related to our significant amount of indebtedness, including increases in interest rates and our ability to refinance our debt, and tax-related matters.</w:t>
      </w:r>
    </w:p>
    <w:p>
      <w:pPr>
        <w:spacing w:after="0" w:line="228"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More information about potential risks and uncertainties that could affect our business and results of operations is included in the "Risk Factors" and “Forward-Looking Statements” sections in our Quarterly Report on Form 10-Q filed with the SEC on May 7, 2026, in our Annual Report on Form 10-K filed with the SEC on February 18, 2026 and in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Sabre undertakes no obligation to publicly update or revise any forward-looking statements to reflect circumstances or events after the date they are made.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5" w:lineRule="exact"/>
        <w:rPr>
          <w:sz w:val="20"/>
          <w:szCs w:val="20"/>
          <w:color w:val="auto"/>
        </w:rPr>
      </w:pPr>
    </w:p>
    <w:p>
      <w:pPr>
        <w:jc w:val="both"/>
        <w:ind w:left="420" w:hanging="412"/>
        <w:spacing w:after="0" w:line="324" w:lineRule="auto"/>
        <w:tabs>
          <w:tab w:leader="none" w:pos="767"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Net Income, Adjusted EPS, Adjusted EBITDA, Normalized Adjusted EBITDA, Adjusted EBITDA Margin, Normalized Adjusted EBITDA Margin, Pro Forma Adjusted EBITDA, Free Cash Flow, and Pro Forma Free Cash Flow are non-GAAP measures. See the appendix to this release for a discussion of non-GAAP financial measures, including reconciliations to the most closely correlated GAAP measure. Normalized Adjusted EBITDA is Adjusted EBITDA adjusted for estimated costs historically allocated to Hospitality Solutions. Pro Forma Free Cash Flow is calculated to give effect to the Hospitality Solutions Sale. Pro Forma Free Cash Flow is no longer utilized in the current period as there are no further adjustments to be made to Free Cash Flow for the sale of Hospitality Solutions. We have included Pro Forma Free Cash Flow in this release for comparability. We believe this presentation will enhance investors' ability to evaluate and compare the Company's operations on a go-forward basis.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ectPr>
          <w:pgSz w:w="11900" w:h="16838" w:orient="portrait"/>
          <w:cols w:equalWidth="0" w:num="1">
            <w:col w:w="11240"/>
          </w:cols>
          <w:pgMar w:left="320" w:top="1440" w:right="339" w:bottom="1440" w:gutter="0" w:footer="0" w:header="0"/>
        </w:sectPr>
      </w:pPr>
    </w:p>
    <w:p>
      <w:pPr>
        <w:spacing w:after="0" w:line="8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Media</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Cassidy Smith-Broyles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cassidy.smith-broyles@sabre.com</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sabrenews@sabre.com</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Jim Mathias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jim.mathias@sabre.com</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sabre.investorrelations@sabre.com</w:t>
      </w:r>
    </w:p>
    <w:p>
      <w:pPr>
        <w:spacing w:after="0" w:line="211" w:lineRule="exact"/>
        <w:rPr>
          <w:sz w:val="20"/>
          <w:szCs w:val="20"/>
          <w:color w:val="auto"/>
        </w:rPr>
      </w:pPr>
    </w:p>
    <w:p>
      <w:pPr>
        <w:sectPr>
          <w:pgSz w:w="11900" w:h="16838" w:orient="portrait"/>
          <w:cols w:equalWidth="0" w:num="2">
            <w:col w:w="5080" w:space="720"/>
            <w:col w:w="5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5"/>
        </w:trPr>
        <w:tc>
          <w:tcPr>
            <w:tcW w:w="8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6"/>
                <w:szCs w:val="16"/>
                <w:color w:val="auto"/>
              </w:rPr>
              <w:t>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760,326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702,126</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6"/>
                <w:szCs w:val="16"/>
                <w:color w:val="auto"/>
              </w:rPr>
              <w:t>Cost of revenue, excluding technology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305,471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6"/>
                <w:szCs w:val="16"/>
                <w:color w:val="auto"/>
              </w:rPr>
              <w:t>Technology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175,421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175,307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134,005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129,953</w:t>
            </w:r>
          </w:p>
        </w:tc>
        <w:tc>
          <w:tcPr>
            <w:tcW w:w="0" w:type="dxa"/>
            <w:vAlign w:val="bottom"/>
          </w:tcPr>
          <w:p>
            <w:pPr>
              <w:spacing w:after="0"/>
              <w:rPr>
                <w:sz w:val="1"/>
                <w:szCs w:val="1"/>
                <w:color w:val="auto"/>
              </w:rPr>
            </w:pPr>
          </w:p>
        </w:tc>
      </w:tr>
      <w:tr>
        <w:trPr>
          <w:trHeight w:val="210"/>
        </w:trPr>
        <w:tc>
          <w:tcPr>
            <w:tcW w:w="8680" w:type="dxa"/>
            <w:vAlign w:val="bottom"/>
          </w:tcPr>
          <w:p>
            <w:pPr>
              <w:ind w:left="46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115,917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91,395</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(122,963)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(109,790)</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Equity method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(106,420)</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6"/>
                <w:szCs w:val="16"/>
                <w:color w:val="auto"/>
              </w:rPr>
              <w:t>Loss from continuing operations before income taxes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(15,025)</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6"/>
                <w:szCs w:val="16"/>
                <w:color w:val="auto"/>
              </w:rPr>
              <w:t>Benefit for income taxes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(11,648)</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38,925</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1"/>
        </w:trPr>
        <w:tc>
          <w:tcPr>
            <w:tcW w:w="8680" w:type="dxa"/>
            <w:vAlign w:val="bottom"/>
          </w:tcPr>
          <w:p>
            <w:pPr>
              <w:spacing w:after="0"/>
              <w:rPr>
                <w:sz w:val="20"/>
                <w:szCs w:val="20"/>
                <w:color w:val="auto"/>
              </w:rPr>
            </w:pPr>
            <w:r>
              <w:rPr>
                <w:rFonts w:ascii="Arial" w:cs="Arial" w:eastAsia="Arial" w:hAnsi="Arial"/>
                <w:sz w:val="16"/>
                <w:szCs w:val="16"/>
                <w:color w:val="auto"/>
              </w:rPr>
              <w:t>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6"/>
                <w:szCs w:val="16"/>
                <w:color w:val="auto"/>
              </w:rPr>
              <w:t>Basic net income (loss) per share attributable to common stockholders:</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0"/>
        </w:trPr>
        <w:tc>
          <w:tcPr>
            <w:tcW w:w="8680" w:type="dxa"/>
            <w:vAlign w:val="bottom"/>
          </w:tcPr>
          <w:p>
            <w:pPr>
              <w:ind w:left="200"/>
              <w:spacing w:after="0"/>
              <w:rPr>
                <w:sz w:val="20"/>
                <w:szCs w:val="20"/>
                <w:color w:val="auto"/>
              </w:rPr>
            </w:pPr>
            <w:r>
              <w:rPr>
                <w:rFonts w:ascii="Arial" w:cs="Arial" w:eastAsia="Arial" w:hAnsi="Arial"/>
                <w:sz w:val="16"/>
                <w:szCs w:val="16"/>
                <w:color w:val="auto"/>
              </w:rPr>
              <w:t>Net income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6"/>
                <w:szCs w:val="16"/>
                <w:color w:val="auto"/>
              </w:rPr>
              <w:t>Diluted net income (loss) per share attributable to common stockholders: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Income from discontinued operations</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0"/>
        </w:trPr>
        <w:tc>
          <w:tcPr>
            <w:tcW w:w="8680" w:type="dxa"/>
            <w:vAlign w:val="bottom"/>
          </w:tcPr>
          <w:p>
            <w:pPr>
              <w:ind w:left="200"/>
              <w:spacing w:after="0"/>
              <w:rPr>
                <w:sz w:val="20"/>
                <w:szCs w:val="20"/>
                <w:color w:val="auto"/>
              </w:rPr>
            </w:pPr>
            <w:r>
              <w:rPr>
                <w:rFonts w:ascii="Arial" w:cs="Arial" w:eastAsia="Arial" w:hAnsi="Arial"/>
                <w:sz w:val="16"/>
                <w:szCs w:val="16"/>
                <w:color w:val="auto"/>
              </w:rPr>
              <w:t>Net income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386,271</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397,564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890"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tbl>
      <w:tblPr>
        <w:tblLayout w:type="fixed"/>
        <w:tblInd w:w="0" w:type="dxa"/>
        <w:tblCellMar>
          <w:top w:w="0" w:type="dxa"/>
          <w:left w:w="0" w:type="dxa"/>
          <w:bottom w:w="0" w:type="dxa"/>
          <w:right w:w="0" w:type="dxa"/>
        </w:tblCellMar>
      </w:tblPr>
      <w:tr>
        <w:trPr>
          <w:trHeight w:val="207"/>
        </w:trPr>
        <w:tc>
          <w:tcPr>
            <w:tcW w:w="7520" w:type="dxa"/>
            <w:vAlign w:val="bottom"/>
          </w:tcPr>
          <w:p>
            <w:pPr>
              <w:ind w:left="488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520" w:type="dxa"/>
            <w:vAlign w:val="bottom"/>
          </w:tcPr>
          <w:p>
            <w:pPr>
              <w:ind w:left="510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180" w:type="dxa"/>
            <w:vAlign w:val="bottom"/>
          </w:tcPr>
          <w:p>
            <w:pPr>
              <w:spacing w:after="0"/>
              <w:rPr>
                <w:sz w:val="19"/>
                <w:szCs w:val="19"/>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7"/>
        </w:trPr>
        <w:tc>
          <w:tcPr>
            <w:tcW w:w="75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643,575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791,555</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118,558</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Accounts receivable, net of allowance for credit losses of $21,431 and $17,953</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367,118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311,870</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102,087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74,055</w:t>
            </w:r>
          </w:p>
        </w:tc>
        <w:tc>
          <w:tcPr>
            <w:tcW w:w="0" w:type="dxa"/>
            <w:vAlign w:val="bottom"/>
          </w:tcPr>
          <w:p>
            <w:pPr>
              <w:spacing w:after="0"/>
              <w:rPr>
                <w:sz w:val="1"/>
                <w:szCs w:val="1"/>
                <w:color w:val="auto"/>
              </w:rPr>
            </w:pPr>
          </w:p>
        </w:tc>
      </w:tr>
      <w:tr>
        <w:trPr>
          <w:trHeight w:val="210"/>
        </w:trPr>
        <w:tc>
          <w:tcPr>
            <w:tcW w:w="752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1,133,806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1,296,038</w:t>
            </w: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$1,739,141 and $1,724,044</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261,043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255,323</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23,082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2,382,974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2,384,191</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Acquired customer relationships, net of accumulated amortization of $801,362 and $796,767</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159,326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of $598,538 and $595,403</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122,308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125,556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254,738</w:t>
            </w:r>
          </w:p>
        </w:tc>
        <w:tc>
          <w:tcPr>
            <w:tcW w:w="0" w:type="dxa"/>
            <w:vAlign w:val="bottom"/>
          </w:tcPr>
          <w:p>
            <w:pPr>
              <w:spacing w:after="0"/>
              <w:rPr>
                <w:sz w:val="1"/>
                <w:szCs w:val="1"/>
                <w:color w:val="auto"/>
              </w:rPr>
            </w:pPr>
          </w:p>
        </w:tc>
      </w:tr>
      <w:tr>
        <w:trPr>
          <w:trHeight w:val="210"/>
        </w:trPr>
        <w:tc>
          <w:tcPr>
            <w:tcW w:w="752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4,332,512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4,502,128</w:t>
            </w:r>
          </w:p>
        </w:tc>
        <w:tc>
          <w:tcPr>
            <w:tcW w:w="0" w:type="dxa"/>
            <w:vAlign w:val="bottom"/>
          </w:tcPr>
          <w:p>
            <w:pPr>
              <w:spacing w:after="0"/>
              <w:rPr>
                <w:sz w:val="1"/>
                <w:szCs w:val="1"/>
                <w:color w:val="auto"/>
              </w:rPr>
            </w:pPr>
          </w:p>
        </w:tc>
      </w:tr>
      <w:tr>
        <w:trPr>
          <w:trHeight w:val="22"/>
        </w:trPr>
        <w:tc>
          <w:tcPr>
            <w:tcW w:w="75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7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207,627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260,035</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83,832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103,521</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Accrued subscriber incentives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299,168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289,095</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58,413</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225,663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256,856</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354,684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245,651</w:t>
            </w:r>
          </w:p>
        </w:tc>
        <w:tc>
          <w:tcPr>
            <w:tcW w:w="0" w:type="dxa"/>
            <w:vAlign w:val="bottom"/>
          </w:tcPr>
          <w:p>
            <w:pPr>
              <w:spacing w:after="0"/>
              <w:rPr>
                <w:sz w:val="1"/>
                <w:szCs w:val="1"/>
                <w:color w:val="auto"/>
              </w:rPr>
            </w:pPr>
          </w:p>
        </w:tc>
      </w:tr>
      <w:tr>
        <w:trPr>
          <w:trHeight w:val="210"/>
        </w:trPr>
        <w:tc>
          <w:tcPr>
            <w:tcW w:w="752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1,225,474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1,213,571</w:t>
            </w: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36,614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173,262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173,172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3,911,577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4,103,208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12,057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520" w:type="dxa"/>
            <w:vAlign w:val="bottom"/>
          </w:tcPr>
          <w:p>
            <w:pPr>
              <w:ind w:left="200"/>
              <w:spacing w:after="0" w:line="164" w:lineRule="exact"/>
              <w:rPr>
                <w:sz w:val="20"/>
                <w:szCs w:val="20"/>
                <w:color w:val="auto"/>
              </w:rPr>
            </w:pPr>
            <w:r>
              <w:rPr>
                <w:rFonts w:ascii="Arial" w:cs="Arial" w:eastAsia="Arial" w:hAnsi="Arial"/>
                <w:sz w:val="16"/>
                <w:szCs w:val="16"/>
                <w:color w:val="auto"/>
              </w:rPr>
              <w:t>Common Stock: $0.01 par value; 1,000,000 authorized shares; 427,742 and 427,366 shares issued,</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4,274</w:t>
            </w:r>
          </w:p>
        </w:tc>
        <w:tc>
          <w:tcPr>
            <w:tcW w:w="0" w:type="dxa"/>
            <w:vAlign w:val="bottom"/>
          </w:tcPr>
          <w:p>
            <w:pPr>
              <w:spacing w:after="0"/>
              <w:rPr>
                <w:sz w:val="1"/>
                <w:szCs w:val="1"/>
                <w:color w:val="auto"/>
              </w:rPr>
            </w:pPr>
          </w:p>
        </w:tc>
      </w:tr>
      <w:tr>
        <w:trPr>
          <w:trHeight w:val="133"/>
        </w:trPr>
        <w:tc>
          <w:tcPr>
            <w:tcW w:w="7520" w:type="dxa"/>
            <w:vAlign w:val="bottom"/>
            <w:vMerge w:val="restart"/>
          </w:tcPr>
          <w:p>
            <w:pPr>
              <w:ind w:left="200"/>
              <w:spacing w:after="0"/>
              <w:rPr>
                <w:sz w:val="20"/>
                <w:szCs w:val="20"/>
                <w:color w:val="auto"/>
              </w:rPr>
            </w:pPr>
            <w:r>
              <w:rPr>
                <w:rFonts w:ascii="Arial" w:cs="Arial" w:eastAsia="Arial" w:hAnsi="Arial"/>
                <w:sz w:val="16"/>
                <w:szCs w:val="16"/>
                <w:color w:val="auto"/>
              </w:rPr>
              <w:t>395,311 and 395,004 shares outstanding at March 31, 2026 and December 31, 2025, respectively</w:t>
            </w:r>
          </w:p>
        </w:tc>
        <w:tc>
          <w:tcPr>
            <w:tcW w:w="2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7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3,354,189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3,351,111</w:t>
            </w:r>
          </w:p>
        </w:tc>
        <w:tc>
          <w:tcPr>
            <w:tcW w:w="0" w:type="dxa"/>
            <w:vAlign w:val="bottom"/>
          </w:tcPr>
          <w:p>
            <w:pPr>
              <w:spacing w:after="0"/>
              <w:rPr>
                <w:sz w:val="1"/>
                <w:szCs w:val="1"/>
                <w:color w:val="auto"/>
              </w:rPr>
            </w:pPr>
          </w:p>
        </w:tc>
      </w:tr>
      <w:tr>
        <w:trPr>
          <w:trHeight w:val="164"/>
        </w:trPr>
        <w:tc>
          <w:tcPr>
            <w:tcW w:w="7520" w:type="dxa"/>
            <w:vAlign w:val="bottom"/>
          </w:tcPr>
          <w:p>
            <w:pPr>
              <w:ind w:left="160"/>
              <w:spacing w:after="0" w:line="164" w:lineRule="exact"/>
              <w:rPr>
                <w:sz w:val="20"/>
                <w:szCs w:val="20"/>
                <w:color w:val="auto"/>
              </w:rPr>
            </w:pPr>
            <w:r>
              <w:rPr>
                <w:rFonts w:ascii="Arial" w:cs="Arial" w:eastAsia="Arial" w:hAnsi="Arial"/>
                <w:sz w:val="16"/>
                <w:szCs w:val="16"/>
                <w:color w:val="auto"/>
              </w:rPr>
              <w:t>Treasury Stock, at cost, 32,431 and 32,362 shares at March 31, 2026 and December 31, 2025,</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(537,302)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(537,197)</w:t>
            </w:r>
          </w:p>
        </w:tc>
        <w:tc>
          <w:tcPr>
            <w:tcW w:w="0" w:type="dxa"/>
            <w:vAlign w:val="bottom"/>
          </w:tcPr>
          <w:p>
            <w:pPr>
              <w:spacing w:after="0"/>
              <w:rPr>
                <w:sz w:val="1"/>
                <w:szCs w:val="1"/>
                <w:color w:val="auto"/>
              </w:rPr>
            </w:pPr>
          </w:p>
        </w:tc>
      </w:tr>
      <w:tr>
        <w:trPr>
          <w:trHeight w:val="133"/>
        </w:trPr>
        <w:tc>
          <w:tcPr>
            <w:tcW w:w="7520" w:type="dxa"/>
            <w:vAlign w:val="bottom"/>
            <w:vMerge w:val="restart"/>
          </w:tcPr>
          <w:p>
            <w:pPr>
              <w:ind w:left="16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7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(3,794,419)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(3,802,535)</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(66,656)</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14,509</w:t>
            </w:r>
          </w:p>
        </w:tc>
        <w:tc>
          <w:tcPr>
            <w:tcW w:w="0" w:type="dxa"/>
            <w:vAlign w:val="bottom"/>
          </w:tcPr>
          <w:p>
            <w:pPr>
              <w:spacing w:after="0"/>
              <w:rPr>
                <w:sz w:val="1"/>
                <w:szCs w:val="1"/>
                <w:color w:val="auto"/>
              </w:rPr>
            </w:pPr>
          </w:p>
        </w:tc>
      </w:tr>
      <w:tr>
        <w:trPr>
          <w:trHeight w:val="210"/>
        </w:trPr>
        <w:tc>
          <w:tcPr>
            <w:tcW w:w="7520" w:type="dxa"/>
            <w:vAlign w:val="bottom"/>
          </w:tcPr>
          <w:p>
            <w:pPr>
              <w:ind w:left="46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(1,025,680)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(1,036,494)</w:t>
            </w:r>
          </w:p>
        </w:tc>
        <w:tc>
          <w:tcPr>
            <w:tcW w:w="0" w:type="dxa"/>
            <w:vAlign w:val="bottom"/>
          </w:tcPr>
          <w:p>
            <w:pPr>
              <w:spacing w:after="0"/>
              <w:rPr>
                <w:sz w:val="1"/>
                <w:szCs w:val="1"/>
                <w:color w:val="auto"/>
              </w:rPr>
            </w:pPr>
          </w:p>
        </w:tc>
      </w:tr>
      <w:tr>
        <w:trPr>
          <w:trHeight w:val="210"/>
        </w:trPr>
        <w:tc>
          <w:tcPr>
            <w:tcW w:w="7520" w:type="dxa"/>
            <w:vAlign w:val="bottom"/>
          </w:tcPr>
          <w:p>
            <w:pPr>
              <w:ind w:left="46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4,332,512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4,502,128</w:t>
            </w: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6"/>
        </w:trPr>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ectPr>
          <w:pgSz w:w="11900" w:h="16838" w:orient="portrait"/>
          <w:cols w:equalWidth="0" w:num="1">
            <w:col w:w="11220"/>
          </w:cols>
          <w:pgMar w:left="340" w:top="890"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34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260" w:type="dxa"/>
            <w:vAlign w:val="bottom"/>
            <w:vMerge w:val="restart"/>
          </w:tcPr>
          <w:p>
            <w:pPr>
              <w:jc w:val="right"/>
              <w:ind w:right="106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8,008</w:t>
            </w:r>
          </w:p>
        </w:tc>
        <w:tc>
          <w:tcPr>
            <w:tcW w:w="100" w:type="dxa"/>
            <w:vAlign w:val="bottom"/>
          </w:tcPr>
          <w:p>
            <w:pPr>
              <w:spacing w:after="0"/>
              <w:rPr>
                <w:sz w:val="15"/>
                <w:szCs w:val="15"/>
                <w:color w:val="auto"/>
              </w:rPr>
            </w:pPr>
          </w:p>
        </w:tc>
        <w:tc>
          <w:tcPr>
            <w:tcW w:w="1260" w:type="dxa"/>
            <w:vAlign w:val="bottom"/>
            <w:vMerge w:val="restart"/>
          </w:tcPr>
          <w:p>
            <w:pPr>
              <w:jc w:val="right"/>
              <w:ind w:right="1062"/>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35,548</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000" w:type="dxa"/>
            <w:vAlign w:val="bottom"/>
          </w:tcPr>
          <w:p>
            <w:pPr>
              <w:ind w:left="200"/>
              <w:spacing w:after="0"/>
              <w:rPr>
                <w:sz w:val="20"/>
                <w:szCs w:val="20"/>
                <w:color w:val="auto"/>
              </w:rPr>
            </w:pPr>
            <w:r>
              <w:rPr>
                <w:rFonts w:ascii="Arial" w:cs="Arial" w:eastAsia="Arial" w:hAnsi="Arial"/>
                <w:sz w:val="14"/>
                <w:szCs w:val="14"/>
                <w:color w:val="auto"/>
              </w:rPr>
              <w:t>Adjustments to reconcile net income to cash used in operating activities: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26,465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25,489</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Amortization of upfront incentive consideration</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10,311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8,979</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Amortization of debt discount and issuance costs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9,862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7,718</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Provision for expected credit losses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Other</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Loss on extinguishment of debt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Loss (income) from discontinued operations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(38,925)</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Paid-in-kind interest</w:t>
            </w:r>
          </w:p>
        </w:tc>
        <w:tc>
          <w:tcPr>
            <w:tcW w:w="1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28,327</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Gain on sale of assets</w:t>
            </w:r>
          </w:p>
        </w:tc>
        <w:tc>
          <w:tcPr>
            <w:tcW w:w="1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197"/>
        </w:trPr>
        <w:tc>
          <w:tcPr>
            <w:tcW w:w="700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460"/>
              <w:spacing w:after="0"/>
              <w:rPr>
                <w:sz w:val="20"/>
                <w:szCs w:val="20"/>
                <w:color w:val="auto"/>
              </w:rPr>
            </w:pPr>
            <w:r>
              <w:rPr>
                <w:rFonts w:ascii="Arial" w:cs="Arial" w:eastAsia="Arial" w:hAnsi="Arial"/>
                <w:sz w:val="14"/>
                <w:szCs w:val="14"/>
                <w:color w:val="auto"/>
              </w:rPr>
              <w:t>Accounts and other receivables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(79,908)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(106,658)</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(13,600)</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Capitalized implementation costs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Upfront incentive consideration</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(5,859)</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(4,291)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Accrued compensation and related benefits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(24,045)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(56,197)</w:t>
            </w:r>
          </w:p>
        </w:tc>
        <w:tc>
          <w:tcPr>
            <w:tcW w:w="0" w:type="dxa"/>
            <w:vAlign w:val="bottom"/>
          </w:tcPr>
          <w:p>
            <w:pPr>
              <w:spacing w:after="0"/>
              <w:rPr>
                <w:sz w:val="1"/>
                <w:szCs w:val="1"/>
                <w:color w:val="auto"/>
              </w:rPr>
            </w:pPr>
          </w:p>
        </w:tc>
      </w:tr>
      <w:tr>
        <w:trPr>
          <w:trHeight w:val="216"/>
        </w:trPr>
        <w:tc>
          <w:tcPr>
            <w:tcW w:w="7000" w:type="dxa"/>
            <w:vAlign w:val="bottom"/>
          </w:tcPr>
          <w:p>
            <w:pPr>
              <w:ind w:left="460"/>
              <w:spacing w:after="0"/>
              <w:rPr>
                <w:sz w:val="20"/>
                <w:szCs w:val="20"/>
                <w:color w:val="auto"/>
              </w:rPr>
            </w:pPr>
            <w:r>
              <w:rPr>
                <w:rFonts w:ascii="Arial" w:cs="Arial" w:eastAsia="Arial" w:hAnsi="Arial"/>
                <w:sz w:val="14"/>
                <w:szCs w:val="14"/>
                <w:color w:val="auto"/>
              </w:rPr>
              <w:t>Accounts payable and other accrued liabilities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(64,604)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57,116</w:t>
            </w:r>
          </w:p>
        </w:tc>
        <w:tc>
          <w:tcPr>
            <w:tcW w:w="0" w:type="dxa"/>
            <w:vAlign w:val="bottom"/>
          </w:tcPr>
          <w:p>
            <w:pPr>
              <w:spacing w:after="0"/>
              <w:rPr>
                <w:sz w:val="1"/>
                <w:szCs w:val="1"/>
                <w:color w:val="auto"/>
              </w:rPr>
            </w:pPr>
          </w:p>
        </w:tc>
      </w:tr>
      <w:tr>
        <w:trPr>
          <w:trHeight w:val="217"/>
        </w:trPr>
        <w:tc>
          <w:tcPr>
            <w:tcW w:w="7000" w:type="dxa"/>
            <w:vAlign w:val="bottom"/>
          </w:tcPr>
          <w:p>
            <w:pPr>
              <w:ind w:left="460"/>
              <w:spacing w:after="0"/>
              <w:rPr>
                <w:sz w:val="20"/>
                <w:szCs w:val="20"/>
                <w:color w:val="auto"/>
              </w:rPr>
            </w:pPr>
            <w:r>
              <w:rPr>
                <w:rFonts w:ascii="Arial" w:cs="Arial" w:eastAsia="Arial" w:hAnsi="Arial"/>
                <w:sz w:val="14"/>
                <w:szCs w:val="14"/>
                <w:color w:val="auto"/>
              </w:rPr>
              <w:t>Deferred revenue including upfront solution fees</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(6,725)</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(6,940)</w:t>
            </w:r>
          </w:p>
        </w:tc>
        <w:tc>
          <w:tcPr>
            <w:tcW w:w="0" w:type="dxa"/>
            <w:vAlign w:val="bottom"/>
          </w:tcPr>
          <w:p>
            <w:pPr>
              <w:spacing w:after="0"/>
              <w:rPr>
                <w:sz w:val="1"/>
                <w:szCs w:val="1"/>
                <w:color w:val="auto"/>
              </w:rPr>
            </w:pPr>
          </w:p>
        </w:tc>
      </w:tr>
      <w:tr>
        <w:trPr>
          <w:trHeight w:val="209"/>
        </w:trPr>
        <w:tc>
          <w:tcPr>
            <w:tcW w:w="7000" w:type="dxa"/>
            <w:vAlign w:val="bottom"/>
          </w:tcPr>
          <w:p>
            <w:pPr>
              <w:ind w:left="660"/>
              <w:spacing w:after="0"/>
              <w:rPr>
                <w:sz w:val="20"/>
                <w:szCs w:val="20"/>
                <w:color w:val="auto"/>
              </w:rPr>
            </w:pPr>
            <w:r>
              <w:rPr>
                <w:rFonts w:ascii="Arial" w:cs="Arial" w:eastAsia="Arial" w:hAnsi="Arial"/>
                <w:sz w:val="14"/>
                <w:szCs w:val="14"/>
                <w:color w:val="auto"/>
              </w:rPr>
              <w:t>Cash used in operating activities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(134,160)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(63,961)</w:t>
            </w:r>
          </w:p>
        </w:tc>
        <w:tc>
          <w:tcPr>
            <w:tcW w:w="0" w:type="dxa"/>
            <w:vAlign w:val="bottom"/>
          </w:tcPr>
          <w:p>
            <w:pPr>
              <w:spacing w:after="0"/>
              <w:rPr>
                <w:sz w:val="1"/>
                <w:szCs w:val="1"/>
                <w:color w:val="auto"/>
              </w:rPr>
            </w:pPr>
          </w:p>
        </w:tc>
      </w:tr>
      <w:tr>
        <w:trPr>
          <w:trHeight w:val="202"/>
        </w:trPr>
        <w:tc>
          <w:tcPr>
            <w:tcW w:w="70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Additions to property and equipment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(16,871)</w:t>
            </w:r>
          </w:p>
        </w:tc>
        <w:tc>
          <w:tcPr>
            <w:tcW w:w="0" w:type="dxa"/>
            <w:vAlign w:val="bottom"/>
          </w:tcPr>
          <w:p>
            <w:pPr>
              <w:spacing w:after="0"/>
              <w:rPr>
                <w:sz w:val="1"/>
                <w:szCs w:val="1"/>
                <w:color w:val="auto"/>
              </w:rPr>
            </w:pPr>
          </w:p>
        </w:tc>
      </w:tr>
      <w:tr>
        <w:trPr>
          <w:trHeight w:val="217"/>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sale of assets</w:t>
            </w:r>
          </w:p>
        </w:tc>
        <w:tc>
          <w:tcPr>
            <w:tcW w:w="12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9,641</w:t>
            </w:r>
          </w:p>
        </w:tc>
        <w:tc>
          <w:tcPr>
            <w:tcW w:w="0" w:type="dxa"/>
            <w:vAlign w:val="bottom"/>
          </w:tcPr>
          <w:p>
            <w:pPr>
              <w:spacing w:after="0"/>
              <w:rPr>
                <w:sz w:val="1"/>
                <w:szCs w:val="1"/>
                <w:color w:val="auto"/>
              </w:rPr>
            </w:pPr>
          </w:p>
        </w:tc>
      </w:tr>
      <w:tr>
        <w:trPr>
          <w:trHeight w:val="209"/>
        </w:trPr>
        <w:tc>
          <w:tcPr>
            <w:tcW w:w="7000" w:type="dxa"/>
            <w:vAlign w:val="bottom"/>
          </w:tcPr>
          <w:p>
            <w:pPr>
              <w:ind w:left="540"/>
              <w:spacing w:after="0"/>
              <w:rPr>
                <w:sz w:val="20"/>
                <w:szCs w:val="20"/>
                <w:color w:val="auto"/>
              </w:rPr>
            </w:pPr>
            <w:r>
              <w:rPr>
                <w:rFonts w:ascii="Arial" w:cs="Arial" w:eastAsia="Arial" w:hAnsi="Arial"/>
                <w:sz w:val="14"/>
                <w:szCs w:val="14"/>
                <w:color w:val="auto"/>
              </w:rPr>
              <w:t>Cash used in investing activities</w:t>
            </w:r>
          </w:p>
        </w:tc>
        <w:tc>
          <w:tcPr>
            <w:tcW w:w="1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(7,230)</w:t>
            </w:r>
          </w:p>
        </w:tc>
        <w:tc>
          <w:tcPr>
            <w:tcW w:w="0" w:type="dxa"/>
            <w:vAlign w:val="bottom"/>
          </w:tcPr>
          <w:p>
            <w:pPr>
              <w:spacing w:after="0"/>
              <w:rPr>
                <w:sz w:val="1"/>
                <w:szCs w:val="1"/>
                <w:color w:val="auto"/>
              </w:rPr>
            </w:pPr>
          </w:p>
        </w:tc>
      </w:tr>
      <w:tr>
        <w:trPr>
          <w:trHeight w:val="202"/>
        </w:trPr>
        <w:tc>
          <w:tcPr>
            <w:tcW w:w="70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Payments on borrowings from lenders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(94,290)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Payments on borrowings under Securitization Facility</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(72,300)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borrowings under Securitization Facility</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73,400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41,100</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Debt prepayment fees and issuance costs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Net Receipts on Behalf under TSA</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Other financing activities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tcPr>
          <w:p>
            <w:pPr>
              <w:ind w:left="200"/>
              <w:spacing w:after="0"/>
              <w:rPr>
                <w:sz w:val="20"/>
                <w:szCs w:val="20"/>
                <w:color w:val="auto"/>
              </w:rPr>
            </w:pPr>
            <w:r>
              <w:rPr>
                <w:rFonts w:ascii="Arial" w:cs="Arial" w:eastAsia="Arial" w:hAnsi="Arial"/>
                <w:sz w:val="14"/>
                <w:szCs w:val="14"/>
                <w:color w:val="auto"/>
              </w:rPr>
              <w:t>Net payment on the settlement of equity-based awards</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09"/>
        </w:trPr>
        <w:tc>
          <w:tcPr>
            <w:tcW w:w="7000" w:type="dxa"/>
            <w:vAlign w:val="bottom"/>
          </w:tcPr>
          <w:p>
            <w:pPr>
              <w:ind w:left="660"/>
              <w:spacing w:after="0"/>
              <w:rPr>
                <w:sz w:val="20"/>
                <w:szCs w:val="20"/>
                <w:color w:val="auto"/>
              </w:rPr>
            </w:pPr>
            <w:r>
              <w:rPr>
                <w:rFonts w:ascii="Arial" w:cs="Arial" w:eastAsia="Arial" w:hAnsi="Arial"/>
                <w:sz w:val="14"/>
                <w:szCs w:val="14"/>
                <w:color w:val="auto"/>
              </w:rPr>
              <w:t>Cash (used in) provided by financing activities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(92,006)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13,208</w:t>
            </w:r>
          </w:p>
        </w:tc>
        <w:tc>
          <w:tcPr>
            <w:tcW w:w="0" w:type="dxa"/>
            <w:vAlign w:val="bottom"/>
          </w:tcPr>
          <w:p>
            <w:pPr>
              <w:spacing w:after="0"/>
              <w:rPr>
                <w:sz w:val="1"/>
                <w:szCs w:val="1"/>
                <w:color w:val="auto"/>
              </w:rPr>
            </w:pPr>
          </w:p>
        </w:tc>
      </w:tr>
      <w:tr>
        <w:trPr>
          <w:trHeight w:val="202"/>
        </w:trPr>
        <w:tc>
          <w:tcPr>
            <w:tcW w:w="7000" w:type="dxa"/>
            <w:vAlign w:val="bottom"/>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4"/>
                <w:szCs w:val="14"/>
                <w:color w:val="auto"/>
              </w:rPr>
              <w:t>Cash used in operating activities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(16,643)</w:t>
            </w:r>
          </w:p>
        </w:tc>
        <w:tc>
          <w:tcPr>
            <w:tcW w:w="0" w:type="dxa"/>
            <w:vAlign w:val="bottom"/>
          </w:tcPr>
          <w:p>
            <w:pPr>
              <w:spacing w:after="0"/>
              <w:rPr>
                <w:sz w:val="1"/>
                <w:szCs w:val="1"/>
                <w:color w:val="auto"/>
              </w:rPr>
            </w:pPr>
          </w:p>
        </w:tc>
      </w:tr>
      <w:tr>
        <w:trPr>
          <w:trHeight w:val="217"/>
        </w:trPr>
        <w:tc>
          <w:tcPr>
            <w:tcW w:w="7000" w:type="dxa"/>
            <w:vAlign w:val="bottom"/>
          </w:tcPr>
          <w:p>
            <w:pPr>
              <w:ind w:left="200"/>
              <w:spacing w:after="0"/>
              <w:rPr>
                <w:sz w:val="20"/>
                <w:szCs w:val="20"/>
                <w:color w:val="auto"/>
              </w:rPr>
            </w:pPr>
            <w:r>
              <w:rPr>
                <w:rFonts w:ascii="Arial" w:cs="Arial" w:eastAsia="Arial" w:hAnsi="Arial"/>
                <w:sz w:val="14"/>
                <w:szCs w:val="14"/>
                <w:color w:val="auto"/>
              </w:rPr>
              <w:t>Cash provided by (used in) investing activities</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9"/>
        </w:trPr>
        <w:tc>
          <w:tcPr>
            <w:tcW w:w="7000" w:type="dxa"/>
            <w:vAlign w:val="bottom"/>
          </w:tcPr>
          <w:p>
            <w:pPr>
              <w:ind w:left="660"/>
              <w:spacing w:after="0"/>
              <w:rPr>
                <w:sz w:val="20"/>
                <w:szCs w:val="20"/>
                <w:color w:val="auto"/>
              </w:rPr>
            </w:pPr>
            <w:r>
              <w:rPr>
                <w:rFonts w:ascii="Arial" w:cs="Arial" w:eastAsia="Arial" w:hAnsi="Arial"/>
                <w:sz w:val="14"/>
                <w:szCs w:val="14"/>
                <w:color w:val="auto"/>
              </w:rPr>
              <w:t>Cash provided by (used in) discontinued operations</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3,418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(17,662)</w:t>
            </w:r>
          </w:p>
        </w:tc>
        <w:tc>
          <w:tcPr>
            <w:tcW w:w="0" w:type="dxa"/>
            <w:vAlign w:val="bottom"/>
          </w:tcPr>
          <w:p>
            <w:pPr>
              <w:spacing w:after="0"/>
              <w:rPr>
                <w:sz w:val="1"/>
                <w:szCs w:val="1"/>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4"/>
                <w:szCs w:val="14"/>
                <w:color w:val="auto"/>
              </w:rPr>
              <w:t>Decrease in cash, cash equivalents and restricted cash</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(245,512)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(73,350)</w:t>
            </w:r>
          </w:p>
        </w:tc>
        <w:tc>
          <w:tcPr>
            <w:tcW w:w="0" w:type="dxa"/>
            <w:vAlign w:val="bottom"/>
          </w:tcPr>
          <w:p>
            <w:pPr>
              <w:spacing w:after="0"/>
              <w:rPr>
                <w:sz w:val="1"/>
                <w:szCs w:val="1"/>
                <w:color w:val="auto"/>
              </w:rPr>
            </w:pPr>
          </w:p>
        </w:tc>
      </w:tr>
      <w:tr>
        <w:trPr>
          <w:trHeight w:val="217"/>
        </w:trPr>
        <w:tc>
          <w:tcPr>
            <w:tcW w:w="700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910,113</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745,518</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1260" w:type="dxa"/>
            <w:vAlign w:val="bottom"/>
            <w:tcBorders>
              <w:bottom w:val="single" w:sz="8" w:color="auto"/>
            </w:tcBorders>
          </w:tcPr>
          <w:p>
            <w:pPr>
              <w:jc w:val="right"/>
              <w:ind w:right="106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664,601</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672,168</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9"/>
        </w:trPr>
        <w:tc>
          <w:tcPr>
            <w:tcW w:w="7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ectPr>
          <w:pgSz w:w="11900" w:h="16838" w:orient="portrait"/>
          <w:cols w:equalWidth="0" w:num="1">
            <w:col w:w="11220"/>
          </w:cols>
          <w:pgMar w:left="340" w:top="890" w:right="339" w:bottom="1440" w:gutter="0" w:footer="0" w:header="0"/>
        </w:sectPr>
      </w:pPr>
    </w:p>
    <w:bookmarkStart w:id="16" w:name="page17"/>
    <w:bookmarkEnd w:id="16"/>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26" w:lineRule="exact"/>
        <w:rPr>
          <w:sz w:val="20"/>
          <w:szCs w:val="20"/>
          <w:color w:val="auto"/>
        </w:rPr>
      </w:pPr>
    </w:p>
    <w:p>
      <w:pPr>
        <w:jc w:val="both"/>
        <w:spacing w:after="0" w:line="302" w:lineRule="exact"/>
        <w:rPr>
          <w:sz w:val="20"/>
          <w:szCs w:val="20"/>
          <w:color w:val="auto"/>
        </w:rPr>
      </w:pPr>
      <w:r>
        <w:rPr>
          <w:rFonts w:ascii="Arial" w:cs="Arial" w:eastAsia="Arial" w:hAnsi="Arial"/>
          <w:sz w:val="20"/>
          <w:szCs w:val="20"/>
          <w:color w:val="auto"/>
        </w:rPr>
        <w:t>We have included both financial measures prepared in accordance with U.S. generally accepted accounting principles (“GAAP”) as well as certain supplemental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including Adjusted Net Income from continuing operations (“Adjusted Net Income”), Adjusted EBITDA, Normalized Adjusted EBITDA, Adjusted EPS, Free Cash Flow, and ratios derived from these measures. The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are presented in addition to, and not as a substitute for, financial results prepared in accordance with GAAP. GAAP financial measures are presented with equal or greater prominence wherever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are discussed.</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43" w:lineRule="exact"/>
        <w:rPr>
          <w:sz w:val="20"/>
          <w:szCs w:val="20"/>
          <w:color w:val="auto"/>
        </w:rPr>
      </w:pPr>
    </w:p>
    <w:p>
      <w:pPr>
        <w:jc w:val="both"/>
        <w:ind w:firstLine="486"/>
        <w:spacing w:after="0" w:line="311" w:lineRule="exact"/>
        <w:rPr>
          <w:sz w:val="20"/>
          <w:szCs w:val="20"/>
          <w:color w:val="auto"/>
        </w:rPr>
      </w:pPr>
      <w:r>
        <w:rPr>
          <w:rFonts w:ascii="Arial" w:cs="Arial" w:eastAsia="Arial" w:hAnsi="Arial"/>
          <w:sz w:val="20"/>
          <w:szCs w:val="20"/>
          <w:color w:val="auto"/>
        </w:rPr>
        <w:t>Adjusted Net Income is defined as income (loss) from continuing operations adjusted to exclude acquisition</w:t>
      </w:r>
      <w:r>
        <w:rPr>
          <w:rFonts w:ascii="MS PGothic" w:cs="MS PGothic" w:eastAsia="MS PGothic" w:hAnsi="MS PGothic"/>
          <w:sz w:val="20"/>
          <w:szCs w:val="20"/>
          <w:color w:val="auto"/>
        </w:rPr>
        <w:t>‑</w:t>
      </w:r>
      <w:r>
        <w:rPr>
          <w:rFonts w:ascii="Arial" w:cs="Arial" w:eastAsia="Arial" w:hAnsi="Arial"/>
          <w:sz w:val="20"/>
          <w:szCs w:val="20"/>
          <w:color w:val="auto"/>
        </w:rPr>
        <w:t>related amortization; restructuring and other costs; loss on extinguishment of debt; other, net; disposition</w:t>
      </w:r>
      <w:r>
        <w:rPr>
          <w:rFonts w:ascii="MS PGothic" w:cs="MS PGothic" w:eastAsia="MS PGothic" w:hAnsi="MS PGothic"/>
          <w:sz w:val="20"/>
          <w:szCs w:val="20"/>
          <w:color w:val="auto"/>
        </w:rPr>
        <w:t>‑</w:t>
      </w:r>
      <w:r>
        <w:rPr>
          <w:rFonts w:ascii="Arial" w:cs="Arial" w:eastAsia="Arial" w:hAnsi="Arial"/>
          <w:sz w:val="20"/>
          <w:szCs w:val="20"/>
          <w:color w:val="auto"/>
        </w:rPr>
        <w:t>related costs; litigation costs, net; indirect tax matters; stock</w:t>
      </w:r>
      <w:r>
        <w:rPr>
          <w:rFonts w:ascii="MS PGothic" w:cs="MS PGothic" w:eastAsia="MS PGothic" w:hAnsi="MS PGothic"/>
          <w:sz w:val="20"/>
          <w:szCs w:val="20"/>
          <w:color w:val="auto"/>
        </w:rPr>
        <w:t>‑</w:t>
      </w:r>
      <w:r>
        <w:rPr>
          <w:rFonts w:ascii="Arial" w:cs="Arial" w:eastAsia="Arial" w:hAnsi="Arial"/>
          <w:sz w:val="20"/>
          <w:szCs w:val="20"/>
          <w:color w:val="auto"/>
        </w:rPr>
        <w:t>based compensation; and the related tax impacts of these adjustments.</w:t>
      </w:r>
    </w:p>
    <w:p>
      <w:pPr>
        <w:spacing w:after="0" w:line="26" w:lineRule="exact"/>
        <w:rPr>
          <w:sz w:val="20"/>
          <w:szCs w:val="20"/>
          <w:color w:val="auto"/>
        </w:rPr>
      </w:pPr>
    </w:p>
    <w:p>
      <w:pPr>
        <w:jc w:val="both"/>
        <w:ind w:firstLine="486"/>
        <w:spacing w:after="0" w:line="301" w:lineRule="exact"/>
        <w:rPr>
          <w:sz w:val="20"/>
          <w:szCs w:val="20"/>
          <w:color w:val="auto"/>
        </w:rPr>
      </w:pPr>
      <w:r>
        <w:rPr>
          <w:rFonts w:ascii="Arial" w:cs="Arial" w:eastAsia="Arial" w:hAnsi="Arial"/>
          <w:sz w:val="20"/>
          <w:szCs w:val="20"/>
          <w:color w:val="auto"/>
        </w:rPr>
        <w:t>Adjusted EBITDA is defined as income (loss) from continuing operations adjusted to exclude depreciation and amortization of property and equipment; amortization of capitalized implementation costs; acquisition</w:t>
      </w:r>
      <w:r>
        <w:rPr>
          <w:rFonts w:ascii="MS PGothic" w:cs="MS PGothic" w:eastAsia="MS PGothic" w:hAnsi="MS PGothic"/>
          <w:sz w:val="20"/>
          <w:szCs w:val="20"/>
          <w:color w:val="auto"/>
        </w:rPr>
        <w:t>‑</w:t>
      </w:r>
      <w:r>
        <w:rPr>
          <w:rFonts w:ascii="Arial" w:cs="Arial" w:eastAsia="Arial" w:hAnsi="Arial"/>
          <w:sz w:val="20"/>
          <w:szCs w:val="20"/>
          <w:color w:val="auto"/>
        </w:rPr>
        <w:t>related amortization; restructuring and other costs; interest expense, net; other, net; loss on extinguishment of debt; disposition</w:t>
      </w:r>
      <w:r>
        <w:rPr>
          <w:rFonts w:ascii="MS PGothic" w:cs="MS PGothic" w:eastAsia="MS PGothic" w:hAnsi="MS PGothic"/>
          <w:sz w:val="20"/>
          <w:szCs w:val="20"/>
          <w:color w:val="auto"/>
        </w:rPr>
        <w:t>‑</w:t>
      </w:r>
      <w:r>
        <w:rPr>
          <w:rFonts w:ascii="Arial" w:cs="Arial" w:eastAsia="Arial" w:hAnsi="Arial"/>
          <w:sz w:val="20"/>
          <w:szCs w:val="20"/>
          <w:color w:val="auto"/>
        </w:rPr>
        <w:t>related costs; litigation costs, net; indirect tax matters; stock</w:t>
      </w:r>
      <w:r>
        <w:rPr>
          <w:rFonts w:ascii="MS PGothic" w:cs="MS PGothic" w:eastAsia="MS PGothic" w:hAnsi="MS PGothic"/>
          <w:sz w:val="20"/>
          <w:szCs w:val="20"/>
          <w:color w:val="auto"/>
        </w:rPr>
        <w:t>‑</w:t>
      </w:r>
      <w:r>
        <w:rPr>
          <w:rFonts w:ascii="Arial" w:cs="Arial" w:eastAsia="Arial" w:hAnsi="Arial"/>
          <w:sz w:val="20"/>
          <w:szCs w:val="20"/>
          <w:color w:val="auto"/>
        </w:rPr>
        <w:t>based compensation; and the provision for income taxes.</w:t>
      </w:r>
    </w:p>
    <w:p>
      <w:pPr>
        <w:spacing w:after="0" w:line="25" w:lineRule="exact"/>
        <w:rPr>
          <w:sz w:val="20"/>
          <w:szCs w:val="20"/>
          <w:color w:val="auto"/>
        </w:rPr>
      </w:pPr>
    </w:p>
    <w:p>
      <w:pPr>
        <w:jc w:val="both"/>
        <w:ind w:firstLine="486"/>
        <w:spacing w:after="0" w:line="316" w:lineRule="auto"/>
        <w:rPr>
          <w:sz w:val="20"/>
          <w:szCs w:val="20"/>
          <w:color w:val="auto"/>
        </w:rPr>
      </w:pPr>
      <w:r>
        <w:rPr>
          <w:rFonts w:ascii="Arial" w:cs="Arial" w:eastAsia="Arial" w:hAnsi="Arial"/>
          <w:sz w:val="20"/>
          <w:szCs w:val="20"/>
          <w:color w:val="auto"/>
        </w:rPr>
        <w:t>Normalized Adjusted EBITDA and Pro Forma Adjusted EBITDA are defined as Adjusted EBITDA adjusted for the estimated costs historically allocated to Hospitality Solutions.</w:t>
      </w:r>
    </w:p>
    <w:p>
      <w:pPr>
        <w:spacing w:after="0" w:line="2" w:lineRule="exact"/>
        <w:rPr>
          <w:sz w:val="20"/>
          <w:szCs w:val="20"/>
          <w:color w:val="auto"/>
        </w:rPr>
      </w:pPr>
    </w:p>
    <w:p>
      <w:pPr>
        <w:jc w:val="both"/>
        <w:ind w:firstLine="486"/>
        <w:spacing w:after="0" w:line="324" w:lineRule="auto"/>
        <w:rPr>
          <w:sz w:val="20"/>
          <w:szCs w:val="20"/>
          <w:color w:val="auto"/>
        </w:rPr>
      </w:pPr>
      <w:r>
        <w:rPr>
          <w:rFonts w:ascii="Arial" w:cs="Arial" w:eastAsia="Arial" w:hAnsi="Arial"/>
          <w:sz w:val="20"/>
          <w:szCs w:val="20"/>
          <w:color w:val="auto"/>
        </w:rPr>
        <w:t>Free Cash Flow is defined as cash (used in) provided by operating activities, less cash used for additions to property and equipment.</w:t>
      </w:r>
    </w:p>
    <w:p>
      <w:pPr>
        <w:ind w:left="500"/>
        <w:spacing w:after="0"/>
        <w:rPr>
          <w:sz w:val="20"/>
          <w:szCs w:val="20"/>
          <w:color w:val="auto"/>
        </w:rPr>
      </w:pPr>
      <w:r>
        <w:rPr>
          <w:rFonts w:ascii="Arial" w:cs="Arial" w:eastAsia="Arial" w:hAnsi="Arial"/>
          <w:sz w:val="20"/>
          <w:szCs w:val="20"/>
          <w:color w:val="auto"/>
        </w:rPr>
        <w:t>Pro Forma Free Cash Flow is defined as Free Cash Flow adjusted to give effect to the Hospitality Solutions Sale.</w:t>
      </w:r>
    </w:p>
    <w:p>
      <w:pPr>
        <w:spacing w:after="0" w:line="31" w:lineRule="exact"/>
        <w:rPr>
          <w:sz w:val="20"/>
          <w:szCs w:val="20"/>
          <w:color w:val="auto"/>
        </w:rPr>
      </w:pPr>
    </w:p>
    <w:p>
      <w:pPr>
        <w:ind w:left="500"/>
        <w:spacing w:after="0" w:line="230" w:lineRule="exact"/>
        <w:rPr>
          <w:sz w:val="20"/>
          <w:szCs w:val="20"/>
          <w:color w:val="auto"/>
        </w:rPr>
      </w:pPr>
      <w:r>
        <w:rPr>
          <w:rFonts w:ascii="Arial" w:cs="Arial" w:eastAsia="Arial" w:hAnsi="Arial"/>
          <w:sz w:val="20"/>
          <w:szCs w:val="20"/>
          <w:color w:val="auto"/>
        </w:rPr>
        <w:t>Adjusted EPS is defined as Adjusted Net Income divided by diluted weighted</w:t>
      </w:r>
      <w:r>
        <w:rPr>
          <w:rFonts w:ascii="MS PGothic" w:cs="MS PGothic" w:eastAsia="MS PGothic" w:hAnsi="MS PGothic"/>
          <w:sz w:val="20"/>
          <w:szCs w:val="20"/>
          <w:color w:val="auto"/>
        </w:rPr>
        <w:t>‑</w:t>
      </w:r>
      <w:r>
        <w:rPr>
          <w:rFonts w:ascii="Arial" w:cs="Arial" w:eastAsia="Arial" w:hAnsi="Arial"/>
          <w:sz w:val="20"/>
          <w:szCs w:val="20"/>
          <w:color w:val="auto"/>
        </w:rPr>
        <w:t>average common shares outstanding.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 and Use by Management</w:t>
      </w:r>
    </w:p>
    <w:p>
      <w:pPr>
        <w:spacing w:after="0" w:line="43" w:lineRule="exact"/>
        <w:rPr>
          <w:sz w:val="20"/>
          <w:szCs w:val="20"/>
          <w:color w:val="auto"/>
        </w:rPr>
      </w:pPr>
    </w:p>
    <w:p>
      <w:pPr>
        <w:jc w:val="both"/>
        <w:ind w:firstLine="486"/>
        <w:spacing w:after="0" w:line="306" w:lineRule="exact"/>
        <w:rPr>
          <w:sz w:val="20"/>
          <w:szCs w:val="20"/>
          <w:color w:val="auto"/>
        </w:rPr>
      </w:pPr>
      <w:r>
        <w:rPr>
          <w:rFonts w:ascii="Arial" w:cs="Arial" w:eastAsia="Arial" w:hAnsi="Arial"/>
          <w:sz w:val="20"/>
          <w:szCs w:val="20"/>
          <w:color w:val="auto"/>
        </w:rPr>
        <w:t>Management and the board of directors use 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to evaluate trends in our operating performance, assess period</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period comparability, and support internal planning and decision</w:t>
      </w:r>
      <w:r>
        <w:rPr>
          <w:rFonts w:ascii="MS PGothic" w:cs="MS PGothic" w:eastAsia="MS PGothic" w:hAnsi="MS PGothic"/>
          <w:sz w:val="20"/>
          <w:szCs w:val="20"/>
          <w:color w:val="auto"/>
        </w:rPr>
        <w:t>‑</w:t>
      </w:r>
      <w:r>
        <w:rPr>
          <w:rFonts w:ascii="Arial" w:cs="Arial" w:eastAsia="Arial" w:hAnsi="Arial"/>
          <w:sz w:val="20"/>
          <w:szCs w:val="20"/>
          <w:color w:val="auto"/>
        </w:rPr>
        <w:t>making. These measures are particularly useful in evaluating operating performance because historical results have been affected by items that management believes are not indicative of ongoing core operations. In addition, amounts derived from Adjusted EBITDA are used in connection with certain financial covenants under our senior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jc w:val="both"/>
        <w:ind w:firstLine="486"/>
        <w:spacing w:after="0" w:line="313" w:lineRule="exact"/>
        <w:rPr>
          <w:sz w:val="20"/>
          <w:szCs w:val="20"/>
          <w:color w:val="auto"/>
        </w:rPr>
      </w:pPr>
      <w:r>
        <w:rPr>
          <w:rFonts w:ascii="Arial" w:cs="Arial" w:eastAsia="Arial" w:hAnsi="Arial"/>
          <w:sz w:val="20"/>
          <w:szCs w:val="20"/>
          <w:color w:val="auto"/>
        </w:rPr>
        <w:t>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should not be considered measures of liquidity, nor do they represent cash available for discretionary use. Free Cash Flow does not represent residual cash available for distribution and does not reflect all cash requirements of the business. Other companies, including those within our industry, may define or calculate similarly titled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differently, limiting the usefulness of such measures as comparative tools.</w:t>
      </w:r>
    </w:p>
    <w:p>
      <w:pPr>
        <w:spacing w:after="0" w:line="222"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Limitations of Non</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GAAP Financial Measures</w:t>
      </w:r>
    </w:p>
    <w:p>
      <w:pPr>
        <w:spacing w:after="0" w:line="127" w:lineRule="exact"/>
        <w:rPr>
          <w:sz w:val="20"/>
          <w:szCs w:val="20"/>
          <w:color w:val="auto"/>
        </w:rPr>
      </w:pPr>
    </w:p>
    <w:p>
      <w:pPr>
        <w:jc w:val="both"/>
        <w:ind w:firstLine="486"/>
        <w:spacing w:after="0" w:line="307" w:lineRule="auto"/>
        <w:rPr>
          <w:sz w:val="20"/>
          <w:szCs w:val="20"/>
          <w:color w:val="auto"/>
        </w:rPr>
      </w:pPr>
      <w:r>
        <w:rPr>
          <w:rFonts w:ascii="Arial" w:cs="Arial" w:eastAsia="Arial" w:hAnsi="Arial"/>
          <w:sz w:val="20"/>
          <w:szCs w:val="20"/>
          <w:color w:val="auto"/>
        </w:rPr>
        <w:t>Adjusted Net Income, Adjusted EBITDA, Normalized Adjusted EBITDA, Adjusted EPS, Free Cash Flow, and related ratios are not recognized measures under GAAP and have inherent limitations as analytical tools. Accordingly, they should not be considered in isolation or as substitutes for net income (loss), income (loss) from continuing operations, or cash flows from operating activities prepared in accordance with GAAP.</w:t>
      </w:r>
    </w:p>
    <w:p>
      <w:pPr>
        <w:spacing w:after="0" w:line="2" w:lineRule="exact"/>
        <w:rPr>
          <w:sz w:val="20"/>
          <w:szCs w:val="20"/>
          <w:color w:val="auto"/>
        </w:rPr>
      </w:pPr>
    </w:p>
    <w:p>
      <w:pPr>
        <w:ind w:left="500"/>
        <w:spacing w:after="0" w:line="230" w:lineRule="exact"/>
        <w:rPr>
          <w:sz w:val="20"/>
          <w:szCs w:val="20"/>
          <w:color w:val="auto"/>
        </w:rPr>
      </w:pPr>
      <w:r>
        <w:rPr>
          <w:rFonts w:ascii="Arial" w:cs="Arial" w:eastAsia="Arial" w:hAnsi="Arial"/>
          <w:sz w:val="20"/>
          <w:szCs w:val="20"/>
          <w:color w:val="auto"/>
        </w:rPr>
        <w:t>The limitations of 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include, but are not limited to, the following:</w:t>
      </w:r>
    </w:p>
    <w:p>
      <w:pPr>
        <w:spacing w:after="0" w:line="93" w:lineRule="exact"/>
        <w:rPr>
          <w:sz w:val="20"/>
          <w:szCs w:val="20"/>
          <w:color w:val="auto"/>
        </w:rPr>
      </w:pPr>
    </w:p>
    <w:p>
      <w:pPr>
        <w:ind w:left="660" w:hanging="328"/>
        <w:spacing w:after="0" w:line="311" w:lineRule="exact"/>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They exclude certain expenses that are recurring in nature, including stock</w:t>
      </w:r>
      <w:r>
        <w:rPr>
          <w:rFonts w:ascii="MS PGothic" w:cs="MS PGothic" w:eastAsia="MS PGothic" w:hAnsi="MS PGothic"/>
          <w:sz w:val="20"/>
          <w:szCs w:val="20"/>
          <w:color w:val="auto"/>
        </w:rPr>
        <w:t>‑</w:t>
      </w:r>
      <w:r>
        <w:rPr>
          <w:rFonts w:ascii="Arial" w:cs="Arial" w:eastAsia="Arial" w:hAnsi="Arial"/>
          <w:sz w:val="20"/>
          <w:szCs w:val="20"/>
          <w:color w:val="auto"/>
        </w:rPr>
        <w:t>based compensation and amortization of acquired intangible assets.</w:t>
      </w:r>
    </w:p>
    <w:p>
      <w:pPr>
        <w:spacing w:after="0" w:line="16" w:lineRule="exact"/>
        <w:rPr>
          <w:rFonts w:ascii="Arial" w:cs="Arial" w:eastAsia="Arial" w:hAnsi="Arial"/>
          <w:sz w:val="22"/>
          <w:szCs w:val="22"/>
          <w:color w:val="auto"/>
        </w:rPr>
      </w:pPr>
    </w:p>
    <w:p>
      <w:pPr>
        <w:jc w:val="both"/>
        <w:ind w:left="660" w:hanging="328"/>
        <w:spacing w:after="0" w:line="309" w:lineRule="exact"/>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Although depreciation and amortization are non</w:t>
      </w:r>
      <w:r>
        <w:rPr>
          <w:rFonts w:ascii="MS PGothic" w:cs="MS PGothic" w:eastAsia="MS PGothic" w:hAnsi="MS PGothic"/>
          <w:sz w:val="20"/>
          <w:szCs w:val="20"/>
          <w:color w:val="auto"/>
        </w:rPr>
        <w:t>‑</w:t>
      </w:r>
      <w:r>
        <w:rPr>
          <w:rFonts w:ascii="Arial" w:cs="Arial" w:eastAsia="Arial" w:hAnsi="Arial"/>
          <w:sz w:val="20"/>
          <w:szCs w:val="20"/>
          <w:color w:val="auto"/>
        </w:rPr>
        <w:t>cash expenses, the assets being depreciated and amortized may require replacement in the future, and Adjusted EBITDA does not reflect the capital expenditures required for these replacements.</w:t>
      </w:r>
    </w:p>
    <w:p>
      <w:pPr>
        <w:spacing w:after="0" w:line="64" w:lineRule="exact"/>
        <w:rPr>
          <w:rFonts w:ascii="Arial" w:cs="Arial" w:eastAsia="Arial" w:hAnsi="Arial"/>
          <w:sz w:val="22"/>
          <w:szCs w:val="22"/>
          <w:color w:val="auto"/>
        </w:rPr>
      </w:pPr>
    </w:p>
    <w:p>
      <w:pPr>
        <w:ind w:left="660" w:hanging="328"/>
        <w:spacing w:after="0" w:line="306"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Adjusted EBITDA excludes amortization of capitalized implementation costs related to revenue contracts, which may result in future working capital or cash requirements.</w:t>
      </w:r>
    </w:p>
    <w:p>
      <w:pPr>
        <w:spacing w:after="0" w:line="18" w:lineRule="exact"/>
        <w:rPr>
          <w:rFonts w:ascii="Arial" w:cs="Arial" w:eastAsia="Arial" w:hAnsi="Arial"/>
          <w:sz w:val="22"/>
          <w:szCs w:val="22"/>
          <w:color w:val="auto"/>
        </w:rPr>
      </w:pPr>
    </w:p>
    <w:p>
      <w:pPr>
        <w:ind w:left="660" w:hanging="328"/>
        <w:spacing w:after="0" w:line="31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Adjusted Net Income and Adjusted EBITDA do not reflect changes in, or cash requirements associated with, working capital.</w:t>
      </w:r>
    </w:p>
    <w:p>
      <w:pPr>
        <w:spacing w:after="0" w:line="20" w:lineRule="exact"/>
        <w:rPr>
          <w:rFonts w:ascii="Arial" w:cs="Arial" w:eastAsia="Arial" w:hAnsi="Arial"/>
          <w:sz w:val="22"/>
          <w:szCs w:val="22"/>
          <w:color w:val="auto"/>
        </w:rPr>
      </w:pPr>
    </w:p>
    <w:p>
      <w:pPr>
        <w:ind w:left="660" w:hanging="328"/>
        <w:spacing w:after="0" w:line="306"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Adjusted EBITDA does not reflect interest expense, principal repayments, or other cash requirements necessary to service our indebtedness.</w:t>
      </w:r>
    </w:p>
    <w:p>
      <w:pPr>
        <w:spacing w:after="0" w:line="1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0"/>
          <w:szCs w:val="20"/>
          <w:color w:val="auto"/>
        </w:rPr>
        <w:t>Adjusted EBITDA does not reflect income tax payments that could reduce cash available to us.</w:t>
      </w:r>
    </w:p>
    <w:p>
      <w:pPr>
        <w:spacing w:after="0" w:line="84" w:lineRule="exact"/>
        <w:rPr>
          <w:rFonts w:ascii="Arial" w:cs="Arial" w:eastAsia="Arial" w:hAnsi="Arial"/>
          <w:sz w:val="22"/>
          <w:szCs w:val="22"/>
          <w:color w:val="auto"/>
        </w:rPr>
      </w:pPr>
    </w:p>
    <w:p>
      <w:pPr>
        <w:ind w:left="660" w:hanging="328"/>
        <w:spacing w:after="0" w:line="29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Free Cash Flow reflects changes in operating assets and liabilities determined under accrual accounting and does not reflect all cash requirements, including mandatory debt service obligations.</w:t>
      </w:r>
    </w:p>
    <w:p>
      <w:pPr>
        <w:spacing w:after="0" w:line="1" w:lineRule="exact"/>
        <w:rPr>
          <w:rFonts w:ascii="Arial" w:cs="Arial" w:eastAsia="Arial" w:hAnsi="Arial"/>
          <w:sz w:val="22"/>
          <w:szCs w:val="22"/>
          <w:color w:val="auto"/>
        </w:rPr>
      </w:pPr>
    </w:p>
    <w:p>
      <w:pPr>
        <w:ind w:left="660" w:right="20" w:hanging="328"/>
        <w:spacing w:after="0" w:line="315" w:lineRule="exact"/>
        <w:tabs>
          <w:tab w:leader="none" w:pos="655" w:val="left"/>
        </w:tabs>
        <w:numPr>
          <w:ilvl w:val="0"/>
          <w:numId w:val="9"/>
        </w:numPr>
        <w:rPr>
          <w:rFonts w:ascii="Arial" w:cs="Arial" w:eastAsia="Arial" w:hAnsi="Arial"/>
          <w:sz w:val="22"/>
          <w:szCs w:val="22"/>
          <w:color w:val="auto"/>
        </w:rPr>
      </w:pPr>
      <w:r>
        <w:rPr>
          <w:rFonts w:ascii="Arial" w:cs="Arial" w:eastAsia="Arial" w:hAnsi="Arial"/>
          <w:sz w:val="20"/>
          <w:szCs w:val="20"/>
          <w:color w:val="auto"/>
        </w:rPr>
        <w:t>Other companies, including those within our industry, may define or calculate similarly titled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differently, limiting the usefulness of such measures as comparative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08" w:right="339" w:bottom="1440" w:gutter="0" w:footer="0" w:header="0"/>
        </w:sectPr>
      </w:pPr>
    </w:p>
    <w:bookmarkStart w:id="18" w:name="page19"/>
    <w:bookmarkEnd w:id="18"/>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Pro Forma Outlook</w:t>
      </w:r>
    </w:p>
    <w:p>
      <w:pPr>
        <w:spacing w:after="0" w:line="83" w:lineRule="exact"/>
        <w:rPr>
          <w:sz w:val="20"/>
          <w:szCs w:val="20"/>
          <w:color w:val="auto"/>
        </w:rPr>
      </w:pPr>
    </w:p>
    <w:p>
      <w:pPr>
        <w:jc w:val="both"/>
        <w:ind w:firstLine="486"/>
        <w:spacing w:after="0" w:line="324" w:lineRule="auto"/>
        <w:rPr>
          <w:sz w:val="20"/>
          <w:szCs w:val="20"/>
          <w:color w:val="auto"/>
        </w:rPr>
      </w:pPr>
      <w:r>
        <w:rPr>
          <w:rFonts w:ascii="Arial" w:cs="Arial" w:eastAsia="Arial" w:hAnsi="Arial"/>
          <w:sz w:val="20"/>
          <w:szCs w:val="20"/>
          <w:color w:val="auto"/>
        </w:rPr>
        <w:t>The non-GAAP pro forma financial outlook in this press release, including Pro Forma Adjusted EBITDA and Pro Forma Free Cash Flow, is not necessarily indicative of the operating results of the Company after the closing of the Hospitality Solutions Sale and utilization of the net proceeds from the sale to pay down outstanding indebtedness, or of the operating results of the Company in the future. The non-GAAP pro forma financial outlook included in this press release is not pro forma information prepared in accordance with Article 11 of Regulation S-X of the SEC, and the preparation of information in accordance with Article 11 would result in a different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Considerations</w:t>
      </w:r>
    </w:p>
    <w:p>
      <w:pPr>
        <w:spacing w:after="0" w:line="43" w:lineRule="exact"/>
        <w:rPr>
          <w:sz w:val="20"/>
          <w:szCs w:val="20"/>
          <w:color w:val="auto"/>
        </w:rPr>
      </w:pPr>
    </w:p>
    <w:p>
      <w:pPr>
        <w:jc w:val="both"/>
        <w:ind w:firstLine="486"/>
        <w:spacing w:after="0" w:line="311" w:lineRule="exact"/>
        <w:rPr>
          <w:sz w:val="20"/>
          <w:szCs w:val="20"/>
          <w:color w:val="auto"/>
        </w:rPr>
      </w:pPr>
      <w:r>
        <w:rPr>
          <w:rFonts w:ascii="Arial" w:cs="Arial" w:eastAsia="Arial" w:hAnsi="Arial"/>
          <w:sz w:val="20"/>
          <w:szCs w:val="20"/>
          <w:color w:val="auto"/>
        </w:rPr>
        <w:t>Investors are encouraged to review the reconciliation of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 to the most directly comparable GAAP financial measures and to evaluate our operating performance, financial position, and liquidity using GAAP measures in conjunction with, and not in lieu of, these non</w:t>
      </w:r>
      <w:r>
        <w:rPr>
          <w:rFonts w:ascii="MS PGothic" w:cs="MS PGothic" w:eastAsia="MS PGothic" w:hAnsi="MS PGothic"/>
          <w:sz w:val="20"/>
          <w:szCs w:val="20"/>
          <w:color w:val="auto"/>
        </w:rPr>
        <w:t>‑</w:t>
      </w:r>
      <w:r>
        <w:rPr>
          <w:rFonts w:ascii="Arial" w:cs="Arial" w:eastAsia="Arial" w:hAnsi="Arial"/>
          <w:sz w:val="20"/>
          <w:szCs w:val="20"/>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Tabular Reconciliations for Non-GAAP Measures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 thousands, except per share amounts; unaudited)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Reconciliation of Income (loss) from continuing operations to Adjusted Net Income from continuing operations and Income (loss)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from continuing operations to Adjusted EBITDA:</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5"/>
        </w:trPr>
        <w:tc>
          <w:tcPr>
            <w:tcW w:w="8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9,394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15"/>
        </w:trPr>
        <w:tc>
          <w:tcPr>
            <w:tcW w:w="808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80" w:type="dxa"/>
            <w:vAlign w:val="bottom"/>
          </w:tcPr>
          <w:p>
            <w:pPr>
              <w:ind w:left="200"/>
              <w:spacing w:after="0"/>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(1a)</w:t>
            </w:r>
          </w:p>
        </w:tc>
        <w:tc>
          <w:tcPr>
            <w:tcW w:w="32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7,730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7,732</w:t>
            </w:r>
          </w:p>
        </w:tc>
        <w:tc>
          <w:tcPr>
            <w:tcW w:w="0" w:type="dxa"/>
            <w:vAlign w:val="bottom"/>
          </w:tcPr>
          <w:p>
            <w:pPr>
              <w:spacing w:after="0"/>
              <w:rPr>
                <w:sz w:val="1"/>
                <w:szCs w:val="1"/>
                <w:color w:val="auto"/>
              </w:rPr>
            </w:pPr>
          </w:p>
        </w:tc>
      </w:tr>
      <w:tr>
        <w:trPr>
          <w:trHeight w:val="229"/>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9,767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8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8080" w:type="dxa"/>
            <w:vAlign w:val="bottom"/>
          </w:tcPr>
          <w:p>
            <w:pPr>
              <w:ind w:left="200"/>
              <w:spacing w:after="0"/>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(7,001)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29"/>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(4)</w:t>
            </w:r>
          </w:p>
        </w:tc>
        <w:tc>
          <w:tcPr>
            <w:tcW w:w="32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6"/>
        </w:trPr>
        <w:tc>
          <w:tcPr>
            <w:tcW w:w="8080" w:type="dxa"/>
            <w:vAlign w:val="bottom"/>
          </w:tcPr>
          <w:p>
            <w:pPr>
              <w:ind w:left="20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0"/>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(6)</w:t>
            </w:r>
          </w:p>
        </w:tc>
        <w:tc>
          <w:tcPr>
            <w:tcW w:w="320" w:type="dxa"/>
            <w:vAlign w:val="bottom"/>
          </w:tcPr>
          <w:p>
            <w:pPr>
              <w:spacing w:after="0"/>
              <w:rPr>
                <w:sz w:val="19"/>
                <w:szCs w:val="19"/>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6"/>
                <w:szCs w:val="16"/>
                <w:color w:val="auto"/>
              </w:rPr>
              <w:t>Stockholder Matter Costs</w:t>
            </w:r>
            <w:r>
              <w:rPr>
                <w:rFonts w:ascii="Arial" w:cs="Arial" w:eastAsia="Arial" w:hAnsi="Arial"/>
                <w:sz w:val="21"/>
                <w:szCs w:val="21"/>
                <w:color w:val="auto"/>
                <w:vertAlign w:val="superscript"/>
              </w:rPr>
              <w:t>(7)</w:t>
            </w:r>
          </w:p>
        </w:tc>
        <w:tc>
          <w:tcPr>
            <w:tcW w:w="320" w:type="dxa"/>
            <w:vAlign w:val="bottom"/>
          </w:tcPr>
          <w:p>
            <w:pPr>
              <w:spacing w:after="0"/>
              <w:rPr>
                <w:sz w:val="21"/>
                <w:szCs w:val="21"/>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3,491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(8)</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(12,136)</w:t>
            </w:r>
          </w:p>
        </w:tc>
        <w:tc>
          <w:tcPr>
            <w:tcW w:w="0" w:type="dxa"/>
            <w:vAlign w:val="bottom"/>
          </w:tcPr>
          <w:p>
            <w:pPr>
              <w:spacing w:after="0"/>
              <w:rPr>
                <w:sz w:val="1"/>
                <w:szCs w:val="1"/>
                <w:color w:val="auto"/>
              </w:rPr>
            </w:pPr>
          </w:p>
        </w:tc>
      </w:tr>
      <w:tr>
        <w:trPr>
          <w:trHeight w:val="208"/>
        </w:trPr>
        <w:tc>
          <w:tcPr>
            <w:tcW w:w="8080" w:type="dxa"/>
            <w:vAlign w:val="bottom"/>
          </w:tcPr>
          <w:p>
            <w:pPr>
              <w:spacing w:after="0"/>
              <w:rPr>
                <w:sz w:val="20"/>
                <w:szCs w:val="20"/>
                <w:color w:val="auto"/>
              </w:rPr>
            </w:pPr>
            <w:r>
              <w:rPr>
                <w:rFonts w:ascii="Arial" w:cs="Arial" w:eastAsia="Arial" w:hAnsi="Arial"/>
                <w:sz w:val="16"/>
                <w:szCs w:val="16"/>
                <w:color w:val="auto"/>
              </w:rPr>
              <w:t>Adjusted Net Income from continuing operations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24,293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r>
        <w:trPr>
          <w:trHeight w:val="22"/>
        </w:trPr>
        <w:tc>
          <w:tcPr>
            <w:tcW w:w="8080" w:type="dxa"/>
            <w:vAlign w:val="bottom"/>
            <w:vMerge w:val="restart"/>
          </w:tcPr>
          <w:p>
            <w:pPr>
              <w:spacing w:after="0"/>
              <w:rPr>
                <w:sz w:val="20"/>
                <w:szCs w:val="20"/>
                <w:color w:val="auto"/>
              </w:rPr>
            </w:pPr>
            <w:r>
              <w:rPr>
                <w:rFonts w:ascii="Arial" w:cs="Arial" w:eastAsia="Arial" w:hAnsi="Arial"/>
                <w:sz w:val="16"/>
                <w:szCs w:val="16"/>
                <w:color w:val="auto"/>
              </w:rPr>
              <w:t>Adjusted Net Income from continuing operations per share</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08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86"/>
        </w:trPr>
        <w:tc>
          <w:tcPr>
            <w:tcW w:w="8080" w:type="dxa"/>
            <w:vAlign w:val="bottom"/>
          </w:tcPr>
          <w:p>
            <w:pPr>
              <w:spacing w:after="0"/>
              <w:rPr>
                <w:sz w:val="20"/>
                <w:szCs w:val="20"/>
                <w:color w:val="auto"/>
              </w:rPr>
            </w:pPr>
            <w:r>
              <w:rPr>
                <w:rFonts w:ascii="Arial" w:cs="Arial" w:eastAsia="Arial" w:hAnsi="Arial"/>
                <w:sz w:val="16"/>
                <w:szCs w:val="16"/>
                <w:color w:val="auto"/>
              </w:rPr>
              <w:t>Adjusted diluted weighted-average common shares outstanding</w:t>
            </w:r>
            <w:r>
              <w:rPr>
                <w:rFonts w:ascii="Arial" w:cs="Arial" w:eastAsia="Arial" w:hAnsi="Arial"/>
                <w:sz w:val="21"/>
                <w:szCs w:val="21"/>
                <w:color w:val="auto"/>
                <w:vertAlign w:val="superscript"/>
              </w:rPr>
              <w:t>(9)</w:t>
            </w:r>
          </w:p>
        </w:tc>
        <w:tc>
          <w:tcPr>
            <w:tcW w:w="32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430,897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455,260</w:t>
            </w:r>
          </w:p>
        </w:tc>
        <w:tc>
          <w:tcPr>
            <w:tcW w:w="0" w:type="dxa"/>
            <w:vAlign w:val="bottom"/>
          </w:tcPr>
          <w:p>
            <w:pPr>
              <w:spacing w:after="0"/>
              <w:rPr>
                <w:sz w:val="1"/>
                <w:szCs w:val="1"/>
                <w:color w:val="auto"/>
              </w:rPr>
            </w:pPr>
          </w:p>
        </w:tc>
      </w:tr>
      <w:tr>
        <w:trPr>
          <w:trHeight w:val="415"/>
        </w:trPr>
        <w:tc>
          <w:tcPr>
            <w:tcW w:w="808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9,394</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8080" w:type="dxa"/>
            <w:vAlign w:val="bottom"/>
          </w:tcPr>
          <w:p>
            <w:pPr>
              <w:ind w:left="200"/>
              <w:spacing w:after="0"/>
              <w:rPr>
                <w:sz w:val="20"/>
                <w:szCs w:val="20"/>
                <w:color w:val="auto"/>
              </w:rPr>
            </w:pPr>
            <w:r>
              <w:rPr>
                <w:rFonts w:ascii="Arial" w:cs="Arial" w:eastAsia="Arial" w:hAnsi="Arial"/>
                <w:sz w:val="16"/>
                <w:szCs w:val="16"/>
                <w:color w:val="auto"/>
              </w:rPr>
              <w:t>Depreciation and amortization of property and equipment</w:t>
            </w:r>
            <w:r>
              <w:rPr>
                <w:rFonts w:ascii="Arial" w:cs="Arial" w:eastAsia="Arial" w:hAnsi="Arial"/>
                <w:sz w:val="21"/>
                <w:szCs w:val="21"/>
                <w:color w:val="auto"/>
                <w:vertAlign w:val="superscript"/>
              </w:rPr>
              <w:t>(1b)</w:t>
            </w:r>
          </w:p>
        </w:tc>
        <w:tc>
          <w:tcPr>
            <w:tcW w:w="320" w:type="dxa"/>
            <w:vAlign w:val="bottom"/>
          </w:tcPr>
          <w:p>
            <w:pPr>
              <w:spacing w:after="0"/>
              <w:rPr>
                <w:sz w:val="22"/>
                <w:szCs w:val="22"/>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16,146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14,795</w:t>
            </w:r>
          </w:p>
        </w:tc>
        <w:tc>
          <w:tcPr>
            <w:tcW w:w="0" w:type="dxa"/>
            <w:vAlign w:val="bottom"/>
          </w:tcPr>
          <w:p>
            <w:pPr>
              <w:spacing w:after="0"/>
              <w:rPr>
                <w:sz w:val="1"/>
                <w:szCs w:val="1"/>
                <w:color w:val="auto"/>
              </w:rPr>
            </w:pPr>
          </w:p>
        </w:tc>
      </w:tr>
      <w:tr>
        <w:trPr>
          <w:trHeight w:val="230"/>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Amortization of capitalized implementation costs</w:t>
            </w:r>
            <w:r>
              <w:rPr>
                <w:rFonts w:ascii="Arial" w:cs="Arial" w:eastAsia="Arial" w:hAnsi="Arial"/>
                <w:sz w:val="21"/>
                <w:szCs w:val="21"/>
                <w:color w:val="auto"/>
                <w:vertAlign w:val="superscript"/>
              </w:rPr>
              <w:t>(1c)</w:t>
            </w:r>
          </w:p>
        </w:tc>
        <w:tc>
          <w:tcPr>
            <w:tcW w:w="320" w:type="dxa"/>
            <w:vAlign w:val="bottom"/>
          </w:tcPr>
          <w:p>
            <w:pPr>
              <w:spacing w:after="0"/>
              <w:rPr>
                <w:sz w:val="19"/>
                <w:szCs w:val="19"/>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16"/>
        </w:trPr>
        <w:tc>
          <w:tcPr>
            <w:tcW w:w="8080" w:type="dxa"/>
            <w:vAlign w:val="bottom"/>
          </w:tcPr>
          <w:p>
            <w:pPr>
              <w:ind w:left="200"/>
              <w:spacing w:after="0" w:line="216"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(1a)</w:t>
            </w:r>
          </w:p>
        </w:tc>
        <w:tc>
          <w:tcPr>
            <w:tcW w:w="3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7,730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7,732</w:t>
            </w:r>
          </w:p>
        </w:tc>
        <w:tc>
          <w:tcPr>
            <w:tcW w:w="0" w:type="dxa"/>
            <w:vAlign w:val="bottom"/>
          </w:tcPr>
          <w:p>
            <w:pPr>
              <w:spacing w:after="0"/>
              <w:rPr>
                <w:sz w:val="1"/>
                <w:szCs w:val="1"/>
                <w:color w:val="auto"/>
              </w:rPr>
            </w:pPr>
          </w:p>
        </w:tc>
      </w:tr>
      <w:tr>
        <w:trPr>
          <w:trHeight w:val="216"/>
        </w:trPr>
        <w:tc>
          <w:tcPr>
            <w:tcW w:w="8080" w:type="dxa"/>
            <w:vAlign w:val="bottom"/>
          </w:tcPr>
          <w:p>
            <w:pPr>
              <w:ind w:left="200"/>
              <w:spacing w:after="0" w:line="216" w:lineRule="exact"/>
              <w:rPr>
                <w:sz w:val="20"/>
                <w:szCs w:val="20"/>
                <w:color w:val="auto"/>
              </w:rPr>
            </w:pPr>
            <w:r>
              <w:rPr>
                <w:rFonts w:ascii="Arial" w:cs="Arial" w:eastAsia="Arial" w:hAnsi="Arial"/>
                <w:sz w:val="16"/>
                <w:szCs w:val="16"/>
                <w:color w:val="auto"/>
              </w:rPr>
              <w:t>Restructuring and other costs</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9,767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122,963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109,790</w:t>
            </w:r>
          </w:p>
        </w:tc>
        <w:tc>
          <w:tcPr>
            <w:tcW w:w="0" w:type="dxa"/>
            <w:vAlign w:val="bottom"/>
          </w:tcPr>
          <w:p>
            <w:pPr>
              <w:spacing w:after="0"/>
              <w:rPr>
                <w:sz w:val="1"/>
                <w:szCs w:val="1"/>
                <w:color w:val="auto"/>
              </w:rPr>
            </w:pPr>
          </w:p>
        </w:tc>
      </w:tr>
      <w:tr>
        <w:trPr>
          <w:trHeight w:val="217"/>
        </w:trPr>
        <w:tc>
          <w:tcPr>
            <w:tcW w:w="8080" w:type="dxa"/>
            <w:vAlign w:val="bottom"/>
          </w:tcPr>
          <w:p>
            <w:pPr>
              <w:ind w:left="200"/>
              <w:spacing w:after="0" w:line="218"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(3)</w:t>
            </w:r>
          </w:p>
        </w:tc>
        <w:tc>
          <w:tcPr>
            <w:tcW w:w="3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15"/>
        </w:trPr>
        <w:tc>
          <w:tcPr>
            <w:tcW w:w="808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80" w:type="dxa"/>
            <w:vAlign w:val="bottom"/>
          </w:tcPr>
          <w:p>
            <w:pPr>
              <w:ind w:left="200"/>
              <w:spacing w:after="0" w:line="218" w:lineRule="exact"/>
              <w:rPr>
                <w:sz w:val="20"/>
                <w:szCs w:val="20"/>
                <w:color w:val="auto"/>
              </w:rPr>
            </w:pPr>
            <w:r>
              <w:rPr>
                <w:rFonts w:ascii="Arial" w:cs="Arial" w:eastAsia="Arial" w:hAnsi="Arial"/>
                <w:sz w:val="16"/>
                <w:szCs w:val="16"/>
                <w:color w:val="auto"/>
              </w:rPr>
              <w:t>Disposition-related costs</w:t>
            </w:r>
            <w:r>
              <w:rPr>
                <w:rFonts w:ascii="Arial" w:cs="Arial" w:eastAsia="Arial" w:hAnsi="Arial"/>
                <w:sz w:val="21"/>
                <w:szCs w:val="21"/>
                <w:color w:val="auto"/>
                <w:vertAlign w:val="superscript"/>
              </w:rPr>
              <w:t>(4)</w:t>
            </w: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6"/>
        </w:trPr>
        <w:tc>
          <w:tcPr>
            <w:tcW w:w="8080" w:type="dxa"/>
            <w:vAlign w:val="bottom"/>
          </w:tcPr>
          <w:p>
            <w:pPr>
              <w:ind w:left="200"/>
              <w:spacing w:after="0" w:line="216" w:lineRule="exact"/>
              <w:rPr>
                <w:sz w:val="20"/>
                <w:szCs w:val="20"/>
                <w:color w:val="auto"/>
              </w:rPr>
            </w:pPr>
            <w:r>
              <w:rPr>
                <w:rFonts w:ascii="Arial" w:cs="Arial" w:eastAsia="Arial" w:hAnsi="Arial"/>
                <w:sz w:val="16"/>
                <w:szCs w:val="16"/>
                <w:color w:val="auto"/>
              </w:rPr>
              <w:t>Indirect tax matters</w:t>
            </w:r>
            <w:r>
              <w:rPr>
                <w:rFonts w:ascii="Arial" w:cs="Arial" w:eastAsia="Arial" w:hAnsi="Arial"/>
                <w:sz w:val="21"/>
                <w:szCs w:val="21"/>
                <w:color w:val="auto"/>
                <w:vertAlign w:val="superscript"/>
              </w:rPr>
              <w:t>(5)</w:t>
            </w:r>
          </w:p>
        </w:tc>
        <w:tc>
          <w:tcPr>
            <w:tcW w:w="3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29"/>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(6)</w:t>
            </w:r>
          </w:p>
        </w:tc>
        <w:tc>
          <w:tcPr>
            <w:tcW w:w="320" w:type="dxa"/>
            <w:vAlign w:val="bottom"/>
          </w:tcPr>
          <w:p>
            <w:pPr>
              <w:spacing w:after="0"/>
              <w:rPr>
                <w:sz w:val="19"/>
                <w:szCs w:val="19"/>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12,312</w:t>
            </w:r>
          </w:p>
        </w:tc>
        <w:tc>
          <w:tcPr>
            <w:tcW w:w="0" w:type="dxa"/>
            <w:vAlign w:val="bottom"/>
          </w:tcPr>
          <w:p>
            <w:pPr>
              <w:spacing w:after="0"/>
              <w:rPr>
                <w:sz w:val="1"/>
                <w:szCs w:val="1"/>
                <w:color w:val="auto"/>
              </w:rPr>
            </w:pPr>
          </w:p>
        </w:tc>
      </w:tr>
      <w:tr>
        <w:trPr>
          <w:trHeight w:val="230"/>
        </w:trPr>
        <w:tc>
          <w:tcPr>
            <w:tcW w:w="8080" w:type="dxa"/>
            <w:vAlign w:val="bottom"/>
          </w:tcPr>
          <w:p>
            <w:pPr>
              <w:ind w:left="200"/>
              <w:spacing w:after="0" w:line="230" w:lineRule="exact"/>
              <w:rPr>
                <w:sz w:val="20"/>
                <w:szCs w:val="20"/>
                <w:color w:val="auto"/>
              </w:rPr>
            </w:pPr>
            <w:r>
              <w:rPr>
                <w:rFonts w:ascii="Arial" w:cs="Arial" w:eastAsia="Arial" w:hAnsi="Arial"/>
                <w:sz w:val="16"/>
                <w:szCs w:val="16"/>
                <w:color w:val="auto"/>
              </w:rPr>
              <w:t>Stockholder Matter Costs</w:t>
            </w:r>
            <w:r>
              <w:rPr>
                <w:rFonts w:ascii="Arial" w:cs="Arial" w:eastAsia="Arial" w:hAnsi="Arial"/>
                <w:sz w:val="21"/>
                <w:szCs w:val="21"/>
                <w:color w:val="auto"/>
                <w:vertAlign w:val="superscript"/>
              </w:rPr>
              <w:t>(7)</w:t>
            </w:r>
          </w:p>
        </w:tc>
        <w:tc>
          <w:tcPr>
            <w:tcW w:w="320" w:type="dxa"/>
            <w:vAlign w:val="bottom"/>
          </w:tcPr>
          <w:p>
            <w:pPr>
              <w:spacing w:after="0"/>
              <w:rPr>
                <w:sz w:val="19"/>
                <w:szCs w:val="19"/>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3,491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80" w:type="dxa"/>
            <w:vAlign w:val="bottom"/>
          </w:tcPr>
          <w:p>
            <w:pPr>
              <w:ind w:left="200"/>
              <w:spacing w:after="0"/>
              <w:rPr>
                <w:sz w:val="20"/>
                <w:szCs w:val="20"/>
                <w:color w:val="auto"/>
              </w:rPr>
            </w:pPr>
            <w:r>
              <w:rPr>
                <w:rFonts w:ascii="Arial" w:cs="Arial" w:eastAsia="Arial" w:hAnsi="Arial"/>
                <w:sz w:val="16"/>
                <w:szCs w:val="16"/>
                <w:color w:val="auto"/>
              </w:rPr>
              <w:t>Benefit for income taxes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(11,398)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(11,648)</w:t>
            </w: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158,710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130,818</w:t>
            </w:r>
          </w:p>
        </w:tc>
        <w:tc>
          <w:tcPr>
            <w:tcW w:w="0" w:type="dxa"/>
            <w:vAlign w:val="bottom"/>
          </w:tcPr>
          <w:p>
            <w:pPr>
              <w:spacing w:after="0"/>
              <w:rPr>
                <w:sz w:val="1"/>
                <w:szCs w:val="1"/>
                <w:color w:val="auto"/>
              </w:rPr>
            </w:pPr>
          </w:p>
        </w:tc>
      </w:tr>
      <w:tr>
        <w:trPr>
          <w:trHeight w:val="215"/>
        </w:trPr>
        <w:tc>
          <w:tcPr>
            <w:tcW w:w="8080" w:type="dxa"/>
            <w:vAlign w:val="bottom"/>
          </w:tcPr>
          <w:p>
            <w:pPr>
              <w:ind w:left="200"/>
              <w:spacing w:after="0"/>
              <w:rPr>
                <w:sz w:val="20"/>
                <w:szCs w:val="20"/>
                <w:color w:val="auto"/>
              </w:rPr>
            </w:pPr>
            <w:r>
              <w:rPr>
                <w:rFonts w:ascii="Arial" w:cs="Arial" w:eastAsia="Arial" w:hAnsi="Arial"/>
                <w:sz w:val="16"/>
                <w:szCs w:val="16"/>
                <w:color w:val="auto"/>
              </w:rPr>
              <w:t>Plus estimated costs historically allocated to Hospitality Solutions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10,379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11"/>
        </w:trPr>
        <w:tc>
          <w:tcPr>
            <w:tcW w:w="8080" w:type="dxa"/>
            <w:vAlign w:val="bottom"/>
          </w:tcPr>
          <w:p>
            <w:pPr>
              <w:spacing w:after="0"/>
              <w:rPr>
                <w:sz w:val="20"/>
                <w:szCs w:val="20"/>
                <w:color w:val="auto"/>
              </w:rPr>
            </w:pPr>
            <w:r>
              <w:rPr>
                <w:rFonts w:ascii="Arial" w:cs="Arial" w:eastAsia="Arial" w:hAnsi="Arial"/>
                <w:sz w:val="16"/>
                <w:szCs w:val="16"/>
                <w:color w:val="auto"/>
              </w:rPr>
              <w:t>Normalized Adjusted EBITDA</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169,089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139,656</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8080" w:type="dxa"/>
            <w:vAlign w:val="bottom"/>
          </w:tcPr>
          <w:p>
            <w:pPr>
              <w:spacing w:after="0"/>
              <w:rPr>
                <w:sz w:val="20"/>
                <w:szCs w:val="20"/>
                <w:color w:val="auto"/>
              </w:rPr>
            </w:pPr>
            <w:r>
              <w:rPr>
                <w:rFonts w:ascii="Arial" w:cs="Arial" w:eastAsia="Arial" w:hAnsi="Arial"/>
                <w:sz w:val="16"/>
                <w:szCs w:val="16"/>
                <w:color w:val="auto"/>
              </w:rPr>
              <w:t>Net Income Margin</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6"/>
                <w:szCs w:val="16"/>
                <w:color w:val="auto"/>
              </w:rPr>
              <w:t>Adjusted EBITDA margin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6"/>
                <w:szCs w:val="16"/>
                <w:color w:val="auto"/>
              </w:rPr>
              <w:t>Normalized Adjusted EBITDA margin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791"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Reconciliation of Free Cash Flow:</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7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Cash used in 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(134,160)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(63,961)</w:t>
            </w:r>
          </w:p>
        </w:tc>
      </w:tr>
      <w:tr>
        <w:trPr>
          <w:trHeight w:val="215"/>
        </w:trPr>
        <w:tc>
          <w:tcPr>
            <w:tcW w:w="792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(7,230)</w:t>
            </w: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Cash (used in) provided by financing activities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(92,006)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13,208</w:t>
            </w:r>
          </w:p>
        </w:tc>
      </w:tr>
      <w:tr>
        <w:trPr>
          <w:trHeight w:val="582"/>
        </w:trPr>
        <w:tc>
          <w:tcPr>
            <w:tcW w:w="7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7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Cash used in 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(134,160)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(63,961)</w:t>
            </w:r>
          </w:p>
        </w:tc>
      </w:tr>
      <w:tr>
        <w:trPr>
          <w:trHeight w:val="216"/>
        </w:trPr>
        <w:tc>
          <w:tcPr>
            <w:tcW w:w="7920" w:type="dxa"/>
            <w:vAlign w:val="bottom"/>
          </w:tcPr>
          <w:p>
            <w:pPr>
              <w:ind w:left="240"/>
              <w:spacing w:after="0"/>
              <w:rPr>
                <w:sz w:val="20"/>
                <w:szCs w:val="20"/>
                <w:color w:val="auto"/>
              </w:rPr>
            </w:pPr>
            <w:r>
              <w:rPr>
                <w:rFonts w:ascii="Arial" w:cs="Arial" w:eastAsia="Arial" w:hAnsi="Arial"/>
                <w:sz w:val="16"/>
                <w:szCs w:val="16"/>
                <w:color w:val="auto"/>
              </w:rPr>
              <w:t>Additions to property and equipment</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(16,871)</w:t>
            </w:r>
          </w:p>
        </w:tc>
      </w:tr>
      <w:tr>
        <w:trPr>
          <w:trHeight w:val="211"/>
        </w:trPr>
        <w:tc>
          <w:tcPr>
            <w:tcW w:w="792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(155,390)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(80,832)</w:t>
            </w:r>
          </w:p>
        </w:tc>
      </w:tr>
      <w:tr>
        <w:trPr>
          <w:trHeight w:val="21"/>
        </w:trPr>
        <w:tc>
          <w:tcPr>
            <w:tcW w:w="7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Free Cash Flow from Discontinued Operations: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920" w:type="dxa"/>
            <w:vAlign w:val="bottom"/>
          </w:tcPr>
          <w:p>
            <w:pPr>
              <w:spacing w:after="0"/>
              <w:rPr>
                <w:sz w:val="17"/>
                <w:szCs w:val="17"/>
                <w:color w:val="auto"/>
              </w:rPr>
            </w:pPr>
          </w:p>
        </w:tc>
        <w:tc>
          <w:tcPr>
            <w:tcW w:w="330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7920" w:type="dxa"/>
            <w:vAlign w:val="bottom"/>
          </w:tcPr>
          <w:p>
            <w:pPr>
              <w:spacing w:after="0"/>
              <w:rPr>
                <w:sz w:val="16"/>
                <w:szCs w:val="16"/>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Cash used in operating activities from Discontinued Operations</w:t>
            </w:r>
          </w:p>
        </w:tc>
        <w:tc>
          <w:tcPr>
            <w:tcW w:w="1080" w:type="dxa"/>
            <w:vAlign w:val="bottom"/>
          </w:tcPr>
          <w:p>
            <w:pPr>
              <w:jc w:val="right"/>
              <w:ind w:right="884"/>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(16,643)</w:t>
            </w: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Additions to property and equipment from Discontinued Operations</w:t>
            </w:r>
          </w:p>
        </w:tc>
        <w:tc>
          <w:tcPr>
            <w:tcW w:w="10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1"/>
        </w:trPr>
        <w:tc>
          <w:tcPr>
            <w:tcW w:w="7920" w:type="dxa"/>
            <w:vAlign w:val="bottom"/>
          </w:tcPr>
          <w:p>
            <w:pPr>
              <w:spacing w:after="0"/>
              <w:rPr>
                <w:sz w:val="20"/>
                <w:szCs w:val="20"/>
                <w:color w:val="auto"/>
              </w:rPr>
            </w:pPr>
            <w:r>
              <w:rPr>
                <w:rFonts w:ascii="Arial" w:cs="Arial" w:eastAsia="Arial" w:hAnsi="Arial"/>
                <w:sz w:val="16"/>
                <w:szCs w:val="16"/>
                <w:color w:val="auto"/>
              </w:rPr>
              <w:t>Free Cash Flow from Discontinued Operations</w:t>
            </w:r>
          </w:p>
        </w:tc>
        <w:tc>
          <w:tcPr>
            <w:tcW w:w="108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(17,662)</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009" w:right="339" w:bottom="1440" w:gutter="0" w:footer="0" w:header="0"/>
        </w:sectPr>
      </w:pPr>
    </w:p>
    <w:bookmarkStart w:id="21" w:name="page22"/>
    <w:bookmarkEnd w:id="21"/>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Footnotes</w:t>
      </w:r>
    </w:p>
    <w:p>
      <w:pPr>
        <w:spacing w:after="0" w:line="35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Depreciation and amortization expenses:</w:t>
      </w:r>
    </w:p>
    <w:p>
      <w:pPr>
        <w:spacing w:after="0" w:line="121" w:lineRule="exact"/>
        <w:rPr>
          <w:rFonts w:ascii="Arial" w:cs="Arial" w:eastAsia="Arial" w:hAnsi="Arial"/>
          <w:sz w:val="20"/>
          <w:szCs w:val="20"/>
          <w:color w:val="auto"/>
        </w:rPr>
      </w:pPr>
    </w:p>
    <w:p>
      <w:pPr>
        <w:ind w:left="580" w:right="20" w:hanging="248"/>
        <w:spacing w:after="0" w:line="316" w:lineRule="auto"/>
        <w:tabs>
          <w:tab w:leader="none" w:pos="634" w:val="left"/>
        </w:tabs>
        <w:numPr>
          <w:ilvl w:val="2"/>
          <w:numId w:val="10"/>
        </w:numPr>
        <w:rPr>
          <w:rFonts w:ascii="Arial" w:cs="Arial" w:eastAsia="Arial" w:hAnsi="Arial"/>
          <w:sz w:val="20"/>
          <w:szCs w:val="20"/>
          <w:color w:val="auto"/>
        </w:rPr>
      </w:pPr>
      <w:r>
        <w:rPr>
          <w:rFonts w:ascii="Arial" w:cs="Arial" w:eastAsia="Arial" w:hAnsi="Arial"/>
          <w:sz w:val="20"/>
          <w:szCs w:val="20"/>
          <w:color w:val="auto"/>
        </w:rPr>
        <w:t>Acquisition-related amortization represents amortization of intangible assets from the take-private transaction in 2007 as well as intangibles associated with acquisitions since that date.</w:t>
      </w:r>
    </w:p>
    <w:p>
      <w:pPr>
        <w:spacing w:after="0" w:line="1" w:lineRule="exact"/>
        <w:rPr>
          <w:rFonts w:ascii="Arial" w:cs="Arial" w:eastAsia="Arial" w:hAnsi="Arial"/>
          <w:sz w:val="20"/>
          <w:szCs w:val="20"/>
          <w:color w:val="auto"/>
        </w:rPr>
      </w:pPr>
    </w:p>
    <w:p>
      <w:pPr>
        <w:ind w:left="580" w:right="780" w:hanging="248"/>
        <w:spacing w:after="0" w:line="324" w:lineRule="auto"/>
        <w:tabs>
          <w:tab w:leader="none" w:pos="634" w:val="left"/>
        </w:tabs>
        <w:numPr>
          <w:ilvl w:val="2"/>
          <w:numId w:val="10"/>
        </w:numPr>
        <w:rPr>
          <w:rFonts w:ascii="Arial" w:cs="Arial" w:eastAsia="Arial" w:hAnsi="Arial"/>
          <w:sz w:val="20"/>
          <w:szCs w:val="20"/>
          <w:color w:val="auto"/>
        </w:rPr>
      </w:pPr>
      <w:r>
        <w:rPr>
          <w:rFonts w:ascii="Arial" w:cs="Arial" w:eastAsia="Arial" w:hAnsi="Arial"/>
          <w:sz w:val="20"/>
          <w:szCs w:val="20"/>
          <w:color w:val="auto"/>
        </w:rPr>
        <w:t>Depreciation and amortization of property and equipment includes software developed for internal use as well as amortization of contract acquisition costs.</w:t>
      </w:r>
    </w:p>
    <w:p>
      <w:pPr>
        <w:ind w:left="580" w:right="400" w:hanging="248"/>
        <w:spacing w:after="0" w:line="342" w:lineRule="auto"/>
        <w:tabs>
          <w:tab w:leader="none" w:pos="623" w:val="left"/>
        </w:tabs>
        <w:numPr>
          <w:ilvl w:val="2"/>
          <w:numId w:val="10"/>
        </w:numPr>
        <w:rPr>
          <w:rFonts w:ascii="Arial" w:cs="Arial" w:eastAsia="Arial" w:hAnsi="Arial"/>
          <w:sz w:val="20"/>
          <w:szCs w:val="20"/>
          <w:color w:val="auto"/>
        </w:rPr>
      </w:pPr>
      <w:r>
        <w:rPr>
          <w:rFonts w:ascii="Arial" w:cs="Arial" w:eastAsia="Arial" w:hAnsi="Arial"/>
          <w:sz w:val="20"/>
          <w:szCs w:val="20"/>
          <w:color w:val="auto"/>
        </w:rPr>
        <w:t>Amortization of capitalized implementation costs represents amortization of upfront costs to implement new customer contracts under our SaaS and hosted revenue model.</w:t>
      </w:r>
    </w:p>
    <w:p>
      <w:pPr>
        <w:spacing w:after="0" w:line="235" w:lineRule="exact"/>
        <w:rPr>
          <w:rFonts w:ascii="Arial" w:cs="Arial" w:eastAsia="Arial" w:hAnsi="Arial"/>
          <w:sz w:val="20"/>
          <w:szCs w:val="20"/>
          <w:color w:val="auto"/>
        </w:rPr>
      </w:pPr>
    </w:p>
    <w:p>
      <w:pPr>
        <w:ind w:left="340" w:hanging="251"/>
        <w:spacing w:after="0" w:line="342" w:lineRule="auto"/>
        <w:tabs>
          <w:tab w:leader="none" w:pos="405" w:val="left"/>
        </w:tabs>
        <w:numPr>
          <w:ilvl w:val="1"/>
          <w:numId w:val="10"/>
        </w:numPr>
        <w:rPr>
          <w:rFonts w:ascii="Arial" w:cs="Arial" w:eastAsia="Arial" w:hAnsi="Arial"/>
          <w:sz w:val="20"/>
          <w:szCs w:val="20"/>
          <w:color w:val="auto"/>
        </w:rPr>
      </w:pPr>
      <w:r>
        <w:rPr>
          <w:rFonts w:ascii="Arial" w:cs="Arial" w:eastAsia="Arial" w:hAnsi="Arial"/>
          <w:sz w:val="20"/>
          <w:szCs w:val="20"/>
          <w:color w:val="auto"/>
        </w:rPr>
        <w:t>Restructuring and other costs primarily represent charges related to the inflation offset program we began implementing in the fourth quarter of 2025.</w:t>
      </w:r>
    </w:p>
    <w:p>
      <w:pPr>
        <w:spacing w:after="0" w:line="195" w:lineRule="exact"/>
        <w:rPr>
          <w:rFonts w:ascii="Arial" w:cs="Arial" w:eastAsia="Arial" w:hAnsi="Arial"/>
          <w:sz w:val="20"/>
          <w:szCs w:val="20"/>
          <w:color w:val="auto"/>
        </w:rPr>
      </w:pPr>
    </w:p>
    <w:p>
      <w:pPr>
        <w:jc w:val="both"/>
        <w:ind w:left="340" w:hanging="251"/>
        <w:spacing w:after="0" w:line="330" w:lineRule="auto"/>
        <w:tabs>
          <w:tab w:leader="none" w:pos="411" w:val="left"/>
        </w:tabs>
        <w:numPr>
          <w:ilvl w:val="1"/>
          <w:numId w:val="10"/>
        </w:numPr>
        <w:rPr>
          <w:rFonts w:ascii="Arial" w:cs="Arial" w:eastAsia="Arial" w:hAnsi="Arial"/>
          <w:sz w:val="20"/>
          <w:szCs w:val="20"/>
          <w:color w:val="auto"/>
        </w:rPr>
      </w:pPr>
      <w:r>
        <w:rPr>
          <w:rFonts w:ascii="Arial" w:cs="Arial" w:eastAsia="Arial" w:hAnsi="Arial"/>
          <w:sz w:val="20"/>
          <w:szCs w:val="20"/>
          <w:color w:val="auto"/>
        </w:rPr>
        <w:t>Other, net includes $10 million of transition services agreement income, net, in the current year period and a gain on the sale of assets of $5 million recognized in the prior year period. In addition, all periods presented include non-operating gains and losses as well as foreign exchange gains and losses related to the remeasurement of foreign currency denominated balances included in our consolidated balance sheets into the relevant functional currency.</w:t>
      </w:r>
    </w:p>
    <w:p>
      <w:pPr>
        <w:spacing w:after="0" w:line="274" w:lineRule="exact"/>
        <w:rPr>
          <w:rFonts w:ascii="Arial" w:cs="Arial" w:eastAsia="Arial" w:hAnsi="Arial"/>
          <w:sz w:val="20"/>
          <w:szCs w:val="20"/>
          <w:color w:val="auto"/>
        </w:rPr>
      </w:pPr>
    </w:p>
    <w:p>
      <w:pPr>
        <w:ind w:left="380" w:hanging="291"/>
        <w:spacing w:after="0"/>
        <w:tabs>
          <w:tab w:leader="none" w:pos="3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Disposition-related costs represent fees and expenses incurred associated with disposition-related activities.</w:t>
      </w:r>
    </w:p>
    <w:p>
      <w:pPr>
        <w:spacing w:after="0" w:line="391" w:lineRule="exact"/>
        <w:rPr>
          <w:rFonts w:ascii="Arial" w:cs="Arial" w:eastAsia="Arial" w:hAnsi="Arial"/>
          <w:sz w:val="20"/>
          <w:szCs w:val="20"/>
          <w:color w:val="auto"/>
        </w:rPr>
      </w:pPr>
    </w:p>
    <w:p>
      <w:pPr>
        <w:jc w:val="both"/>
        <w:ind w:left="340" w:hanging="251"/>
        <w:spacing w:after="0" w:line="340" w:lineRule="auto"/>
        <w:tabs>
          <w:tab w:leader="none" w:pos="411" w:val="left"/>
        </w:tabs>
        <w:numPr>
          <w:ilvl w:val="1"/>
          <w:numId w:val="10"/>
        </w:numPr>
        <w:rPr>
          <w:rFonts w:ascii="Arial" w:cs="Arial" w:eastAsia="Arial" w:hAnsi="Arial"/>
          <w:sz w:val="20"/>
          <w:szCs w:val="20"/>
          <w:color w:val="auto"/>
        </w:rPr>
      </w:pPr>
      <w:r>
        <w:rPr>
          <w:rFonts w:ascii="Arial" w:cs="Arial" w:eastAsia="Arial" w:hAnsi="Arial"/>
          <w:sz w:val="20"/>
          <w:szCs w:val="20"/>
          <w:color w:val="auto"/>
        </w:rPr>
        <w:t>Indirect tax matters represents charges and adjustments to charges associated with certain digital services taxes ("DST") and other indirect tax matters related to historical periods, which may ultimately be settled in cash, and certain foreign non-income tax litigation matters.</w:t>
      </w:r>
    </w:p>
    <w:p>
      <w:pPr>
        <w:spacing w:after="0" w:line="264" w:lineRule="exact"/>
        <w:rPr>
          <w:rFonts w:ascii="Arial" w:cs="Arial" w:eastAsia="Arial" w:hAnsi="Arial"/>
          <w:sz w:val="20"/>
          <w:szCs w:val="20"/>
          <w:color w:val="auto"/>
        </w:rPr>
      </w:pPr>
    </w:p>
    <w:p>
      <w:pPr>
        <w:ind w:left="340" w:hanging="251"/>
        <w:spacing w:after="0" w:line="356" w:lineRule="auto"/>
        <w:tabs>
          <w:tab w:leader="none" w:pos="410" w:val="left"/>
        </w:tabs>
        <w:numPr>
          <w:ilvl w:val="1"/>
          <w:numId w:val="10"/>
        </w:numPr>
        <w:rPr>
          <w:rFonts w:ascii="Arial" w:cs="Arial" w:eastAsia="Arial" w:hAnsi="Arial"/>
          <w:sz w:val="20"/>
          <w:szCs w:val="20"/>
          <w:color w:val="auto"/>
        </w:rPr>
      </w:pPr>
      <w:r>
        <w:rPr>
          <w:rFonts w:ascii="Arial" w:cs="Arial" w:eastAsia="Arial" w:hAnsi="Arial"/>
          <w:sz w:val="20"/>
          <w:szCs w:val="20"/>
          <w:color w:val="auto"/>
        </w:rPr>
        <w:t>Stock-based compensation represents expense associated with restricted stock units, performance-based restricted stock units, and liability-classified awards related to our 2026 short-term incentive compensation program.</w:t>
      </w:r>
    </w:p>
    <w:p>
      <w:pPr>
        <w:spacing w:after="0" w:line="249" w:lineRule="exact"/>
        <w:rPr>
          <w:rFonts w:ascii="Arial" w:cs="Arial" w:eastAsia="Arial" w:hAnsi="Arial"/>
          <w:sz w:val="20"/>
          <w:szCs w:val="20"/>
          <w:color w:val="auto"/>
        </w:rPr>
      </w:pPr>
    </w:p>
    <w:p>
      <w:pPr>
        <w:jc w:val="both"/>
        <w:ind w:left="340" w:hanging="251"/>
        <w:spacing w:after="0" w:line="333" w:lineRule="auto"/>
        <w:tabs>
          <w:tab w:leader="none" w:pos="411" w:val="left"/>
        </w:tabs>
        <w:numPr>
          <w:ilvl w:val="1"/>
          <w:numId w:val="10"/>
        </w:numPr>
        <w:rPr>
          <w:rFonts w:ascii="Arial" w:cs="Arial" w:eastAsia="Arial" w:hAnsi="Arial"/>
          <w:sz w:val="20"/>
          <w:szCs w:val="20"/>
          <w:color w:val="auto"/>
        </w:rPr>
      </w:pPr>
      <w:r>
        <w:rPr>
          <w:rFonts w:ascii="Arial" w:cs="Arial" w:eastAsia="Arial" w:hAnsi="Arial"/>
          <w:sz w:val="20"/>
          <w:szCs w:val="20"/>
          <w:color w:val="auto"/>
        </w:rPr>
        <w:t>Stockholder matter costs represents external legal and professional advisory fees associated with a strategic governance agreement. These costs are considered non-recurring and are not representative of our core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5" w:lineRule="exact"/>
        <w:rPr>
          <w:sz w:val="20"/>
          <w:szCs w:val="20"/>
          <w:color w:val="auto"/>
        </w:rPr>
      </w:pPr>
    </w:p>
    <w:p>
      <w:pPr>
        <w:jc w:val="both"/>
        <w:ind w:left="260" w:hanging="251"/>
        <w:spacing w:after="0" w:line="333" w:lineRule="auto"/>
        <w:tabs>
          <w:tab w:leader="none" w:pos="331"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tax impact of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valuation allowances and other items.</w:t>
      </w:r>
    </w:p>
    <w:p>
      <w:pPr>
        <w:spacing w:after="0" w:line="271" w:lineRule="exact"/>
        <w:rPr>
          <w:rFonts w:ascii="Arial" w:cs="Arial" w:eastAsia="Arial" w:hAnsi="Arial"/>
          <w:sz w:val="20"/>
          <w:szCs w:val="20"/>
          <w:color w:val="auto"/>
        </w:rPr>
      </w:pPr>
    </w:p>
    <w:p>
      <w:pPr>
        <w:jc w:val="both"/>
        <w:ind w:left="260" w:hanging="251"/>
        <w:spacing w:after="0" w:line="328" w:lineRule="auto"/>
        <w:tabs>
          <w:tab w:leader="none" w:pos="3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Adjusted diluted weighted-average common shares outstanding calculation includes approximately 33 million resulting common shares related to the Exchangeable Notes for the three months ended March 31, 2026. The Adjusted diluted weighted-average common shares outstanding calculation includes 12 million of dilutive stock options and restricted stock awards and approximately 57 million resulting common shares related to the Exchangeable Notes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sectPr>
      <w:pgSz w:w="11900" w:h="16838" w:orient="portrait"/>
      <w:cols w:equalWidth="0" w:num="1">
        <w:col w:w="11160"/>
      </w:cols>
      <w:pgMar w:left="40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
    <w:nsid w:val="1F16E9E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2026-05-07T06:42:03Z</dcterms:created>
  <dcterms:modified xsi:type="dcterms:W3CDTF">2026-05-07T06:42:03Z</dcterms:modified>
</cp:coreProperties>
</file>