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368300</wp:posOffset>
            </wp:positionH>
            <wp:positionV relativeFrom="paragraph">
              <wp:posOffset>209550</wp:posOffset>
            </wp:positionV>
            <wp:extent cx="64058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5880" cy="762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248920</wp:posOffset>
            </wp:positionV>
            <wp:extent cx="64058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0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Pursuant to Section 14(a) of the</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201295</wp:posOffset>
            </wp:positionV>
            <wp:extent cx="13500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80"/>
        <w:spacing w:after="0" w:line="184" w:lineRule="exact"/>
        <w:tabs>
          <w:tab w:leader="none" w:pos="35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5" w:lineRule="exact"/>
        <w:rPr>
          <w:sz w:val="24"/>
          <w:szCs w:val="24"/>
          <w:color w:val="auto"/>
        </w:rPr>
      </w:pPr>
    </w:p>
    <w:p>
      <w:pPr>
        <w:ind w:left="1080" w:hanging="500"/>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08" w:lineRule="exact"/>
        <w:rPr>
          <w:rFonts w:ascii="MS PGothic" w:cs="MS PGothic" w:eastAsia="MS PGothic" w:hAnsi="MS PGothic"/>
          <w:sz w:val="16"/>
          <w:szCs w:val="16"/>
          <w:color w:val="auto"/>
        </w:rPr>
      </w:pPr>
    </w:p>
    <w:p>
      <w:pPr>
        <w:ind w:left="1080" w:hanging="500"/>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17" w:lineRule="exact"/>
        <w:rPr>
          <w:sz w:val="24"/>
          <w:szCs w:val="24"/>
          <w:color w:val="auto"/>
        </w:rPr>
      </w:pPr>
    </w:p>
    <w:p>
      <w:pPr>
        <w:ind w:left="1080" w:hanging="500"/>
        <w:spacing w:after="0"/>
        <w:tabs>
          <w:tab w:leader="none" w:pos="10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13" w:lineRule="exact"/>
        <w:rPr>
          <w:sz w:val="24"/>
          <w:szCs w:val="24"/>
          <w:color w:val="auto"/>
        </w:rPr>
      </w:pPr>
    </w:p>
    <w:p>
      <w:pPr>
        <w:ind w:left="1080" w:hanging="500"/>
        <w:spacing w:after="0"/>
        <w:tabs>
          <w:tab w:leader="none" w:pos="10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12" w:lineRule="exact"/>
        <w:rPr>
          <w:rFonts w:ascii="MS PGothic" w:cs="MS PGothic" w:eastAsia="MS PGothic" w:hAnsi="MS PGothic"/>
          <w:sz w:val="16"/>
          <w:szCs w:val="16"/>
          <w:color w:val="auto"/>
        </w:rPr>
      </w:pPr>
    </w:p>
    <w:p>
      <w:pPr>
        <w:ind w:left="1080" w:hanging="500"/>
        <w:spacing w:after="0"/>
        <w:tabs>
          <w:tab w:leader="none" w:pos="10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Rule 14a-12</w:t>
      </w: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Sabre Corporation</w:t>
      </w:r>
    </w:p>
    <w:p>
      <w:pPr>
        <w:spacing w:after="0" w:line="4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9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12" w:lineRule="exact"/>
        <w:rPr>
          <w:sz w:val="24"/>
          <w:szCs w:val="24"/>
          <w:color w:val="auto"/>
        </w:rPr>
      </w:pPr>
    </w:p>
    <w:p>
      <w:pPr>
        <w:ind w:left="1100" w:hanging="520"/>
        <w:spacing w:after="0"/>
        <w:tabs>
          <w:tab w:leader="none" w:pos="11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12" w:lineRule="exact"/>
        <w:rPr>
          <w:sz w:val="24"/>
          <w:szCs w:val="24"/>
          <w:color w:val="auto"/>
        </w:rPr>
      </w:pPr>
    </w:p>
    <w:p>
      <w:pPr>
        <w:ind w:left="1100" w:hanging="520"/>
        <w:spacing w:after="0"/>
        <w:tabs>
          <w:tab w:leader="none" w:pos="11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11" w:lineRule="exact"/>
        <w:rPr>
          <w:rFonts w:ascii="MS PGothic" w:cs="MS PGothic" w:eastAsia="MS PGothic" w:hAnsi="MS PGothic"/>
          <w:sz w:val="16"/>
          <w:szCs w:val="16"/>
          <w:color w:val="auto"/>
        </w:rPr>
      </w:pPr>
    </w:p>
    <w:p>
      <w:pPr>
        <w:ind w:left="1100" w:hanging="520"/>
        <w:spacing w:after="0"/>
        <w:tabs>
          <w:tab w:leader="none" w:pos="11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368300</wp:posOffset>
            </wp:positionH>
            <wp:positionV relativeFrom="paragraph">
              <wp:posOffset>168275</wp:posOffset>
            </wp:positionV>
            <wp:extent cx="64058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5880" cy="762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207645</wp:posOffset>
            </wp:positionV>
            <wp:extent cx="6405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3098800</wp:posOffset>
            </wp:positionV>
            <wp:extent cx="2040890" cy="494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880"/>
        <w:spacing w:after="0" w:line="264" w:lineRule="auto"/>
        <w:rPr>
          <w:sz w:val="20"/>
          <w:szCs w:val="20"/>
          <w:color w:val="auto"/>
        </w:rPr>
      </w:pPr>
      <w:r>
        <w:rPr>
          <w:rFonts w:ascii="Arial" w:cs="Arial" w:eastAsia="Arial" w:hAnsi="Arial"/>
          <w:sz w:val="56"/>
          <w:szCs w:val="56"/>
          <w:b w:val="1"/>
          <w:bCs w:val="1"/>
          <w:color w:val="auto"/>
        </w:rPr>
        <w:t>Notice of 2023 Annual Meeting of Stockholders and Proxy Statement</w:t>
      </w:r>
    </w:p>
    <w:p>
      <w:pPr>
        <w:sectPr>
          <w:pgSz w:w="11900" w:h="16838" w:orient="portrait"/>
          <w:cols w:equalWidth="0" w:num="1">
            <w:col w:w="10139"/>
          </w:cols>
          <w:pgMar w:left="320" w:top="45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194310</wp:posOffset>
            </wp:positionV>
            <wp:extent cx="2040890" cy="494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89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16, 2023</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Dear Fellow Stockholders:</w:t>
      </w:r>
    </w:p>
    <w:p>
      <w:pPr>
        <w:spacing w:after="0" w:line="189" w:lineRule="exact"/>
        <w:rPr>
          <w:sz w:val="20"/>
          <w:szCs w:val="20"/>
          <w:color w:val="auto"/>
        </w:rPr>
      </w:pPr>
    </w:p>
    <w:p>
      <w:pPr>
        <w:ind w:left="580" w:right="160"/>
        <w:spacing w:after="0" w:line="267" w:lineRule="auto"/>
        <w:rPr>
          <w:sz w:val="20"/>
          <w:szCs w:val="20"/>
          <w:color w:val="auto"/>
        </w:rPr>
      </w:pPr>
      <w:r>
        <w:rPr>
          <w:rFonts w:ascii="Arial" w:cs="Arial" w:eastAsia="Arial" w:hAnsi="Arial"/>
          <w:sz w:val="18"/>
          <w:szCs w:val="18"/>
          <w:color w:val="auto"/>
        </w:rPr>
        <w:t>We are pleased to invite you to the 2023 Annual Meeting of Stockholders. The meeting will be held on Wednesday, April 26, 2023, at 9:30 a.m. local time, at our Global Headquarters, located at 3150 Sabre Drive, Southlake, Texas 76092.</w:t>
      </w:r>
    </w:p>
    <w:p>
      <w:pPr>
        <w:spacing w:after="0" w:line="133" w:lineRule="exact"/>
        <w:rPr>
          <w:sz w:val="20"/>
          <w:szCs w:val="20"/>
          <w:color w:val="auto"/>
        </w:rPr>
      </w:pPr>
    </w:p>
    <w:p>
      <w:pPr>
        <w:ind w:left="580" w:right="620"/>
        <w:spacing w:after="0" w:line="267" w:lineRule="auto"/>
        <w:rPr>
          <w:sz w:val="20"/>
          <w:szCs w:val="20"/>
          <w:color w:val="auto"/>
        </w:rPr>
      </w:pPr>
      <w:r>
        <w:rPr>
          <w:rFonts w:ascii="Arial" w:cs="Arial" w:eastAsia="Arial" w:hAnsi="Arial"/>
          <w:sz w:val="18"/>
          <w:szCs w:val="18"/>
          <w:color w:val="auto"/>
        </w:rPr>
        <w:t>Details about the business to be conducted at the Annual Meeting can be found in the accompanying Notice of Annual Meeting of Stockholders and proxy statement.</w:t>
      </w:r>
    </w:p>
    <w:p>
      <w:pPr>
        <w:spacing w:after="0" w:line="133"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Regardless of whether you plan to attend the Annual Meeting, we urge you to submit your proxy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possible. You may submit your proxy using the proxy card by completing, signing, and dating it, then returning it by mail. Also, most of our stockholders can submit their proxy by telephone or through the Internet. If telephone or Internet voting is available to you, instructions will be included on your proxy card. Additional information about voting your shares is included in the proxy statement.</w:t>
      </w:r>
    </w:p>
    <w:p>
      <w:pPr>
        <w:spacing w:after="0" w:line="156" w:lineRule="exact"/>
        <w:rPr>
          <w:sz w:val="20"/>
          <w:szCs w:val="20"/>
          <w:color w:val="auto"/>
        </w:rPr>
      </w:pPr>
    </w:p>
    <w:p>
      <w:pPr>
        <w:ind w:left="580" w:right="100"/>
        <w:spacing w:after="0" w:line="248" w:lineRule="auto"/>
        <w:rPr>
          <w:sz w:val="20"/>
          <w:szCs w:val="20"/>
          <w:color w:val="auto"/>
        </w:rPr>
      </w:pPr>
      <w:r>
        <w:rPr>
          <w:rFonts w:ascii="Arial" w:cs="Arial" w:eastAsia="Arial" w:hAnsi="Arial"/>
          <w:sz w:val="18"/>
          <w:szCs w:val="18"/>
          <w:color w:val="auto"/>
        </w:rPr>
        <w:t>As in prior years, we are utilizing rules that allow companies to furnish proxy materials to stockholders on the Internet. We believe furnishing proxy materials in this manner allows us to continue to make this information available to our stockholders, while reducing printing and delivery costs and acting in a sustainable manner.</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behalf of your Board of Directors, thank you for your continued interest and support.</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78105</wp:posOffset>
            </wp:positionV>
            <wp:extent cx="1601470" cy="353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1470"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Sean Menke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Chair of the Board and Chief Executive Officer</w:t>
      </w:r>
    </w:p>
    <w:p>
      <w:pPr>
        <w:sectPr>
          <w:pgSz w:w="11900" w:h="16838" w:orient="portrait"/>
          <w:cols w:equalWidth="0" w:num="1">
            <w:col w:w="10660"/>
          </w:cols>
          <w:pgMar w:left="320" w:top="453" w:right="9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194310</wp:posOffset>
            </wp:positionV>
            <wp:extent cx="2684780" cy="14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780" cy="149225"/>
                    </a:xfrm>
                    <a:prstGeom prst="rect">
                      <a:avLst/>
                    </a:prstGeom>
                    <a:noFill/>
                  </pic:spPr>
                </pic:pic>
              </a:graphicData>
            </a:graphic>
          </wp:anchor>
        </w:drawing>
      </w:r>
    </w:p>
    <w:p>
      <w:pPr>
        <w:spacing w:after="0" w:line="311"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FFFFFF"/>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172720</wp:posOffset>
            </wp:positionV>
            <wp:extent cx="2040890" cy="494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89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SABRE CORPORATION</w:t>
      </w:r>
    </w:p>
    <w:p>
      <w:pPr>
        <w:ind w:left="580"/>
        <w:spacing w:after="0"/>
        <w:rPr>
          <w:sz w:val="20"/>
          <w:szCs w:val="20"/>
          <w:color w:val="auto"/>
        </w:rPr>
      </w:pPr>
      <w:r>
        <w:rPr>
          <w:rFonts w:ascii="Arial" w:cs="Arial" w:eastAsia="Arial" w:hAnsi="Arial"/>
          <w:sz w:val="18"/>
          <w:szCs w:val="18"/>
          <w:b w:val="1"/>
          <w:bCs w:val="1"/>
          <w:color w:val="auto"/>
        </w:rPr>
        <w:t>3150 Sabre Drive</w:t>
      </w:r>
    </w:p>
    <w:p>
      <w:pPr>
        <w:ind w:left="580"/>
        <w:spacing w:after="0"/>
        <w:rPr>
          <w:sz w:val="20"/>
          <w:szCs w:val="20"/>
          <w:color w:val="auto"/>
        </w:rPr>
      </w:pPr>
      <w:r>
        <w:rPr>
          <w:rFonts w:ascii="Arial" w:cs="Arial" w:eastAsia="Arial" w:hAnsi="Arial"/>
          <w:sz w:val="18"/>
          <w:szCs w:val="18"/>
          <w:b w:val="1"/>
          <w:bCs w:val="1"/>
          <w:color w:val="auto"/>
        </w:rPr>
        <w:t>Southlake, Texas 76092</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NOTICE OF ANNUAL MEETING OF STOCKHOLDERS</w:t>
      </w:r>
    </w:p>
    <w:p>
      <w:pPr>
        <w:spacing w:after="0" w:line="215" w:lineRule="exact"/>
        <w:rPr>
          <w:sz w:val="20"/>
          <w:szCs w:val="20"/>
          <w:color w:val="auto"/>
        </w:rPr>
      </w:pPr>
    </w:p>
    <w:p>
      <w:pPr>
        <w:jc w:val="both"/>
        <w:ind w:left="580" w:right="580"/>
        <w:spacing w:after="0" w:line="248" w:lineRule="auto"/>
        <w:rPr>
          <w:sz w:val="20"/>
          <w:szCs w:val="20"/>
          <w:color w:val="auto"/>
        </w:rPr>
      </w:pPr>
      <w:r>
        <w:rPr>
          <w:rFonts w:ascii="Arial" w:cs="Arial" w:eastAsia="Arial" w:hAnsi="Arial"/>
          <w:sz w:val="18"/>
          <w:szCs w:val="18"/>
          <w:color w:val="auto"/>
        </w:rPr>
        <w:t>The Annual Meeting of Stockholders (including any adjournments or postponements, the “Annual Meeting”) of Sabre Corporation, a Delaware corporation, will be held at 9:30 a.m. local time on Wednesday, April 26, 2023, at our Global Headquarters, 3150 Sabre Drive, Southlake, Texas 76092, for the following purposes:</w:t>
      </w:r>
    </w:p>
    <w:p>
      <w:pPr>
        <w:spacing w:after="0" w:line="174" w:lineRule="exact"/>
        <w:rPr>
          <w:sz w:val="20"/>
          <w:szCs w:val="20"/>
          <w:color w:val="auto"/>
        </w:rPr>
      </w:pPr>
    </w:p>
    <w:p>
      <w:pPr>
        <w:ind w:left="1080" w:hanging="500"/>
        <w:spacing w:after="0" w:line="253"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elect George Bravante, Jr., Hervé Couturier, Kurt Ekert, Rachel Gonzalez, Gail Mandel, Sean Menke, Phyllis Newhouse, Karl Peterson, Zane Rowe, Gregg Saretsky, John Scott, and Wendi Sturgis to our Board of Directors, each to serve a one-year term,</w:t>
      </w:r>
    </w:p>
    <w:p>
      <w:pPr>
        <w:spacing w:after="0" w:line="161" w:lineRule="exact"/>
        <w:rPr>
          <w:rFonts w:ascii="Arial" w:cs="Arial" w:eastAsia="Arial" w:hAnsi="Arial"/>
          <w:sz w:val="18"/>
          <w:szCs w:val="18"/>
          <w:b w:val="1"/>
          <w:bCs w:val="1"/>
          <w:color w:val="auto"/>
        </w:rPr>
      </w:pPr>
    </w:p>
    <w:p>
      <w:pPr>
        <w:ind w:left="1080" w:right="680" w:hanging="500"/>
        <w:spacing w:after="0" w:line="276"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ratify the appointment of Ernst &amp; Young LLP as our independent auditors for the fiscal year ending December 31, 2023,</w:t>
      </w:r>
    </w:p>
    <w:p>
      <w:pPr>
        <w:spacing w:after="0" w:line="142" w:lineRule="exact"/>
        <w:rPr>
          <w:rFonts w:ascii="Arial" w:cs="Arial" w:eastAsia="Arial" w:hAnsi="Arial"/>
          <w:sz w:val="18"/>
          <w:szCs w:val="18"/>
          <w:b w:val="1"/>
          <w:bCs w:val="1"/>
          <w:color w:val="auto"/>
        </w:rPr>
      </w:pPr>
    </w:p>
    <w:p>
      <w:pPr>
        <w:ind w:left="1080" w:hanging="50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approve our 2023 Omnibus Incentive Compensation Plan,</w:t>
      </w:r>
    </w:p>
    <w:p>
      <w:pPr>
        <w:spacing w:after="0" w:line="213" w:lineRule="exact"/>
        <w:rPr>
          <w:rFonts w:ascii="Arial" w:cs="Arial" w:eastAsia="Arial" w:hAnsi="Arial"/>
          <w:sz w:val="18"/>
          <w:szCs w:val="18"/>
          <w:b w:val="1"/>
          <w:bCs w:val="1"/>
          <w:color w:val="auto"/>
        </w:rPr>
      </w:pPr>
    </w:p>
    <w:p>
      <w:pPr>
        <w:ind w:left="1080" w:hanging="50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hold an advisory vote on the compensation of our named executive officers, and</w:t>
      </w:r>
    </w:p>
    <w:p>
      <w:pPr>
        <w:spacing w:after="0" w:line="213" w:lineRule="exact"/>
        <w:rPr>
          <w:rFonts w:ascii="Arial" w:cs="Arial" w:eastAsia="Arial" w:hAnsi="Arial"/>
          <w:sz w:val="18"/>
          <w:szCs w:val="18"/>
          <w:b w:val="1"/>
          <w:bCs w:val="1"/>
          <w:color w:val="auto"/>
        </w:rPr>
      </w:pPr>
    </w:p>
    <w:p>
      <w:pPr>
        <w:ind w:left="1080" w:right="260" w:hanging="500"/>
        <w:spacing w:after="0" w:line="276"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To transact any other business that may properly come before the Annual Meeting or any adjournments or postponements.</w:t>
      </w:r>
    </w:p>
    <w:p>
      <w:pPr>
        <w:spacing w:after="0" w:line="117" w:lineRule="exact"/>
        <w:rPr>
          <w:sz w:val="20"/>
          <w:szCs w:val="20"/>
          <w:color w:val="auto"/>
        </w:rPr>
      </w:pPr>
    </w:p>
    <w:p>
      <w:pPr>
        <w:ind w:left="580" w:right="60"/>
        <w:spacing w:after="0" w:line="242" w:lineRule="auto"/>
        <w:rPr>
          <w:sz w:val="20"/>
          <w:szCs w:val="20"/>
          <w:color w:val="auto"/>
        </w:rPr>
      </w:pPr>
      <w:r>
        <w:rPr>
          <w:rFonts w:ascii="Arial" w:cs="Arial" w:eastAsia="Arial" w:hAnsi="Arial"/>
          <w:sz w:val="18"/>
          <w:szCs w:val="18"/>
          <w:color w:val="auto"/>
        </w:rPr>
        <w:t xml:space="preserve">Our Board of Directors recommends you vote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twelve nominees for directors named in this proxy statement, (2)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our independent auditors, (3)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our 2023 Omnibus Incentive Compensation Plan, and (4)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advisory, non-binding vote on the compensation of our named executive officers.</w:t>
      </w:r>
    </w:p>
    <w:p>
      <w:pPr>
        <w:spacing w:after="0" w:line="154"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Only stockholders of record at the close of business on February 28, 2023, are entitled to notice of, to attend, and to vote at the Annual Meeting and any adjournments or postponements.</w:t>
      </w:r>
    </w:p>
    <w:p>
      <w:pPr>
        <w:sectPr>
          <w:pgSz w:w="11900" w:h="16838" w:orient="portrait"/>
          <w:cols w:equalWidth="0" w:num="1">
            <w:col w:w="10500"/>
          </w:cols>
          <w:pgMar w:left="320" w:top="453" w:right="10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621915" cy="149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21915" cy="149225"/>
                    </a:xfrm>
                    <a:prstGeom prst="rect">
                      <a:avLst/>
                    </a:prstGeom>
                    <a:noFill/>
                  </pic:spPr>
                </pic:pic>
              </a:graphicData>
            </a:graphic>
          </wp:anchor>
        </w:drawing>
      </w:r>
    </w:p>
    <w:p>
      <w:pPr>
        <w:spacing w:after="0" w:line="31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FFFFFF"/>
        </w:rPr>
        <w:t>NOTICE OF ANNUAL MEETING OF STOCKHOLDERS</w:t>
      </w:r>
    </w:p>
    <w:p>
      <w:pPr>
        <w:spacing w:after="0" w:line="239" w:lineRule="exact"/>
        <w:rPr>
          <w:sz w:val="20"/>
          <w:szCs w:val="20"/>
          <w:color w:val="auto"/>
        </w:rPr>
      </w:pPr>
    </w:p>
    <w:p>
      <w:pPr>
        <w:ind w:left="580" w:right="39"/>
        <w:spacing w:after="0" w:line="267" w:lineRule="auto"/>
        <w:rPr>
          <w:sz w:val="20"/>
          <w:szCs w:val="20"/>
          <w:color w:val="auto"/>
        </w:rPr>
      </w:pPr>
      <w:r>
        <w:rPr>
          <w:rFonts w:ascii="Arial" w:cs="Arial" w:eastAsia="Arial" w:hAnsi="Arial"/>
          <w:sz w:val="18"/>
          <w:szCs w:val="18"/>
          <w:color w:val="auto"/>
        </w:rPr>
        <w:t>Whether or not you expect to attend the Annual Meeting, we encourage you to submit your proxy promptly by using the Internet or telephone or by signing, dating, and returning your proxy card.</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78105</wp:posOffset>
            </wp:positionV>
            <wp:extent cx="1271905" cy="243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1905"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Steve Milton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Corporate Secretary</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298450</wp:posOffset>
            </wp:positionV>
            <wp:extent cx="6405880" cy="643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05880" cy="643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left="1460" w:right="1720"/>
        <w:spacing w:after="0" w:line="23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26, 2023 This proxy statement and the 2022 annual report are available at</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b w:val="1"/>
          <w:bCs w:val="1"/>
          <w:i w:val="1"/>
          <w:iCs w:val="1"/>
          <w:u w:val="single" w:color="auto"/>
          <w:color w:val="CF0A2C"/>
        </w:rPr>
        <w:t>www.proxydocs.com/SABR</w:t>
      </w:r>
    </w:p>
    <w:p>
      <w:pPr>
        <w:sectPr>
          <w:pgSz w:w="11900" w:h="16838" w:orient="portrait"/>
          <w:cols w:equalWidth="0" w:num="1">
            <w:col w:w="10139"/>
          </w:cols>
          <w:pgMar w:left="320" w:top="45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5565140</wp:posOffset>
            </wp:positionH>
            <wp:positionV relativeFrom="paragraph">
              <wp:posOffset>194310</wp:posOffset>
            </wp:positionV>
            <wp:extent cx="1209040" cy="14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149225"/>
                    </a:xfrm>
                    <a:prstGeom prst="rect">
                      <a:avLst/>
                    </a:prstGeom>
                    <a:noFill/>
                  </pic:spPr>
                </pic:pic>
              </a:graphicData>
            </a:graphic>
          </wp:anchor>
        </w:drawing>
      </w:r>
    </w:p>
    <w:p>
      <w:pPr>
        <w:spacing w:after="0" w:line="311" w:lineRule="exact"/>
        <w:rPr>
          <w:sz w:val="20"/>
          <w:szCs w:val="20"/>
          <w:color w:val="auto"/>
        </w:rPr>
      </w:pPr>
    </w:p>
    <w:p>
      <w:pPr>
        <w:ind w:left="8980"/>
        <w:spacing w:after="0"/>
        <w:rPr>
          <w:sz w:val="20"/>
          <w:szCs w:val="20"/>
          <w:color w:val="auto"/>
        </w:rPr>
      </w:pPr>
      <w:r>
        <w:rPr>
          <w:rFonts w:ascii="Arial" w:cs="Arial" w:eastAsia="Arial" w:hAnsi="Arial"/>
          <w:sz w:val="15"/>
          <w:szCs w:val="15"/>
          <w:b w:val="1"/>
          <w:bCs w:val="1"/>
          <w:color w:val="FFFFFF"/>
        </w:rPr>
        <w:t>TABLE OF CONTENTS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TABLE OF CONTENTS</w:t>
      </w:r>
    </w:p>
    <w:p>
      <w:pPr>
        <w:spacing w:after="0" w:line="345"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9720" w:type="dxa"/>
            <w:vAlign w:val="bottom"/>
            <w:gridSpan w:val="36"/>
          </w:tcPr>
          <w:p>
            <w:pPr>
              <w:spacing w:after="0"/>
              <w:rPr>
                <w:sz w:val="20"/>
                <w:szCs w:val="20"/>
                <w:color w:val="auto"/>
              </w:rPr>
            </w:pPr>
            <w:r>
              <w:rPr>
                <w:rFonts w:ascii="Arial" w:cs="Arial" w:eastAsia="Arial" w:hAnsi="Arial"/>
                <w:sz w:val="20"/>
                <w:szCs w:val="20"/>
                <w:b w:val="1"/>
                <w:bCs w:val="1"/>
                <w:color w:val="0000EE"/>
              </w:rPr>
              <w:t>PROXY STATEMENT SUMMARY</w:t>
            </w:r>
          </w:p>
        </w:tc>
        <w:tc>
          <w:tcPr>
            <w:tcW w:w="360" w:type="dxa"/>
            <w:vAlign w:val="bottom"/>
          </w:tcPr>
          <w:p>
            <w:pPr>
              <w:jc w:val="right"/>
              <w:ind w:right="1"/>
              <w:spacing w:after="0"/>
              <w:rPr>
                <w:sz w:val="20"/>
                <w:szCs w:val="20"/>
                <w:color w:val="auto"/>
              </w:rPr>
            </w:pPr>
            <w:r>
              <w:rPr>
                <w:rFonts w:ascii="Arial" w:cs="Arial" w:eastAsia="Arial" w:hAnsi="Arial"/>
                <w:sz w:val="20"/>
                <w:szCs w:val="20"/>
                <w:b w:val="1"/>
                <w:bCs w:val="1"/>
                <w:color w:val="auto"/>
              </w:rPr>
              <w:t>1</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7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9720" w:type="dxa"/>
            <w:vAlign w:val="bottom"/>
            <w:gridSpan w:val="36"/>
          </w:tcPr>
          <w:p>
            <w:pPr>
              <w:spacing w:after="0"/>
              <w:rPr>
                <w:sz w:val="20"/>
                <w:szCs w:val="20"/>
                <w:color w:val="auto"/>
              </w:rPr>
            </w:pPr>
            <w:r>
              <w:rPr>
                <w:rFonts w:ascii="Arial" w:cs="Arial" w:eastAsia="Arial" w:hAnsi="Arial"/>
                <w:sz w:val="20"/>
                <w:szCs w:val="20"/>
                <w:b w:val="1"/>
                <w:bCs w:val="1"/>
                <w:color w:val="0000EE"/>
              </w:rPr>
              <w:t>INFORMATION ABOUT OUR ANNUAL MEETING</w:t>
            </w:r>
          </w:p>
        </w:tc>
        <w:tc>
          <w:tcPr>
            <w:tcW w:w="360" w:type="dxa"/>
            <w:vAlign w:val="bottom"/>
          </w:tcPr>
          <w:p>
            <w:pPr>
              <w:jc w:val="right"/>
              <w:ind w:right="1"/>
              <w:spacing w:after="0"/>
              <w:rPr>
                <w:sz w:val="20"/>
                <w:szCs w:val="20"/>
                <w:color w:val="auto"/>
              </w:rPr>
            </w:pPr>
            <w:r>
              <w:rPr>
                <w:rFonts w:ascii="Arial" w:cs="Arial" w:eastAsia="Arial" w:hAnsi="Arial"/>
                <w:sz w:val="20"/>
                <w:szCs w:val="20"/>
                <w:b w:val="1"/>
                <w:bCs w:val="1"/>
                <w:color w:val="auto"/>
              </w:rPr>
              <w:t>6</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7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2940" w:type="dxa"/>
            <w:vAlign w:val="bottom"/>
            <w:tcBorders>
              <w:bottom w:val="single" w:sz="8" w:color="0000EE"/>
            </w:tcBorders>
            <w:gridSpan w:val="20"/>
          </w:tcPr>
          <w:p>
            <w:pPr>
              <w:spacing w:after="0" w:line="178" w:lineRule="exact"/>
              <w:rPr>
                <w:sz w:val="20"/>
                <w:szCs w:val="20"/>
                <w:color w:val="auto"/>
              </w:rPr>
            </w:pPr>
            <w:r>
              <w:rPr>
                <w:rFonts w:ascii="Arial" w:cs="Arial" w:eastAsia="Arial" w:hAnsi="Arial"/>
                <w:sz w:val="20"/>
                <w:szCs w:val="20"/>
                <w:color w:val="0000EE"/>
                <w:w w:val="97"/>
              </w:rPr>
              <w:t>Date and Time of Annual Meeting</w:t>
            </w:r>
          </w:p>
        </w:tc>
        <w:tc>
          <w:tcPr>
            <w:tcW w:w="6380" w:type="dxa"/>
            <w:vAlign w:val="bottom"/>
            <w:gridSpan w:val="15"/>
          </w:tcPr>
          <w:p>
            <w:pPr>
              <w:spacing w:after="0"/>
              <w:rPr>
                <w:sz w:val="15"/>
                <w:szCs w:val="15"/>
                <w:color w:val="auto"/>
              </w:rPr>
            </w:pPr>
          </w:p>
        </w:tc>
        <w:tc>
          <w:tcPr>
            <w:tcW w:w="360" w:type="dxa"/>
            <w:vAlign w:val="bottom"/>
          </w:tcPr>
          <w:p>
            <w:pPr>
              <w:jc w:val="right"/>
              <w:ind w:right="1"/>
              <w:spacing w:after="0" w:line="178"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203" w:lineRule="exact"/>
              <w:rPr>
                <w:sz w:val="20"/>
                <w:szCs w:val="20"/>
                <w:color w:val="auto"/>
              </w:rPr>
            </w:pPr>
            <w:r>
              <w:rPr>
                <w:rFonts w:ascii="Arial" w:cs="Arial" w:eastAsia="Arial" w:hAnsi="Arial"/>
                <w:sz w:val="20"/>
                <w:szCs w:val="20"/>
                <w:color w:val="0000EE"/>
                <w:w w:val="98"/>
              </w:rPr>
              <w:t>Record Date; Mailing Date</w:t>
            </w:r>
          </w:p>
        </w:tc>
        <w:tc>
          <w:tcPr>
            <w:tcW w:w="7000" w:type="dxa"/>
            <w:vAlign w:val="bottom"/>
            <w:gridSpan w:val="22"/>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Notice of Electronic Availability of Proxy Statement and Annual Report</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120" w:type="dxa"/>
            <w:vAlign w:val="bottom"/>
            <w:tcBorders>
              <w:top w:val="single" w:sz="8" w:color="0000EE"/>
            </w:tcBorders>
            <w:gridSpan w:val="34"/>
          </w:tcPr>
          <w:p>
            <w:pPr>
              <w:spacing w:after="0" w:line="203" w:lineRule="exact"/>
              <w:rPr>
                <w:sz w:val="20"/>
                <w:szCs w:val="20"/>
                <w:color w:val="auto"/>
              </w:rPr>
            </w:pPr>
            <w:r>
              <w:rPr>
                <w:rFonts w:ascii="Arial" w:cs="Arial" w:eastAsia="Arial" w:hAnsi="Arial"/>
                <w:sz w:val="20"/>
                <w:szCs w:val="20"/>
                <w:color w:val="0000EE"/>
              </w:rPr>
              <w:t>How to Vote</w:t>
            </w:r>
          </w:p>
        </w:tc>
        <w:tc>
          <w:tcPr>
            <w:tcW w:w="3200" w:type="dxa"/>
            <w:vAlign w:val="bottom"/>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60" w:type="dxa"/>
            <w:vAlign w:val="bottom"/>
            <w:vMerge w:val="restart"/>
          </w:tcPr>
          <w:p>
            <w:pPr>
              <w:jc w:val="right"/>
              <w:ind w:right="1"/>
              <w:spacing w:after="0" w:line="223" w:lineRule="exact"/>
              <w:rPr>
                <w:sz w:val="20"/>
                <w:szCs w:val="20"/>
                <w:color w:val="auto"/>
              </w:rPr>
            </w:pPr>
            <w:r>
              <w:rPr>
                <w:rFonts w:ascii="Arial" w:cs="Arial" w:eastAsia="Arial" w:hAnsi="Arial"/>
                <w:sz w:val="20"/>
                <w:szCs w:val="20"/>
                <w:color w:val="auto"/>
              </w:rPr>
              <w:t>8</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How to Revoke Your Vote</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203" w:lineRule="exact"/>
              <w:rPr>
                <w:sz w:val="20"/>
                <w:szCs w:val="20"/>
                <w:color w:val="auto"/>
              </w:rPr>
            </w:pPr>
            <w:r>
              <w:rPr>
                <w:rFonts w:ascii="Arial" w:cs="Arial" w:eastAsia="Arial" w:hAnsi="Arial"/>
                <w:sz w:val="20"/>
                <w:szCs w:val="20"/>
                <w:color w:val="0000EE"/>
                <w:w w:val="96"/>
              </w:rPr>
              <w:t>Quorum</w:t>
            </w:r>
          </w:p>
        </w:tc>
        <w:tc>
          <w:tcPr>
            <w:tcW w:w="1520" w:type="dxa"/>
            <w:vAlign w:val="bottom"/>
            <w:tcBorders>
              <w:top w:val="single" w:sz="8" w:color="0000EE"/>
            </w:tcBorders>
            <w:gridSpan w:val="11"/>
          </w:tcPr>
          <w:p>
            <w:pPr>
              <w:spacing w:after="0"/>
              <w:rPr>
                <w:sz w:val="17"/>
                <w:szCs w:val="17"/>
                <w:color w:val="auto"/>
              </w:rPr>
            </w:pPr>
          </w:p>
        </w:tc>
        <w:tc>
          <w:tcPr>
            <w:tcW w:w="7080" w:type="dxa"/>
            <w:vAlign w:val="bottom"/>
            <w:gridSpan w:val="23"/>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203" w:lineRule="exact"/>
              <w:rPr>
                <w:sz w:val="20"/>
                <w:szCs w:val="20"/>
                <w:color w:val="auto"/>
              </w:rPr>
            </w:pPr>
            <w:r>
              <w:rPr>
                <w:rFonts w:ascii="Arial" w:cs="Arial" w:eastAsia="Arial" w:hAnsi="Arial"/>
                <w:sz w:val="20"/>
                <w:szCs w:val="20"/>
                <w:color w:val="0000EE"/>
                <w:w w:val="97"/>
              </w:rPr>
              <w:t>Votes Required</w:t>
            </w:r>
          </w:p>
        </w:tc>
        <w:tc>
          <w:tcPr>
            <w:tcW w:w="7960" w:type="dxa"/>
            <w:vAlign w:val="bottom"/>
            <w:gridSpan w:val="30"/>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40" w:type="dxa"/>
            <w:vAlign w:val="bottom"/>
            <w:tcBorders>
              <w:bottom w:val="single" w:sz="8" w:color="0000EE"/>
            </w:tcBorders>
            <w:gridSpan w:val="22"/>
          </w:tcPr>
          <w:p>
            <w:pPr>
              <w:spacing w:after="0" w:line="203" w:lineRule="exact"/>
              <w:rPr>
                <w:sz w:val="20"/>
                <w:szCs w:val="20"/>
                <w:color w:val="auto"/>
              </w:rPr>
            </w:pPr>
            <w:r>
              <w:rPr>
                <w:rFonts w:ascii="Arial" w:cs="Arial" w:eastAsia="Arial" w:hAnsi="Arial"/>
                <w:sz w:val="20"/>
                <w:szCs w:val="20"/>
                <w:color w:val="0000EE"/>
                <w:w w:val="98"/>
              </w:rPr>
              <w:t>Abstentions and Broker Non-Votes</w:t>
            </w:r>
          </w:p>
        </w:tc>
        <w:tc>
          <w:tcPr>
            <w:tcW w:w="6280" w:type="dxa"/>
            <w:vAlign w:val="bottom"/>
            <w:gridSpan w:val="13"/>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Solicitation of Proxies</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880" w:type="dxa"/>
            <w:vAlign w:val="bottom"/>
            <w:tcBorders>
              <w:top w:val="single" w:sz="8" w:color="0000EE"/>
            </w:tcBorders>
            <w:gridSpan w:val="10"/>
          </w:tcPr>
          <w:p>
            <w:pPr>
              <w:spacing w:after="0" w:line="203" w:lineRule="exact"/>
              <w:rPr>
                <w:sz w:val="20"/>
                <w:szCs w:val="20"/>
                <w:color w:val="auto"/>
              </w:rPr>
            </w:pPr>
            <w:r>
              <w:rPr>
                <w:rFonts w:ascii="Arial" w:cs="Arial" w:eastAsia="Arial" w:hAnsi="Arial"/>
                <w:sz w:val="20"/>
                <w:szCs w:val="20"/>
                <w:color w:val="0000EE"/>
              </w:rPr>
              <w:t>Other Business</w:t>
            </w:r>
          </w:p>
        </w:tc>
        <w:tc>
          <w:tcPr>
            <w:tcW w:w="7440" w:type="dxa"/>
            <w:vAlign w:val="bottom"/>
            <w:gridSpan w:val="25"/>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9720" w:type="dxa"/>
            <w:vAlign w:val="bottom"/>
            <w:gridSpan w:val="36"/>
          </w:tcPr>
          <w:p>
            <w:pPr>
              <w:spacing w:after="0"/>
              <w:rPr>
                <w:sz w:val="20"/>
                <w:szCs w:val="20"/>
                <w:color w:val="auto"/>
              </w:rPr>
            </w:pPr>
            <w:r>
              <w:rPr>
                <w:rFonts w:ascii="Arial" w:cs="Arial" w:eastAsia="Arial" w:hAnsi="Arial"/>
                <w:sz w:val="20"/>
                <w:szCs w:val="20"/>
                <w:b w:val="1"/>
                <w:bCs w:val="1"/>
                <w:color w:val="0000EE"/>
              </w:rPr>
              <w:t>CORPORATE GOVERNANCE</w:t>
            </w:r>
          </w:p>
        </w:tc>
        <w:tc>
          <w:tcPr>
            <w:tcW w:w="360" w:type="dxa"/>
            <w:vAlign w:val="bottom"/>
          </w:tcPr>
          <w:p>
            <w:pPr>
              <w:jc w:val="right"/>
              <w:ind w:right="1"/>
              <w:spacing w:after="0"/>
              <w:rPr>
                <w:sz w:val="20"/>
                <w:szCs w:val="20"/>
                <w:color w:val="auto"/>
              </w:rPr>
            </w:pPr>
            <w:r>
              <w:rPr>
                <w:rFonts w:ascii="Arial" w:cs="Arial" w:eastAsia="Arial" w:hAnsi="Arial"/>
                <w:sz w:val="20"/>
                <w:szCs w:val="20"/>
                <w:b w:val="1"/>
                <w:bCs w:val="1"/>
                <w:color w:val="auto"/>
              </w:rPr>
              <w:t>10</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7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3000" w:type="dxa"/>
            <w:vAlign w:val="bottom"/>
            <w:tcBorders>
              <w:bottom w:val="single" w:sz="8" w:color="0000EE"/>
            </w:tcBorders>
            <w:gridSpan w:val="21"/>
          </w:tcPr>
          <w:p>
            <w:pPr>
              <w:spacing w:after="0"/>
              <w:rPr>
                <w:sz w:val="20"/>
                <w:szCs w:val="20"/>
                <w:color w:val="auto"/>
              </w:rPr>
            </w:pPr>
            <w:r>
              <w:rPr>
                <w:rFonts w:ascii="Arial" w:cs="Arial" w:eastAsia="Arial" w:hAnsi="Arial"/>
                <w:sz w:val="20"/>
                <w:szCs w:val="20"/>
                <w:color w:val="0000EE"/>
                <w:w w:val="98"/>
              </w:rPr>
              <w:t>Corporate Governance Guidelines</w:t>
            </w:r>
          </w:p>
        </w:tc>
        <w:tc>
          <w:tcPr>
            <w:tcW w:w="6320" w:type="dxa"/>
            <w:vAlign w:val="bottom"/>
            <w:gridSpan w:val="14"/>
          </w:tcPr>
          <w:p>
            <w:pPr>
              <w:spacing w:after="0"/>
              <w:rPr>
                <w:sz w:val="21"/>
                <w:szCs w:val="21"/>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2420" w:type="dxa"/>
            <w:vAlign w:val="bottom"/>
            <w:tcBorders>
              <w:bottom w:val="single" w:sz="8" w:color="0000EE"/>
            </w:tcBorders>
            <w:gridSpan w:val="14"/>
          </w:tcPr>
          <w:p>
            <w:pPr>
              <w:spacing w:after="0" w:line="215" w:lineRule="exact"/>
              <w:rPr>
                <w:sz w:val="20"/>
                <w:szCs w:val="20"/>
                <w:color w:val="auto"/>
              </w:rPr>
            </w:pPr>
            <w:r>
              <w:rPr>
                <w:rFonts w:ascii="Arial" w:cs="Arial" w:eastAsia="Arial" w:hAnsi="Arial"/>
                <w:sz w:val="20"/>
                <w:szCs w:val="20"/>
                <w:color w:val="0000EE"/>
                <w:w w:val="98"/>
              </w:rPr>
              <w:t>Board Leadership Structure</w:t>
            </w:r>
          </w:p>
        </w:tc>
        <w:tc>
          <w:tcPr>
            <w:tcW w:w="6900" w:type="dxa"/>
            <w:vAlign w:val="bottom"/>
            <w:gridSpan w:val="21"/>
          </w:tcPr>
          <w:p>
            <w:pPr>
              <w:spacing w:after="0"/>
              <w:rPr>
                <w:sz w:val="18"/>
                <w:szCs w:val="18"/>
                <w:color w:val="auto"/>
              </w:rPr>
            </w:pPr>
          </w:p>
        </w:tc>
        <w:tc>
          <w:tcPr>
            <w:tcW w:w="360" w:type="dxa"/>
            <w:vAlign w:val="bottom"/>
          </w:tcPr>
          <w:p>
            <w:pPr>
              <w:jc w:val="right"/>
              <w:ind w:right="1"/>
              <w:spacing w:after="0" w:line="215" w:lineRule="exact"/>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203" w:lineRule="exact"/>
              <w:rPr>
                <w:sz w:val="20"/>
                <w:szCs w:val="20"/>
                <w:color w:val="auto"/>
              </w:rPr>
            </w:pPr>
            <w:r>
              <w:rPr>
                <w:rFonts w:ascii="Arial" w:cs="Arial" w:eastAsia="Arial" w:hAnsi="Arial"/>
                <w:sz w:val="20"/>
                <w:szCs w:val="20"/>
                <w:color w:val="0000EE"/>
                <w:w w:val="98"/>
              </w:rPr>
              <w:t>Overview of Board Composition</w:t>
            </w:r>
          </w:p>
        </w:tc>
        <w:tc>
          <w:tcPr>
            <w:tcW w:w="6540" w:type="dxa"/>
            <w:vAlign w:val="bottom"/>
            <w:gridSpan w:val="17"/>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120" w:type="dxa"/>
            <w:vAlign w:val="bottom"/>
            <w:tcBorders>
              <w:bottom w:val="single" w:sz="8" w:color="0000EE"/>
            </w:tcBorders>
            <w:gridSpan w:val="27"/>
          </w:tcPr>
          <w:p>
            <w:pPr>
              <w:spacing w:after="0" w:line="203" w:lineRule="exact"/>
              <w:rPr>
                <w:sz w:val="20"/>
                <w:szCs w:val="20"/>
                <w:color w:val="auto"/>
              </w:rPr>
            </w:pPr>
            <w:r>
              <w:rPr>
                <w:rFonts w:ascii="Arial" w:cs="Arial" w:eastAsia="Arial" w:hAnsi="Arial"/>
                <w:sz w:val="20"/>
                <w:szCs w:val="20"/>
                <w:color w:val="0000EE"/>
                <w:w w:val="98"/>
              </w:rPr>
              <w:t>Board Composition and Director Independence</w:t>
            </w:r>
          </w:p>
        </w:tc>
        <w:tc>
          <w:tcPr>
            <w:tcW w:w="5200" w:type="dxa"/>
            <w:vAlign w:val="bottom"/>
            <w:gridSpan w:val="8"/>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Director Nominee Criteria and Process</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6"/>
          </w:tcPr>
          <w:p>
            <w:pPr>
              <w:spacing w:after="0" w:line="203" w:lineRule="exact"/>
              <w:rPr>
                <w:sz w:val="20"/>
                <w:szCs w:val="20"/>
                <w:color w:val="auto"/>
              </w:rPr>
            </w:pPr>
            <w:r>
              <w:rPr>
                <w:rFonts w:ascii="Arial" w:cs="Arial" w:eastAsia="Arial" w:hAnsi="Arial"/>
                <w:sz w:val="20"/>
                <w:szCs w:val="20"/>
                <w:color w:val="0000EE"/>
                <w:w w:val="98"/>
              </w:rPr>
              <w:t>Attributes of Current Directors</w:t>
            </w:r>
          </w:p>
        </w:tc>
        <w:tc>
          <w:tcPr>
            <w:tcW w:w="760" w:type="dxa"/>
            <w:vAlign w:val="bottom"/>
            <w:tcBorders>
              <w:top w:val="single" w:sz="8" w:color="0000EE"/>
            </w:tcBorders>
            <w:gridSpan w:val="8"/>
          </w:tcPr>
          <w:p>
            <w:pPr>
              <w:spacing w:after="0"/>
              <w:rPr>
                <w:sz w:val="17"/>
                <w:szCs w:val="17"/>
                <w:color w:val="auto"/>
              </w:rPr>
            </w:pPr>
          </w:p>
        </w:tc>
        <w:tc>
          <w:tcPr>
            <w:tcW w:w="5940" w:type="dxa"/>
            <w:vAlign w:val="bottom"/>
            <w:gridSpan w:val="11"/>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Board Tenure</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60" w:type="dxa"/>
            <w:vAlign w:val="bottom"/>
            <w:vMerge w:val="restart"/>
          </w:tcPr>
          <w:p>
            <w:pPr>
              <w:jc w:val="right"/>
              <w:ind w:right="1"/>
              <w:spacing w:after="0" w:line="223" w:lineRule="exact"/>
              <w:rPr>
                <w:sz w:val="20"/>
                <w:szCs w:val="20"/>
                <w:color w:val="auto"/>
              </w:rPr>
            </w:pPr>
            <w:r>
              <w:rPr>
                <w:rFonts w:ascii="Arial" w:cs="Arial" w:eastAsia="Arial" w:hAnsi="Arial"/>
                <w:sz w:val="20"/>
                <w:szCs w:val="20"/>
                <w:color w:val="auto"/>
              </w:rPr>
              <w:t>14</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Board Evaluations</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60" w:type="dxa"/>
            <w:vAlign w:val="bottom"/>
            <w:vMerge w:val="restart"/>
          </w:tcPr>
          <w:p>
            <w:pPr>
              <w:jc w:val="right"/>
              <w:ind w:right="1"/>
              <w:spacing w:after="0" w:line="223" w:lineRule="exact"/>
              <w:rPr>
                <w:sz w:val="20"/>
                <w:szCs w:val="20"/>
                <w:color w:val="auto"/>
              </w:rPr>
            </w:pPr>
            <w:r>
              <w:rPr>
                <w:rFonts w:ascii="Arial" w:cs="Arial" w:eastAsia="Arial" w:hAnsi="Arial"/>
                <w:sz w:val="20"/>
                <w:szCs w:val="20"/>
                <w:color w:val="auto"/>
              </w:rPr>
              <w:t>15</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203" w:lineRule="exact"/>
              <w:rPr>
                <w:sz w:val="20"/>
                <w:szCs w:val="20"/>
                <w:color w:val="auto"/>
              </w:rPr>
            </w:pPr>
            <w:r>
              <w:rPr>
                <w:rFonts w:ascii="Arial" w:cs="Arial" w:eastAsia="Arial" w:hAnsi="Arial"/>
                <w:sz w:val="20"/>
                <w:szCs w:val="20"/>
                <w:color w:val="0000EE"/>
                <w:w w:val="97"/>
              </w:rPr>
              <w:t>Diversity of Directors</w:t>
            </w:r>
          </w:p>
        </w:tc>
        <w:tc>
          <w:tcPr>
            <w:tcW w:w="7500" w:type="dxa"/>
            <w:vAlign w:val="bottom"/>
            <w:gridSpan w:val="26"/>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Stockholder Nominations for Directors</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60" w:type="dxa"/>
            <w:vAlign w:val="bottom"/>
            <w:vMerge w:val="restart"/>
          </w:tcPr>
          <w:p>
            <w:pPr>
              <w:jc w:val="right"/>
              <w:ind w:right="1"/>
              <w:spacing w:after="0" w:line="223" w:lineRule="exact"/>
              <w:rPr>
                <w:sz w:val="20"/>
                <w:szCs w:val="20"/>
                <w:color w:val="auto"/>
              </w:rPr>
            </w:pPr>
            <w:r>
              <w:rPr>
                <w:rFonts w:ascii="Arial" w:cs="Arial" w:eastAsia="Arial" w:hAnsi="Arial"/>
                <w:sz w:val="20"/>
                <w:szCs w:val="20"/>
                <w:color w:val="auto"/>
              </w:rPr>
              <w:t>15</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203" w:lineRule="exact"/>
              <w:rPr>
                <w:sz w:val="20"/>
                <w:szCs w:val="20"/>
                <w:color w:val="auto"/>
              </w:rPr>
            </w:pPr>
            <w:r>
              <w:rPr>
                <w:rFonts w:ascii="Arial" w:cs="Arial" w:eastAsia="Arial" w:hAnsi="Arial"/>
                <w:sz w:val="20"/>
                <w:szCs w:val="20"/>
                <w:color w:val="0000EE"/>
                <w:w w:val="98"/>
              </w:rPr>
              <w:t>Board Meetings and Annual Meeting Attendance</w:t>
            </w:r>
          </w:p>
        </w:tc>
        <w:tc>
          <w:tcPr>
            <w:tcW w:w="5060" w:type="dxa"/>
            <w:vAlign w:val="bottom"/>
            <w:gridSpan w:val="7"/>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203" w:lineRule="exact"/>
              <w:rPr>
                <w:sz w:val="20"/>
                <w:szCs w:val="20"/>
                <w:color w:val="auto"/>
              </w:rPr>
            </w:pPr>
            <w:r>
              <w:rPr>
                <w:rFonts w:ascii="Arial" w:cs="Arial" w:eastAsia="Arial" w:hAnsi="Arial"/>
                <w:sz w:val="20"/>
                <w:szCs w:val="20"/>
                <w:color w:val="0000EE"/>
                <w:w w:val="97"/>
              </w:rPr>
              <w:t>Board Committees</w:t>
            </w:r>
          </w:p>
        </w:tc>
        <w:tc>
          <w:tcPr>
            <w:tcW w:w="7680" w:type="dxa"/>
            <w:vAlign w:val="bottom"/>
            <w:gridSpan w:val="28"/>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Compensation Committee Interlocks and Insider Participation</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360" w:type="dxa"/>
            <w:vAlign w:val="bottom"/>
            <w:tcBorders>
              <w:top w:val="single" w:sz="8" w:color="0000EE"/>
            </w:tcBorders>
            <w:gridSpan w:val="33"/>
          </w:tcPr>
          <w:p>
            <w:pPr>
              <w:spacing w:after="0" w:line="203" w:lineRule="exact"/>
              <w:rPr>
                <w:sz w:val="20"/>
                <w:szCs w:val="20"/>
                <w:color w:val="auto"/>
              </w:rPr>
            </w:pPr>
            <w:r>
              <w:rPr>
                <w:rFonts w:ascii="Arial" w:cs="Arial" w:eastAsia="Arial" w:hAnsi="Arial"/>
                <w:sz w:val="20"/>
                <w:szCs w:val="20"/>
                <w:color w:val="0000EE"/>
              </w:rPr>
              <w:t>Other Corporate Governance Practices and Matters</w:t>
            </w:r>
          </w:p>
        </w:tc>
        <w:tc>
          <w:tcPr>
            <w:tcW w:w="3960" w:type="dxa"/>
            <w:vAlign w:val="bottom"/>
            <w:gridSpan w:val="2"/>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9720" w:type="dxa"/>
            <w:vAlign w:val="bottom"/>
            <w:gridSpan w:val="36"/>
          </w:tcPr>
          <w:p>
            <w:pPr>
              <w:spacing w:after="0"/>
              <w:rPr>
                <w:sz w:val="20"/>
                <w:szCs w:val="20"/>
                <w:color w:val="auto"/>
              </w:rPr>
            </w:pPr>
            <w:r>
              <w:rPr>
                <w:rFonts w:ascii="Arial" w:cs="Arial" w:eastAsia="Arial" w:hAnsi="Arial"/>
                <w:sz w:val="20"/>
                <w:szCs w:val="20"/>
                <w:b w:val="1"/>
                <w:bCs w:val="1"/>
                <w:color w:val="0000EE"/>
              </w:rPr>
              <w:t>PROPOSAL 1: ELECTION OF DIRECTORS</w:t>
            </w:r>
          </w:p>
        </w:tc>
        <w:tc>
          <w:tcPr>
            <w:tcW w:w="360" w:type="dxa"/>
            <w:vAlign w:val="bottom"/>
          </w:tcPr>
          <w:p>
            <w:pPr>
              <w:jc w:val="right"/>
              <w:ind w:right="1"/>
              <w:spacing w:after="0"/>
              <w:rPr>
                <w:sz w:val="20"/>
                <w:szCs w:val="20"/>
                <w:color w:val="auto"/>
              </w:rPr>
            </w:pPr>
            <w:r>
              <w:rPr>
                <w:rFonts w:ascii="Arial" w:cs="Arial" w:eastAsia="Arial" w:hAnsi="Arial"/>
                <w:sz w:val="20"/>
                <w:szCs w:val="20"/>
                <w:b w:val="1"/>
                <w:bCs w:val="1"/>
                <w:color w:val="auto"/>
              </w:rPr>
              <w:t>22</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7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9320" w:type="dxa"/>
            <w:vAlign w:val="bottom"/>
            <w:gridSpan w:val="35"/>
          </w:tcPr>
          <w:p>
            <w:pPr>
              <w:spacing w:after="0"/>
              <w:rPr>
                <w:sz w:val="20"/>
                <w:szCs w:val="20"/>
                <w:color w:val="auto"/>
              </w:rPr>
            </w:pPr>
            <w:r>
              <w:rPr>
                <w:rFonts w:ascii="Arial" w:cs="Arial" w:eastAsia="Arial" w:hAnsi="Arial"/>
                <w:sz w:val="20"/>
                <w:szCs w:val="20"/>
                <w:color w:val="0000EE"/>
              </w:rPr>
              <w:t>General Information</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 w:type="dxa"/>
            <w:vAlign w:val="bottom"/>
          </w:tcPr>
          <w:p>
            <w:pPr>
              <w:spacing w:after="0"/>
              <w:rPr>
                <w:sz w:val="18"/>
                <w:szCs w:val="18"/>
                <w:color w:val="auto"/>
              </w:rPr>
            </w:pPr>
          </w:p>
        </w:tc>
        <w:tc>
          <w:tcPr>
            <w:tcW w:w="9320" w:type="dxa"/>
            <w:vAlign w:val="bottom"/>
            <w:gridSpan w:val="35"/>
          </w:tcPr>
          <w:p>
            <w:pPr>
              <w:spacing w:after="0" w:line="215" w:lineRule="exact"/>
              <w:rPr>
                <w:sz w:val="20"/>
                <w:szCs w:val="20"/>
                <w:color w:val="auto"/>
              </w:rPr>
            </w:pPr>
            <w:r>
              <w:rPr>
                <w:rFonts w:ascii="Arial" w:cs="Arial" w:eastAsia="Arial" w:hAnsi="Arial"/>
                <w:sz w:val="20"/>
                <w:szCs w:val="20"/>
                <w:color w:val="0000EE"/>
              </w:rPr>
              <w:t>Certain Information Regarding Nominees for Director</w:t>
            </w:r>
          </w:p>
        </w:tc>
        <w:tc>
          <w:tcPr>
            <w:tcW w:w="360" w:type="dxa"/>
            <w:vAlign w:val="bottom"/>
          </w:tcPr>
          <w:p>
            <w:pPr>
              <w:jc w:val="right"/>
              <w:ind w:right="1"/>
              <w:spacing w:after="0" w:line="215"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9"/>
          </w:tcPr>
          <w:p>
            <w:pPr>
              <w:spacing w:after="0" w:line="203" w:lineRule="exact"/>
              <w:rPr>
                <w:sz w:val="20"/>
                <w:szCs w:val="20"/>
                <w:color w:val="auto"/>
              </w:rPr>
            </w:pPr>
            <w:r>
              <w:rPr>
                <w:rFonts w:ascii="Arial" w:cs="Arial" w:eastAsia="Arial" w:hAnsi="Arial"/>
                <w:sz w:val="20"/>
                <w:szCs w:val="20"/>
                <w:color w:val="0000EE"/>
                <w:w w:val="98"/>
              </w:rPr>
              <w:t>Director Compensation Program</w:t>
            </w:r>
          </w:p>
        </w:tc>
        <w:tc>
          <w:tcPr>
            <w:tcW w:w="1780" w:type="dxa"/>
            <w:vAlign w:val="bottom"/>
            <w:tcBorders>
              <w:top w:val="single" w:sz="8" w:color="0000EE"/>
            </w:tcBorders>
            <w:gridSpan w:val="11"/>
          </w:tcPr>
          <w:p>
            <w:pPr>
              <w:spacing w:after="0"/>
              <w:rPr>
                <w:sz w:val="17"/>
                <w:szCs w:val="17"/>
                <w:color w:val="auto"/>
              </w:rPr>
            </w:pPr>
          </w:p>
        </w:tc>
        <w:tc>
          <w:tcPr>
            <w:tcW w:w="4700" w:type="dxa"/>
            <w:vAlign w:val="bottom"/>
            <w:gridSpan w:val="5"/>
          </w:tcPr>
          <w:p>
            <w:pPr>
              <w:spacing w:after="0"/>
              <w:rPr>
                <w:sz w:val="17"/>
                <w:szCs w:val="17"/>
                <w:color w:val="auto"/>
              </w:rPr>
            </w:pP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351"/>
        </w:trPr>
        <w:tc>
          <w:tcPr>
            <w:tcW w:w="9720" w:type="dxa"/>
            <w:vAlign w:val="bottom"/>
            <w:gridSpan w:val="36"/>
          </w:tcPr>
          <w:p>
            <w:pPr>
              <w:spacing w:after="0"/>
              <w:rPr>
                <w:sz w:val="20"/>
                <w:szCs w:val="20"/>
                <w:color w:val="auto"/>
              </w:rPr>
            </w:pPr>
            <w:r>
              <w:rPr>
                <w:rFonts w:ascii="Arial" w:cs="Arial" w:eastAsia="Arial" w:hAnsi="Arial"/>
                <w:sz w:val="20"/>
                <w:szCs w:val="20"/>
                <w:b w:val="1"/>
                <w:bCs w:val="1"/>
                <w:color w:val="0000EE"/>
              </w:rPr>
              <w:t>PROPOSAL 2: RATIFICATION OF INDEPENDENT AUDITORS</w:t>
            </w:r>
          </w:p>
        </w:tc>
        <w:tc>
          <w:tcPr>
            <w:tcW w:w="360" w:type="dxa"/>
            <w:vAlign w:val="bottom"/>
          </w:tcPr>
          <w:p>
            <w:pPr>
              <w:jc w:val="right"/>
              <w:ind w:right="1"/>
              <w:spacing w:after="0"/>
              <w:rPr>
                <w:sz w:val="20"/>
                <w:szCs w:val="20"/>
                <w:color w:val="auto"/>
              </w:rPr>
            </w:pPr>
            <w:r>
              <w:rPr>
                <w:rFonts w:ascii="Arial" w:cs="Arial" w:eastAsia="Arial" w:hAnsi="Arial"/>
                <w:sz w:val="20"/>
                <w:szCs w:val="20"/>
                <w:b w:val="1"/>
                <w:bCs w:val="1"/>
                <w:color w:val="auto"/>
              </w:rPr>
              <w:t>38</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7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274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00EE"/>
                <w:w w:val="98"/>
              </w:rPr>
              <w:t>Principal Accounting Firm Fees</w:t>
            </w:r>
          </w:p>
        </w:tc>
        <w:tc>
          <w:tcPr>
            <w:tcW w:w="6580" w:type="dxa"/>
            <w:vAlign w:val="bottom"/>
            <w:gridSpan w:val="18"/>
          </w:tcPr>
          <w:p>
            <w:pPr>
              <w:spacing w:after="0"/>
              <w:rPr>
                <w:sz w:val="21"/>
                <w:szCs w:val="21"/>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160" w:type="dxa"/>
            <w:vAlign w:val="bottom"/>
            <w:tcBorders>
              <w:bottom w:val="single" w:sz="8" w:color="0000EE"/>
            </w:tcBorders>
            <w:gridSpan w:val="31"/>
          </w:tcPr>
          <w:p>
            <w:pPr>
              <w:spacing w:after="0" w:line="215" w:lineRule="exact"/>
              <w:rPr>
                <w:sz w:val="20"/>
                <w:szCs w:val="20"/>
                <w:color w:val="auto"/>
              </w:rPr>
            </w:pPr>
            <w:r>
              <w:rPr>
                <w:rFonts w:ascii="Arial" w:cs="Arial" w:eastAsia="Arial" w:hAnsi="Arial"/>
                <w:sz w:val="20"/>
                <w:szCs w:val="20"/>
                <w:color w:val="0000EE"/>
                <w:w w:val="98"/>
              </w:rPr>
              <w:t>Audit Committee Approval of Audit and Non-Audit Services</w:t>
            </w:r>
          </w:p>
        </w:tc>
        <w:tc>
          <w:tcPr>
            <w:tcW w:w="4160" w:type="dxa"/>
            <w:vAlign w:val="bottom"/>
            <w:gridSpan w:val="4"/>
          </w:tcPr>
          <w:p>
            <w:pPr>
              <w:spacing w:after="0"/>
              <w:rPr>
                <w:sz w:val="18"/>
                <w:szCs w:val="18"/>
                <w:color w:val="auto"/>
              </w:rPr>
            </w:pPr>
          </w:p>
        </w:tc>
        <w:tc>
          <w:tcPr>
            <w:tcW w:w="360" w:type="dxa"/>
            <w:vAlign w:val="bottom"/>
          </w:tcPr>
          <w:p>
            <w:pPr>
              <w:jc w:val="right"/>
              <w:ind w:right="1"/>
              <w:spacing w:after="0" w:line="215" w:lineRule="exact"/>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320" w:type="dxa"/>
            <w:vAlign w:val="bottom"/>
            <w:gridSpan w:val="35"/>
          </w:tcPr>
          <w:p>
            <w:pPr>
              <w:spacing w:after="0" w:line="203" w:lineRule="exact"/>
              <w:rPr>
                <w:sz w:val="20"/>
                <w:szCs w:val="20"/>
                <w:color w:val="auto"/>
              </w:rPr>
            </w:pPr>
            <w:r>
              <w:rPr>
                <w:rFonts w:ascii="Arial" w:cs="Arial" w:eastAsia="Arial" w:hAnsi="Arial"/>
                <w:sz w:val="20"/>
                <w:szCs w:val="20"/>
                <w:color w:val="0000EE"/>
              </w:rPr>
              <w:t>Audit Committee Report</w:t>
            </w:r>
          </w:p>
        </w:tc>
        <w:tc>
          <w:tcPr>
            <w:tcW w:w="360" w:type="dxa"/>
            <w:vAlign w:val="bottom"/>
          </w:tcPr>
          <w:p>
            <w:pPr>
              <w:jc w:val="right"/>
              <w:ind w:right="1"/>
              <w:spacing w:after="0" w:line="203"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454"/>
        </w:trPr>
        <w:tc>
          <w:tcPr>
            <w:tcW w:w="4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666666"/>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-143510</wp:posOffset>
            </wp:positionV>
            <wp:extent cx="415925" cy="102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146175" cy="149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6175" cy="149225"/>
                    </a:xfrm>
                    <a:prstGeom prst="rect">
                      <a:avLst/>
                    </a:prstGeom>
                    <a:noFill/>
                  </pic:spPr>
                </pic:pic>
              </a:graphicData>
            </a:graphic>
          </wp:anchor>
        </w:drawing>
      </w:r>
    </w:p>
    <w:p>
      <w:pPr>
        <w:spacing w:after="0" w:line="31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rPr>
        <w:t>TABLE OF CONTENTS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0000EE"/>
        </w:rPr>
        <w:t>PROPOSAL 3: APPROVAL OF THE SABRE CORPORATION 2023 OMNIBUS INCENTIVE</w:t>
      </w:r>
    </w:p>
    <w:tbl>
      <w:tblPr>
        <w:tblLayout w:type="fixed"/>
        <w:tblInd w:w="580" w:type="dxa"/>
        <w:tblCellMar>
          <w:top w:w="0" w:type="dxa"/>
          <w:left w:w="0" w:type="dxa"/>
          <w:bottom w:w="0" w:type="dxa"/>
          <w:right w:w="0" w:type="dxa"/>
        </w:tblCellMar>
      </w:tblPr>
      <w:tr>
        <w:trPr>
          <w:trHeight w:val="203"/>
        </w:trPr>
        <w:tc>
          <w:tcPr>
            <w:tcW w:w="7900" w:type="dxa"/>
            <w:vAlign w:val="bottom"/>
            <w:tcBorders>
              <w:top w:val="single" w:sz="8" w:color="0000EE"/>
            </w:tcBorders>
            <w:gridSpan w:val="33"/>
          </w:tcPr>
          <w:p>
            <w:pPr>
              <w:spacing w:after="0" w:line="203" w:lineRule="exact"/>
              <w:rPr>
                <w:sz w:val="20"/>
                <w:szCs w:val="20"/>
                <w:color w:val="auto"/>
              </w:rPr>
            </w:pPr>
            <w:r>
              <w:rPr>
                <w:rFonts w:ascii="Arial" w:cs="Arial" w:eastAsia="Arial" w:hAnsi="Arial"/>
                <w:sz w:val="20"/>
                <w:szCs w:val="20"/>
                <w:b w:val="1"/>
                <w:bCs w:val="1"/>
                <w:color w:val="0000EE"/>
              </w:rPr>
              <w:t>COMPENSATION PLAN</w:t>
            </w:r>
          </w:p>
        </w:tc>
        <w:tc>
          <w:tcPr>
            <w:tcW w:w="220" w:type="dxa"/>
            <w:vAlign w:val="bottom"/>
            <w:tcBorders>
              <w:top w:val="single" w:sz="8" w:color="0000EE"/>
            </w:tcBorders>
          </w:tcPr>
          <w:p>
            <w:pPr>
              <w:spacing w:after="0"/>
              <w:rPr>
                <w:sz w:val="17"/>
                <w:szCs w:val="17"/>
                <w:color w:val="auto"/>
              </w:rPr>
            </w:pPr>
          </w:p>
        </w:tc>
        <w:tc>
          <w:tcPr>
            <w:tcW w:w="1960" w:type="dxa"/>
            <w:vAlign w:val="bottom"/>
            <w:gridSpan w:val="2"/>
          </w:tcPr>
          <w:p>
            <w:pPr>
              <w:jc w:val="right"/>
              <w:ind w:right="1"/>
              <w:spacing w:after="0" w:line="203" w:lineRule="exact"/>
              <w:rPr>
                <w:sz w:val="20"/>
                <w:szCs w:val="20"/>
                <w:color w:val="auto"/>
              </w:rPr>
            </w:pPr>
            <w:r>
              <w:rPr>
                <w:rFonts w:ascii="Arial" w:cs="Arial" w:eastAsia="Arial" w:hAnsi="Arial"/>
                <w:sz w:val="20"/>
                <w:szCs w:val="20"/>
                <w:b w:val="1"/>
                <w:bCs w:val="1"/>
                <w:color w:val="auto"/>
              </w:rPr>
              <w:t>41</w:t>
            </w:r>
          </w:p>
        </w:tc>
        <w:tc>
          <w:tcPr>
            <w:tcW w:w="0" w:type="dxa"/>
            <w:vAlign w:val="bottom"/>
          </w:tcPr>
          <w:p>
            <w:pPr>
              <w:spacing w:after="0"/>
              <w:rPr>
                <w:sz w:val="1"/>
                <w:szCs w:val="1"/>
                <w:color w:val="auto"/>
              </w:rPr>
            </w:pPr>
          </w:p>
        </w:tc>
      </w:tr>
      <w:tr>
        <w:trPr>
          <w:trHeight w:val="20"/>
        </w:trPr>
        <w:tc>
          <w:tcPr>
            <w:tcW w:w="40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 w:type="dxa"/>
            <w:vAlign w:val="bottom"/>
          </w:tcPr>
          <w:p>
            <w:pPr>
              <w:spacing w:after="0"/>
              <w:rPr>
                <w:sz w:val="21"/>
                <w:szCs w:val="21"/>
                <w:color w:val="auto"/>
              </w:rPr>
            </w:pPr>
          </w:p>
        </w:tc>
        <w:tc>
          <w:tcPr>
            <w:tcW w:w="5360" w:type="dxa"/>
            <w:vAlign w:val="bottom"/>
            <w:tcBorders>
              <w:bottom w:val="single" w:sz="8" w:color="0000EE"/>
            </w:tcBorders>
            <w:gridSpan w:val="29"/>
          </w:tcPr>
          <w:p>
            <w:pPr>
              <w:spacing w:after="0"/>
              <w:rPr>
                <w:sz w:val="20"/>
                <w:szCs w:val="20"/>
                <w:color w:val="auto"/>
              </w:rPr>
            </w:pPr>
            <w:r>
              <w:rPr>
                <w:rFonts w:ascii="Arial" w:cs="Arial" w:eastAsia="Arial" w:hAnsi="Arial"/>
                <w:sz w:val="20"/>
                <w:szCs w:val="20"/>
                <w:color w:val="0000EE"/>
                <w:w w:val="98"/>
              </w:rPr>
              <w:t>Alignment of 2023 Omnibus Plan with Stockholders’ Interests</w:t>
            </w:r>
          </w:p>
        </w:tc>
        <w:tc>
          <w:tcPr>
            <w:tcW w:w="2140" w:type="dxa"/>
            <w:vAlign w:val="bottom"/>
            <w:gridSpan w:val="3"/>
          </w:tcPr>
          <w:p>
            <w:pPr>
              <w:spacing w:after="0"/>
              <w:rPr>
                <w:sz w:val="21"/>
                <w:szCs w:val="21"/>
                <w:color w:val="auto"/>
              </w:rPr>
            </w:pPr>
          </w:p>
        </w:tc>
        <w:tc>
          <w:tcPr>
            <w:tcW w:w="2180" w:type="dxa"/>
            <w:vAlign w:val="bottom"/>
            <w:gridSpan w:val="3"/>
          </w:tcPr>
          <w:p>
            <w:pPr>
              <w:jc w:val="right"/>
              <w:ind w:right="1"/>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7500" w:type="dxa"/>
            <w:vAlign w:val="bottom"/>
            <w:gridSpan w:val="32"/>
          </w:tcPr>
          <w:p>
            <w:pPr>
              <w:spacing w:after="0" w:line="215" w:lineRule="exact"/>
              <w:rPr>
                <w:sz w:val="20"/>
                <w:szCs w:val="20"/>
                <w:color w:val="auto"/>
              </w:rPr>
            </w:pPr>
            <w:r>
              <w:rPr>
                <w:rFonts w:ascii="Arial" w:cs="Arial" w:eastAsia="Arial" w:hAnsi="Arial"/>
                <w:sz w:val="20"/>
                <w:szCs w:val="20"/>
                <w:color w:val="0000EE"/>
              </w:rPr>
              <w:t>Key Data</w:t>
            </w:r>
          </w:p>
        </w:tc>
        <w:tc>
          <w:tcPr>
            <w:tcW w:w="2180" w:type="dxa"/>
            <w:vAlign w:val="bottom"/>
            <w:gridSpan w:val="3"/>
          </w:tcPr>
          <w:p>
            <w:pPr>
              <w:jc w:val="right"/>
              <w:ind w:right="1"/>
              <w:spacing w:after="0" w:line="215"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3"/>
            <w:vMerge w:val="restart"/>
          </w:tcPr>
          <w:p>
            <w:pPr>
              <w:jc w:val="right"/>
              <w:ind w:right="1"/>
              <w:spacing w:after="0" w:line="223" w:lineRule="exact"/>
              <w:rPr>
                <w:sz w:val="20"/>
                <w:szCs w:val="20"/>
                <w:color w:val="auto"/>
              </w:rPr>
            </w:pPr>
            <w:r>
              <w:rPr>
                <w:rFonts w:ascii="Arial" w:cs="Arial" w:eastAsia="Arial" w:hAnsi="Arial"/>
                <w:sz w:val="20"/>
                <w:szCs w:val="20"/>
                <w:color w:val="auto"/>
              </w:rPr>
              <w:t>43</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4000" w:type="dxa"/>
            <w:vAlign w:val="bottom"/>
            <w:tcBorders>
              <w:bottom w:val="single" w:sz="8" w:color="0000EE"/>
            </w:tcBorders>
            <w:gridSpan w:val="23"/>
          </w:tcPr>
          <w:p>
            <w:pPr>
              <w:spacing w:after="0" w:line="203" w:lineRule="exact"/>
              <w:rPr>
                <w:sz w:val="20"/>
                <w:szCs w:val="20"/>
                <w:color w:val="auto"/>
              </w:rPr>
            </w:pPr>
            <w:r>
              <w:rPr>
                <w:rFonts w:ascii="Arial" w:cs="Arial" w:eastAsia="Arial" w:hAnsi="Arial"/>
                <w:sz w:val="20"/>
                <w:szCs w:val="20"/>
                <w:color w:val="0000EE"/>
                <w:w w:val="97"/>
              </w:rPr>
              <w:t>Summary of Terms of the 2023 Omnibus Plan</w:t>
            </w:r>
          </w:p>
        </w:tc>
        <w:tc>
          <w:tcPr>
            <w:tcW w:w="3500" w:type="dxa"/>
            <w:vAlign w:val="bottom"/>
            <w:gridSpan w:val="9"/>
          </w:tcPr>
          <w:p>
            <w:pPr>
              <w:spacing w:after="0"/>
              <w:rPr>
                <w:sz w:val="17"/>
                <w:szCs w:val="17"/>
                <w:color w:val="auto"/>
              </w:rPr>
            </w:pP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203" w:lineRule="exact"/>
              <w:rPr>
                <w:sz w:val="20"/>
                <w:szCs w:val="20"/>
                <w:color w:val="auto"/>
              </w:rPr>
            </w:pPr>
            <w:r>
              <w:rPr>
                <w:rFonts w:ascii="Arial" w:cs="Arial" w:eastAsia="Arial" w:hAnsi="Arial"/>
                <w:sz w:val="20"/>
                <w:szCs w:val="20"/>
                <w:color w:val="0000EE"/>
                <w:w w:val="97"/>
              </w:rPr>
              <w:t>New Plan Benefits</w:t>
            </w:r>
          </w:p>
        </w:tc>
        <w:tc>
          <w:tcPr>
            <w:tcW w:w="5880" w:type="dxa"/>
            <w:vAlign w:val="bottom"/>
            <w:gridSpan w:val="28"/>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500" w:type="dxa"/>
            <w:vAlign w:val="bottom"/>
            <w:gridSpan w:val="32"/>
          </w:tcPr>
          <w:p>
            <w:pPr>
              <w:spacing w:after="0" w:line="203" w:lineRule="exact"/>
              <w:rPr>
                <w:sz w:val="20"/>
                <w:szCs w:val="20"/>
                <w:color w:val="auto"/>
              </w:rPr>
            </w:pPr>
            <w:r>
              <w:rPr>
                <w:rFonts w:ascii="Arial" w:cs="Arial" w:eastAsia="Arial" w:hAnsi="Arial"/>
                <w:sz w:val="20"/>
                <w:szCs w:val="20"/>
                <w:color w:val="0000EE"/>
              </w:rPr>
              <w:t>U.S. Federal Income Tax Consequences</w:t>
            </w: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540" w:type="dxa"/>
            <w:vAlign w:val="bottom"/>
            <w:tcBorders>
              <w:top w:val="single" w:sz="8" w:color="0000EE"/>
            </w:tcBorders>
            <w:gridSpan w:val="18"/>
          </w:tcPr>
          <w:p>
            <w:pPr>
              <w:spacing w:after="0" w:line="203" w:lineRule="exact"/>
              <w:rPr>
                <w:sz w:val="20"/>
                <w:szCs w:val="20"/>
                <w:color w:val="auto"/>
              </w:rPr>
            </w:pPr>
            <w:r>
              <w:rPr>
                <w:rFonts w:ascii="Arial" w:cs="Arial" w:eastAsia="Arial" w:hAnsi="Arial"/>
                <w:sz w:val="20"/>
                <w:szCs w:val="20"/>
                <w:color w:val="0000EE"/>
              </w:rPr>
              <w:t>Required Vote</w:t>
            </w:r>
          </w:p>
        </w:tc>
        <w:tc>
          <w:tcPr>
            <w:tcW w:w="3960" w:type="dxa"/>
            <w:vAlign w:val="bottom"/>
            <w:gridSpan w:val="14"/>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3"/>
            <w:vMerge w:val="restart"/>
          </w:tcPr>
          <w:p>
            <w:pPr>
              <w:jc w:val="right"/>
              <w:ind w:right="1"/>
              <w:spacing w:after="0" w:line="223" w:lineRule="exact"/>
              <w:rPr>
                <w:sz w:val="20"/>
                <w:szCs w:val="20"/>
                <w:color w:val="auto"/>
              </w:rPr>
            </w:pPr>
            <w:r>
              <w:rPr>
                <w:rFonts w:ascii="Arial" w:cs="Arial" w:eastAsia="Arial" w:hAnsi="Arial"/>
                <w:sz w:val="20"/>
                <w:szCs w:val="20"/>
                <w:color w:val="auto"/>
              </w:rPr>
              <w:t>51</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3380" w:type="dxa"/>
            <w:vAlign w:val="bottom"/>
            <w:tcBorders>
              <w:bottom w:val="single" w:sz="8" w:color="0000EE"/>
            </w:tcBorders>
            <w:gridSpan w:val="16"/>
          </w:tcPr>
          <w:p>
            <w:pPr>
              <w:spacing w:after="0" w:line="203" w:lineRule="exact"/>
              <w:rPr>
                <w:sz w:val="20"/>
                <w:szCs w:val="20"/>
                <w:color w:val="auto"/>
              </w:rPr>
            </w:pPr>
            <w:r>
              <w:rPr>
                <w:rFonts w:ascii="Arial" w:cs="Arial" w:eastAsia="Arial" w:hAnsi="Arial"/>
                <w:sz w:val="20"/>
                <w:szCs w:val="20"/>
                <w:color w:val="0000EE"/>
                <w:w w:val="98"/>
              </w:rPr>
              <w:t>Equity Compensation Plan Information</w:t>
            </w:r>
          </w:p>
        </w:tc>
        <w:tc>
          <w:tcPr>
            <w:tcW w:w="4120" w:type="dxa"/>
            <w:vAlign w:val="bottom"/>
            <w:gridSpan w:val="16"/>
          </w:tcPr>
          <w:p>
            <w:pPr>
              <w:spacing w:after="0"/>
              <w:rPr>
                <w:sz w:val="17"/>
                <w:szCs w:val="17"/>
                <w:color w:val="auto"/>
              </w:rPr>
            </w:pP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080" w:type="dxa"/>
            <w:vAlign w:val="bottom"/>
            <w:gridSpan w:val="36"/>
          </w:tcPr>
          <w:p>
            <w:pPr>
              <w:spacing w:after="0"/>
              <w:rPr>
                <w:sz w:val="20"/>
                <w:szCs w:val="20"/>
                <w:color w:val="auto"/>
              </w:rPr>
            </w:pPr>
            <w:r>
              <w:rPr>
                <w:rFonts w:ascii="Arial" w:cs="Arial" w:eastAsia="Arial" w:hAnsi="Arial"/>
                <w:sz w:val="20"/>
                <w:szCs w:val="20"/>
                <w:b w:val="1"/>
                <w:bCs w:val="1"/>
                <w:color w:val="0000EE"/>
              </w:rPr>
              <w:t>PROPOSAL 4: ADVISORY, NON-BINDING VOTE ON THE COMPENSATION OF OUR NAMED</w:t>
            </w:r>
          </w:p>
        </w:tc>
        <w:tc>
          <w:tcPr>
            <w:tcW w:w="0" w:type="dxa"/>
            <w:vAlign w:val="bottom"/>
          </w:tcPr>
          <w:p>
            <w:pPr>
              <w:spacing w:after="0"/>
              <w:rPr>
                <w:sz w:val="1"/>
                <w:szCs w:val="1"/>
                <w:color w:val="auto"/>
              </w:rPr>
            </w:pPr>
          </w:p>
        </w:tc>
      </w:tr>
      <w:tr>
        <w:trPr>
          <w:trHeight w:val="203"/>
        </w:trPr>
        <w:tc>
          <w:tcPr>
            <w:tcW w:w="7900" w:type="dxa"/>
            <w:vAlign w:val="bottom"/>
            <w:tcBorders>
              <w:top w:val="single" w:sz="8" w:color="0000EE"/>
            </w:tcBorders>
            <w:gridSpan w:val="33"/>
          </w:tcPr>
          <w:p>
            <w:pPr>
              <w:spacing w:after="0" w:line="190" w:lineRule="exact"/>
              <w:rPr>
                <w:sz w:val="20"/>
                <w:szCs w:val="20"/>
                <w:color w:val="auto"/>
              </w:rPr>
            </w:pPr>
            <w:r>
              <w:rPr>
                <w:rFonts w:ascii="Arial" w:cs="Arial" w:eastAsia="Arial" w:hAnsi="Arial"/>
                <w:sz w:val="20"/>
                <w:szCs w:val="20"/>
                <w:b w:val="1"/>
                <w:bCs w:val="1"/>
                <w:color w:val="0000EE"/>
              </w:rPr>
              <w:t>EXECUTIVE OFFICERS</w:t>
            </w:r>
          </w:p>
        </w:tc>
        <w:tc>
          <w:tcPr>
            <w:tcW w:w="600" w:type="dxa"/>
            <w:vAlign w:val="bottom"/>
            <w:tcBorders>
              <w:top w:val="single" w:sz="8" w:color="0000EE"/>
            </w:tcBorders>
            <w:gridSpan w:val="2"/>
          </w:tcPr>
          <w:p>
            <w:pPr>
              <w:spacing w:after="0"/>
              <w:rPr>
                <w:sz w:val="17"/>
                <w:szCs w:val="17"/>
                <w:color w:val="auto"/>
              </w:rPr>
            </w:pPr>
          </w:p>
        </w:tc>
        <w:tc>
          <w:tcPr>
            <w:tcW w:w="1580" w:type="dxa"/>
            <w:vAlign w:val="bottom"/>
          </w:tcPr>
          <w:p>
            <w:pPr>
              <w:jc w:val="right"/>
              <w:ind w:right="1"/>
              <w:spacing w:after="0" w:line="190" w:lineRule="exact"/>
              <w:rPr>
                <w:sz w:val="20"/>
                <w:szCs w:val="20"/>
                <w:color w:val="auto"/>
              </w:rPr>
            </w:pPr>
            <w:r>
              <w:rPr>
                <w:rFonts w:ascii="Arial" w:cs="Arial" w:eastAsia="Arial" w:hAnsi="Arial"/>
                <w:sz w:val="20"/>
                <w:szCs w:val="20"/>
                <w:b w:val="1"/>
                <w:bCs w:val="1"/>
                <w:color w:val="auto"/>
              </w:rPr>
              <w:t>52</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7900" w:type="dxa"/>
            <w:vAlign w:val="bottom"/>
            <w:gridSpan w:val="33"/>
          </w:tcPr>
          <w:p>
            <w:pPr>
              <w:spacing w:after="0"/>
              <w:rPr>
                <w:sz w:val="20"/>
                <w:szCs w:val="20"/>
                <w:color w:val="auto"/>
              </w:rPr>
            </w:pPr>
            <w:r>
              <w:rPr>
                <w:rFonts w:ascii="Arial" w:cs="Arial" w:eastAsia="Arial" w:hAnsi="Arial"/>
                <w:sz w:val="20"/>
                <w:szCs w:val="20"/>
                <w:b w:val="1"/>
                <w:bCs w:val="1"/>
                <w:color w:val="0000EE"/>
              </w:rPr>
              <w:t>COMPENSATION DISCUSSION AND ANALYSIS</w:t>
            </w:r>
          </w:p>
        </w:tc>
        <w:tc>
          <w:tcPr>
            <w:tcW w:w="218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54</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1760" w:type="dxa"/>
            <w:vAlign w:val="bottom"/>
            <w:tcBorders>
              <w:bottom w:val="single" w:sz="8" w:color="0000EE"/>
            </w:tcBorders>
            <w:gridSpan w:val="5"/>
          </w:tcPr>
          <w:p>
            <w:pPr>
              <w:spacing w:after="0"/>
              <w:rPr>
                <w:sz w:val="20"/>
                <w:szCs w:val="20"/>
                <w:color w:val="auto"/>
              </w:rPr>
            </w:pPr>
            <w:r>
              <w:rPr>
                <w:rFonts w:ascii="Arial" w:cs="Arial" w:eastAsia="Arial" w:hAnsi="Arial"/>
                <w:sz w:val="20"/>
                <w:szCs w:val="20"/>
                <w:color w:val="0000EE"/>
                <w:w w:val="97"/>
              </w:rPr>
              <w:t>Executive Summary</w:t>
            </w:r>
          </w:p>
        </w:tc>
        <w:tc>
          <w:tcPr>
            <w:tcW w:w="5740" w:type="dxa"/>
            <w:vAlign w:val="bottom"/>
            <w:gridSpan w:val="27"/>
          </w:tcPr>
          <w:p>
            <w:pPr>
              <w:spacing w:after="0"/>
              <w:rPr>
                <w:sz w:val="21"/>
                <w:szCs w:val="21"/>
                <w:color w:val="auto"/>
              </w:rPr>
            </w:pPr>
          </w:p>
        </w:tc>
        <w:tc>
          <w:tcPr>
            <w:tcW w:w="2180" w:type="dxa"/>
            <w:vAlign w:val="bottom"/>
            <w:gridSpan w:val="3"/>
          </w:tcPr>
          <w:p>
            <w:pPr>
              <w:jc w:val="right"/>
              <w:ind w:right="1"/>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3600" w:type="dxa"/>
            <w:vAlign w:val="bottom"/>
            <w:tcBorders>
              <w:bottom w:val="single" w:sz="8" w:color="0000EE"/>
            </w:tcBorders>
            <w:gridSpan w:val="19"/>
          </w:tcPr>
          <w:p>
            <w:pPr>
              <w:spacing w:after="0" w:line="215" w:lineRule="exact"/>
              <w:rPr>
                <w:sz w:val="20"/>
                <w:szCs w:val="20"/>
                <w:color w:val="auto"/>
              </w:rPr>
            </w:pPr>
            <w:r>
              <w:rPr>
                <w:rFonts w:ascii="Arial" w:cs="Arial" w:eastAsia="Arial" w:hAnsi="Arial"/>
                <w:sz w:val="20"/>
                <w:szCs w:val="20"/>
                <w:color w:val="0000EE"/>
                <w:w w:val="98"/>
              </w:rPr>
              <w:t>Compensation Philosophy and Principles</w:t>
            </w:r>
          </w:p>
        </w:tc>
        <w:tc>
          <w:tcPr>
            <w:tcW w:w="3900" w:type="dxa"/>
            <w:vAlign w:val="bottom"/>
            <w:gridSpan w:val="13"/>
          </w:tcPr>
          <w:p>
            <w:pPr>
              <w:spacing w:after="0"/>
              <w:rPr>
                <w:sz w:val="18"/>
                <w:szCs w:val="18"/>
                <w:color w:val="auto"/>
              </w:rPr>
            </w:pPr>
          </w:p>
        </w:tc>
        <w:tc>
          <w:tcPr>
            <w:tcW w:w="2180" w:type="dxa"/>
            <w:vAlign w:val="bottom"/>
            <w:gridSpan w:val="3"/>
          </w:tcPr>
          <w:p>
            <w:pPr>
              <w:jc w:val="right"/>
              <w:ind w:right="1"/>
              <w:spacing w:after="0" w:line="215" w:lineRule="exact"/>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180" w:type="dxa"/>
            <w:vAlign w:val="bottom"/>
            <w:tcBorders>
              <w:bottom w:val="single" w:sz="8" w:color="0000EE"/>
            </w:tcBorders>
            <w:gridSpan w:val="14"/>
          </w:tcPr>
          <w:p>
            <w:pPr>
              <w:spacing w:after="0" w:line="203" w:lineRule="exact"/>
              <w:rPr>
                <w:sz w:val="20"/>
                <w:szCs w:val="20"/>
                <w:color w:val="auto"/>
              </w:rPr>
            </w:pPr>
            <w:r>
              <w:rPr>
                <w:rFonts w:ascii="Arial" w:cs="Arial" w:eastAsia="Arial" w:hAnsi="Arial"/>
                <w:sz w:val="20"/>
                <w:szCs w:val="20"/>
                <w:color w:val="0000EE"/>
                <w:w w:val="97"/>
              </w:rPr>
              <w:t>2022 Total Direct Compensation Mix</w:t>
            </w:r>
          </w:p>
        </w:tc>
        <w:tc>
          <w:tcPr>
            <w:tcW w:w="4320" w:type="dxa"/>
            <w:vAlign w:val="bottom"/>
            <w:gridSpan w:val="18"/>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500" w:type="dxa"/>
            <w:vAlign w:val="bottom"/>
            <w:gridSpan w:val="32"/>
          </w:tcPr>
          <w:p>
            <w:pPr>
              <w:spacing w:after="0" w:line="203" w:lineRule="exact"/>
              <w:rPr>
                <w:sz w:val="20"/>
                <w:szCs w:val="20"/>
                <w:color w:val="auto"/>
              </w:rPr>
            </w:pPr>
            <w:r>
              <w:rPr>
                <w:rFonts w:ascii="Arial" w:cs="Arial" w:eastAsia="Arial" w:hAnsi="Arial"/>
                <w:sz w:val="20"/>
                <w:szCs w:val="20"/>
                <w:color w:val="0000EE"/>
              </w:rPr>
              <w:t>Compensation-Setting Process</w:t>
            </w: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3"/>
            <w:vMerge w:val="restart"/>
          </w:tcPr>
          <w:p>
            <w:pPr>
              <w:jc w:val="right"/>
              <w:ind w:right="1"/>
              <w:spacing w:after="0" w:line="223" w:lineRule="exact"/>
              <w:rPr>
                <w:sz w:val="20"/>
                <w:szCs w:val="20"/>
                <w:color w:val="auto"/>
              </w:rPr>
            </w:pPr>
            <w:r>
              <w:rPr>
                <w:rFonts w:ascii="Arial" w:cs="Arial" w:eastAsia="Arial" w:hAnsi="Arial"/>
                <w:sz w:val="20"/>
                <w:szCs w:val="20"/>
                <w:color w:val="auto"/>
              </w:rPr>
              <w:t>64</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5240" w:type="dxa"/>
            <w:vAlign w:val="bottom"/>
            <w:tcBorders>
              <w:bottom w:val="single" w:sz="8" w:color="0000EE"/>
            </w:tcBorders>
            <w:gridSpan w:val="28"/>
          </w:tcPr>
          <w:p>
            <w:pPr>
              <w:spacing w:after="0" w:line="203" w:lineRule="exact"/>
              <w:rPr>
                <w:sz w:val="20"/>
                <w:szCs w:val="20"/>
                <w:color w:val="auto"/>
              </w:rPr>
            </w:pPr>
            <w:r>
              <w:rPr>
                <w:rFonts w:ascii="Arial" w:cs="Arial" w:eastAsia="Arial" w:hAnsi="Arial"/>
                <w:sz w:val="20"/>
                <w:szCs w:val="20"/>
                <w:color w:val="0000EE"/>
                <w:w w:val="98"/>
              </w:rPr>
              <w:t>Compensation Elements of 2022 Total Direct Compensation</w:t>
            </w:r>
          </w:p>
        </w:tc>
        <w:tc>
          <w:tcPr>
            <w:tcW w:w="2260" w:type="dxa"/>
            <w:vAlign w:val="bottom"/>
            <w:gridSpan w:val="4"/>
          </w:tcPr>
          <w:p>
            <w:pPr>
              <w:spacing w:after="0"/>
              <w:rPr>
                <w:sz w:val="17"/>
                <w:szCs w:val="17"/>
                <w:color w:val="auto"/>
              </w:rPr>
            </w:pP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500" w:type="dxa"/>
            <w:vAlign w:val="bottom"/>
            <w:tcBorders>
              <w:bottom w:val="single" w:sz="8" w:color="0000EE"/>
            </w:tcBorders>
            <w:gridSpan w:val="17"/>
          </w:tcPr>
          <w:p>
            <w:pPr>
              <w:spacing w:after="0" w:line="203" w:lineRule="exact"/>
              <w:rPr>
                <w:sz w:val="20"/>
                <w:szCs w:val="20"/>
                <w:color w:val="auto"/>
              </w:rPr>
            </w:pPr>
            <w:r>
              <w:rPr>
                <w:rFonts w:ascii="Arial" w:cs="Arial" w:eastAsia="Arial" w:hAnsi="Arial"/>
                <w:sz w:val="20"/>
                <w:szCs w:val="20"/>
                <w:color w:val="0000EE"/>
                <w:w w:val="98"/>
              </w:rPr>
              <w:t>2023 Executive Compensation Program</w:t>
            </w:r>
          </w:p>
        </w:tc>
        <w:tc>
          <w:tcPr>
            <w:tcW w:w="4000" w:type="dxa"/>
            <w:vAlign w:val="bottom"/>
            <w:gridSpan w:val="15"/>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760" w:type="dxa"/>
            <w:vAlign w:val="bottom"/>
            <w:tcBorders>
              <w:bottom w:val="single" w:sz="8" w:color="0000EE"/>
            </w:tcBorders>
            <w:gridSpan w:val="21"/>
          </w:tcPr>
          <w:p>
            <w:pPr>
              <w:spacing w:after="0" w:line="203" w:lineRule="exact"/>
              <w:rPr>
                <w:sz w:val="20"/>
                <w:szCs w:val="20"/>
                <w:color w:val="auto"/>
              </w:rPr>
            </w:pPr>
            <w:r>
              <w:rPr>
                <w:rFonts w:ascii="Arial" w:cs="Arial" w:eastAsia="Arial" w:hAnsi="Arial"/>
                <w:sz w:val="20"/>
                <w:szCs w:val="20"/>
                <w:color w:val="0000EE"/>
                <w:w w:val="98"/>
              </w:rPr>
              <w:t>Employment Agreements and Offer Letters</w:t>
            </w:r>
          </w:p>
        </w:tc>
        <w:tc>
          <w:tcPr>
            <w:tcW w:w="3740" w:type="dxa"/>
            <w:vAlign w:val="bottom"/>
            <w:gridSpan w:val="11"/>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500" w:type="dxa"/>
            <w:vAlign w:val="bottom"/>
            <w:gridSpan w:val="32"/>
          </w:tcPr>
          <w:p>
            <w:pPr>
              <w:spacing w:after="0" w:line="203" w:lineRule="exact"/>
              <w:rPr>
                <w:sz w:val="20"/>
                <w:szCs w:val="20"/>
                <w:color w:val="auto"/>
              </w:rPr>
            </w:pPr>
            <w:r>
              <w:rPr>
                <w:rFonts w:ascii="Arial" w:cs="Arial" w:eastAsia="Arial" w:hAnsi="Arial"/>
                <w:sz w:val="20"/>
                <w:szCs w:val="20"/>
                <w:color w:val="0000EE"/>
              </w:rPr>
              <w:t>Post-Employment Compensation</w:t>
            </w: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3"/>
            <w:vMerge w:val="restart"/>
          </w:tcPr>
          <w:p>
            <w:pPr>
              <w:jc w:val="right"/>
              <w:ind w:right="1"/>
              <w:spacing w:after="0" w:line="223" w:lineRule="exact"/>
              <w:rPr>
                <w:sz w:val="20"/>
                <w:szCs w:val="20"/>
                <w:color w:val="auto"/>
              </w:rPr>
            </w:pPr>
            <w:r>
              <w:rPr>
                <w:rFonts w:ascii="Arial" w:cs="Arial" w:eastAsia="Arial" w:hAnsi="Arial"/>
                <w:sz w:val="20"/>
                <w:szCs w:val="20"/>
                <w:color w:val="auto"/>
              </w:rPr>
              <w:t>72</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3860" w:type="dxa"/>
            <w:vAlign w:val="bottom"/>
            <w:tcBorders>
              <w:bottom w:val="single" w:sz="8" w:color="0000EE"/>
            </w:tcBorders>
            <w:gridSpan w:val="22"/>
          </w:tcPr>
          <w:p>
            <w:pPr>
              <w:spacing w:after="0" w:line="203" w:lineRule="exact"/>
              <w:rPr>
                <w:sz w:val="20"/>
                <w:szCs w:val="20"/>
                <w:color w:val="auto"/>
              </w:rPr>
            </w:pPr>
            <w:r>
              <w:rPr>
                <w:rFonts w:ascii="Arial" w:cs="Arial" w:eastAsia="Arial" w:hAnsi="Arial"/>
                <w:sz w:val="20"/>
                <w:szCs w:val="20"/>
                <w:color w:val="0000EE"/>
                <w:w w:val="98"/>
              </w:rPr>
              <w:t>Other Compensation Policies and Programs</w:t>
            </w:r>
          </w:p>
        </w:tc>
        <w:tc>
          <w:tcPr>
            <w:tcW w:w="3640" w:type="dxa"/>
            <w:vAlign w:val="bottom"/>
            <w:gridSpan w:val="10"/>
          </w:tcPr>
          <w:p>
            <w:pPr>
              <w:spacing w:after="0"/>
              <w:rPr>
                <w:sz w:val="17"/>
                <w:szCs w:val="17"/>
                <w:color w:val="auto"/>
              </w:rPr>
            </w:pP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100" w:type="dxa"/>
            <w:vAlign w:val="bottom"/>
            <w:tcBorders>
              <w:bottom w:val="single" w:sz="8" w:color="0000EE"/>
            </w:tcBorders>
            <w:gridSpan w:val="13"/>
          </w:tcPr>
          <w:p>
            <w:pPr>
              <w:spacing w:after="0" w:line="203" w:lineRule="exact"/>
              <w:rPr>
                <w:sz w:val="20"/>
                <w:szCs w:val="20"/>
                <w:color w:val="auto"/>
              </w:rPr>
            </w:pPr>
            <w:r>
              <w:rPr>
                <w:rFonts w:ascii="Arial" w:cs="Arial" w:eastAsia="Arial" w:hAnsi="Arial"/>
                <w:sz w:val="20"/>
                <w:szCs w:val="20"/>
                <w:color w:val="0000EE"/>
                <w:w w:val="97"/>
              </w:rPr>
              <w:t>Tax and Accounting Considerations</w:t>
            </w:r>
          </w:p>
        </w:tc>
        <w:tc>
          <w:tcPr>
            <w:tcW w:w="4400" w:type="dxa"/>
            <w:vAlign w:val="bottom"/>
            <w:gridSpan w:val="19"/>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203" w:lineRule="exact"/>
              <w:rPr>
                <w:sz w:val="20"/>
                <w:szCs w:val="20"/>
                <w:color w:val="auto"/>
              </w:rPr>
            </w:pPr>
            <w:r>
              <w:rPr>
                <w:rFonts w:ascii="Arial" w:cs="Arial" w:eastAsia="Arial" w:hAnsi="Arial"/>
                <w:sz w:val="20"/>
                <w:szCs w:val="20"/>
                <w:color w:val="0000EE"/>
                <w:w w:val="98"/>
              </w:rPr>
              <w:t>Compensation Committee Report</w:t>
            </w:r>
          </w:p>
        </w:tc>
        <w:tc>
          <w:tcPr>
            <w:tcW w:w="4560" w:type="dxa"/>
            <w:vAlign w:val="bottom"/>
            <w:gridSpan w:val="20"/>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351"/>
        </w:trPr>
        <w:tc>
          <w:tcPr>
            <w:tcW w:w="7900" w:type="dxa"/>
            <w:vAlign w:val="bottom"/>
            <w:gridSpan w:val="33"/>
          </w:tcPr>
          <w:p>
            <w:pPr>
              <w:spacing w:after="0"/>
              <w:rPr>
                <w:sz w:val="20"/>
                <w:szCs w:val="20"/>
                <w:color w:val="auto"/>
              </w:rPr>
            </w:pPr>
            <w:r>
              <w:rPr>
                <w:rFonts w:ascii="Arial" w:cs="Arial" w:eastAsia="Arial" w:hAnsi="Arial"/>
                <w:sz w:val="20"/>
                <w:szCs w:val="20"/>
                <w:b w:val="1"/>
                <w:bCs w:val="1"/>
                <w:color w:val="0000EE"/>
              </w:rPr>
              <w:t>EXECUTIVE COMPENSATION</w:t>
            </w:r>
          </w:p>
        </w:tc>
        <w:tc>
          <w:tcPr>
            <w:tcW w:w="218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76</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3200" w:type="dxa"/>
            <w:vAlign w:val="bottom"/>
            <w:tcBorders>
              <w:bottom w:val="single" w:sz="8" w:color="0000EE"/>
            </w:tcBorders>
            <w:gridSpan w:val="15"/>
          </w:tcPr>
          <w:p>
            <w:pPr>
              <w:spacing w:after="0"/>
              <w:rPr>
                <w:sz w:val="20"/>
                <w:szCs w:val="20"/>
                <w:color w:val="auto"/>
              </w:rPr>
            </w:pPr>
            <w:r>
              <w:rPr>
                <w:rFonts w:ascii="Arial" w:cs="Arial" w:eastAsia="Arial" w:hAnsi="Arial"/>
                <w:sz w:val="20"/>
                <w:szCs w:val="20"/>
                <w:color w:val="0000EE"/>
                <w:w w:val="97"/>
              </w:rPr>
              <w:t>2022 Summary Compensation Table</w:t>
            </w:r>
          </w:p>
        </w:tc>
        <w:tc>
          <w:tcPr>
            <w:tcW w:w="4300" w:type="dxa"/>
            <w:vAlign w:val="bottom"/>
            <w:gridSpan w:val="17"/>
          </w:tcPr>
          <w:p>
            <w:pPr>
              <w:spacing w:after="0"/>
              <w:rPr>
                <w:sz w:val="21"/>
                <w:szCs w:val="21"/>
                <w:color w:val="auto"/>
              </w:rPr>
            </w:pPr>
          </w:p>
        </w:tc>
        <w:tc>
          <w:tcPr>
            <w:tcW w:w="2180" w:type="dxa"/>
            <w:vAlign w:val="bottom"/>
            <w:gridSpan w:val="3"/>
          </w:tcPr>
          <w:p>
            <w:pPr>
              <w:jc w:val="right"/>
              <w:ind w:right="1"/>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7500" w:type="dxa"/>
            <w:vAlign w:val="bottom"/>
            <w:gridSpan w:val="32"/>
          </w:tcPr>
          <w:p>
            <w:pPr>
              <w:spacing w:after="0" w:line="215" w:lineRule="exact"/>
              <w:rPr>
                <w:sz w:val="20"/>
                <w:szCs w:val="20"/>
                <w:color w:val="auto"/>
              </w:rPr>
            </w:pPr>
            <w:r>
              <w:rPr>
                <w:rFonts w:ascii="Arial" w:cs="Arial" w:eastAsia="Arial" w:hAnsi="Arial"/>
                <w:sz w:val="20"/>
                <w:szCs w:val="20"/>
                <w:color w:val="0000EE"/>
              </w:rPr>
              <w:t>2022 Grants of Plan-Based Awards Table</w:t>
            </w:r>
          </w:p>
        </w:tc>
        <w:tc>
          <w:tcPr>
            <w:tcW w:w="2180" w:type="dxa"/>
            <w:vAlign w:val="bottom"/>
            <w:gridSpan w:val="3"/>
          </w:tcPr>
          <w:p>
            <w:pPr>
              <w:jc w:val="right"/>
              <w:ind w:right="1"/>
              <w:spacing w:after="0" w:line="215" w:lineRule="exact"/>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3"/>
            <w:vMerge w:val="restart"/>
          </w:tcPr>
          <w:p>
            <w:pPr>
              <w:jc w:val="right"/>
              <w:ind w:right="1"/>
              <w:spacing w:after="0" w:line="223" w:lineRule="exact"/>
              <w:rPr>
                <w:sz w:val="20"/>
                <w:szCs w:val="20"/>
                <w:color w:val="auto"/>
              </w:rPr>
            </w:pPr>
            <w:r>
              <w:rPr>
                <w:rFonts w:ascii="Arial" w:cs="Arial" w:eastAsia="Arial" w:hAnsi="Arial"/>
                <w:sz w:val="20"/>
                <w:szCs w:val="20"/>
                <w:color w:val="auto"/>
              </w:rPr>
              <w:t>79</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7500" w:type="dxa"/>
            <w:vAlign w:val="bottom"/>
            <w:gridSpan w:val="32"/>
          </w:tcPr>
          <w:p>
            <w:pPr>
              <w:spacing w:after="0" w:line="203" w:lineRule="exact"/>
              <w:rPr>
                <w:sz w:val="20"/>
                <w:szCs w:val="20"/>
                <w:color w:val="auto"/>
              </w:rPr>
            </w:pPr>
            <w:r>
              <w:rPr>
                <w:rFonts w:ascii="Arial" w:cs="Arial" w:eastAsia="Arial" w:hAnsi="Arial"/>
                <w:sz w:val="20"/>
                <w:szCs w:val="20"/>
                <w:color w:val="0000EE"/>
              </w:rPr>
              <w:t>2022 Outstanding Equity Awards at Fiscal Year-End Table</w:t>
            </w: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060" w:type="dxa"/>
            <w:vAlign w:val="bottom"/>
            <w:tcBorders>
              <w:top w:val="single" w:sz="8" w:color="0000EE"/>
            </w:tcBorders>
            <w:gridSpan w:val="25"/>
          </w:tcPr>
          <w:p>
            <w:pPr>
              <w:spacing w:after="0" w:line="203" w:lineRule="exact"/>
              <w:rPr>
                <w:sz w:val="20"/>
                <w:szCs w:val="20"/>
                <w:color w:val="auto"/>
              </w:rPr>
            </w:pPr>
            <w:r>
              <w:rPr>
                <w:rFonts w:ascii="Arial" w:cs="Arial" w:eastAsia="Arial" w:hAnsi="Arial"/>
                <w:sz w:val="20"/>
                <w:szCs w:val="20"/>
                <w:color w:val="0000EE"/>
              </w:rPr>
              <w:t>2022 Option Exercises and Stock Vested Table</w:t>
            </w:r>
          </w:p>
        </w:tc>
        <w:tc>
          <w:tcPr>
            <w:tcW w:w="2440" w:type="dxa"/>
            <w:vAlign w:val="bottom"/>
            <w:gridSpan w:val="7"/>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360" w:type="dxa"/>
            <w:vAlign w:val="bottom"/>
            <w:gridSpan w:val="1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3"/>
            <w:vMerge w:val="restart"/>
          </w:tcPr>
          <w:p>
            <w:pPr>
              <w:jc w:val="right"/>
              <w:ind w:right="1"/>
              <w:spacing w:after="0" w:line="223" w:lineRule="exact"/>
              <w:rPr>
                <w:sz w:val="20"/>
                <w:szCs w:val="20"/>
                <w:color w:val="auto"/>
              </w:rPr>
            </w:pPr>
            <w:r>
              <w:rPr>
                <w:rFonts w:ascii="Arial" w:cs="Arial" w:eastAsia="Arial" w:hAnsi="Arial"/>
                <w:sz w:val="20"/>
                <w:szCs w:val="20"/>
                <w:color w:val="auto"/>
              </w:rPr>
              <w:t>81</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5080" w:type="dxa"/>
            <w:vAlign w:val="bottom"/>
            <w:tcBorders>
              <w:bottom w:val="single" w:sz="8" w:color="0000EE"/>
            </w:tcBorders>
            <w:gridSpan w:val="26"/>
          </w:tcPr>
          <w:p>
            <w:pPr>
              <w:spacing w:after="0" w:line="203" w:lineRule="exact"/>
              <w:rPr>
                <w:sz w:val="20"/>
                <w:szCs w:val="20"/>
                <w:color w:val="auto"/>
              </w:rPr>
            </w:pPr>
            <w:r>
              <w:rPr>
                <w:rFonts w:ascii="Arial" w:cs="Arial" w:eastAsia="Arial" w:hAnsi="Arial"/>
                <w:sz w:val="20"/>
                <w:szCs w:val="20"/>
                <w:color w:val="0000EE"/>
                <w:w w:val="98"/>
              </w:rPr>
              <w:t>Information on Employment Agreements and Offer Letters</w:t>
            </w:r>
          </w:p>
        </w:tc>
        <w:tc>
          <w:tcPr>
            <w:tcW w:w="2420" w:type="dxa"/>
            <w:vAlign w:val="bottom"/>
            <w:gridSpan w:val="6"/>
          </w:tcPr>
          <w:p>
            <w:pPr>
              <w:spacing w:after="0"/>
              <w:rPr>
                <w:sz w:val="17"/>
                <w:szCs w:val="17"/>
                <w:color w:val="auto"/>
              </w:rPr>
            </w:pPr>
          </w:p>
        </w:tc>
        <w:tc>
          <w:tcPr>
            <w:tcW w:w="2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160" w:type="dxa"/>
            <w:vAlign w:val="bottom"/>
            <w:tcBorders>
              <w:bottom w:val="single" w:sz="8" w:color="0000EE"/>
            </w:tcBorders>
            <w:gridSpan w:val="27"/>
          </w:tcPr>
          <w:p>
            <w:pPr>
              <w:spacing w:after="0" w:line="203" w:lineRule="exact"/>
              <w:rPr>
                <w:sz w:val="20"/>
                <w:szCs w:val="20"/>
                <w:color w:val="auto"/>
              </w:rPr>
            </w:pPr>
            <w:r>
              <w:rPr>
                <w:rFonts w:ascii="Arial" w:cs="Arial" w:eastAsia="Arial" w:hAnsi="Arial"/>
                <w:sz w:val="20"/>
                <w:szCs w:val="20"/>
                <w:color w:val="0000EE"/>
                <w:w w:val="98"/>
              </w:rPr>
              <w:t>Potential Payments upon Termination or Change in Control</w:t>
            </w:r>
          </w:p>
        </w:tc>
        <w:tc>
          <w:tcPr>
            <w:tcW w:w="2340" w:type="dxa"/>
            <w:vAlign w:val="bottom"/>
            <w:gridSpan w:val="5"/>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203" w:lineRule="exact"/>
              <w:rPr>
                <w:sz w:val="20"/>
                <w:szCs w:val="20"/>
                <w:color w:val="auto"/>
              </w:rPr>
            </w:pPr>
            <w:r>
              <w:rPr>
                <w:rFonts w:ascii="Arial" w:cs="Arial" w:eastAsia="Arial" w:hAnsi="Arial"/>
                <w:sz w:val="20"/>
                <w:szCs w:val="20"/>
                <w:color w:val="0000EE"/>
                <w:w w:val="97"/>
              </w:rPr>
              <w:t>CEO Pay Ratio</w:t>
            </w:r>
          </w:p>
        </w:tc>
        <w:tc>
          <w:tcPr>
            <w:tcW w:w="6160" w:type="dxa"/>
            <w:vAlign w:val="bottom"/>
            <w:gridSpan w:val="29"/>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203" w:lineRule="exact"/>
              <w:rPr>
                <w:sz w:val="20"/>
                <w:szCs w:val="20"/>
                <w:color w:val="auto"/>
              </w:rPr>
            </w:pPr>
            <w:r>
              <w:rPr>
                <w:rFonts w:ascii="Arial" w:cs="Arial" w:eastAsia="Arial" w:hAnsi="Arial"/>
                <w:sz w:val="20"/>
                <w:szCs w:val="20"/>
                <w:color w:val="0000EE"/>
                <w:w w:val="97"/>
              </w:rPr>
              <w:t>Pay-Versus-Performance Table</w:t>
            </w:r>
          </w:p>
        </w:tc>
        <w:tc>
          <w:tcPr>
            <w:tcW w:w="4760" w:type="dxa"/>
            <w:vAlign w:val="bottom"/>
            <w:gridSpan w:val="22"/>
          </w:tcPr>
          <w:p>
            <w:pPr>
              <w:spacing w:after="0"/>
              <w:rPr>
                <w:sz w:val="17"/>
                <w:szCs w:val="17"/>
                <w:color w:val="auto"/>
              </w:rPr>
            </w:pPr>
          </w:p>
        </w:tc>
        <w:tc>
          <w:tcPr>
            <w:tcW w:w="2180" w:type="dxa"/>
            <w:vAlign w:val="bottom"/>
            <w:gridSpan w:val="3"/>
          </w:tcPr>
          <w:p>
            <w:pPr>
              <w:jc w:val="right"/>
              <w:ind w:right="1"/>
              <w:spacing w:after="0" w:line="203" w:lineRule="exact"/>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351"/>
        </w:trPr>
        <w:tc>
          <w:tcPr>
            <w:tcW w:w="7900" w:type="dxa"/>
            <w:vAlign w:val="bottom"/>
            <w:gridSpan w:val="33"/>
          </w:tcPr>
          <w:p>
            <w:pPr>
              <w:spacing w:after="0"/>
              <w:rPr>
                <w:sz w:val="20"/>
                <w:szCs w:val="20"/>
                <w:color w:val="auto"/>
              </w:rPr>
            </w:pPr>
            <w:r>
              <w:rPr>
                <w:rFonts w:ascii="Arial" w:cs="Arial" w:eastAsia="Arial" w:hAnsi="Arial"/>
                <w:sz w:val="20"/>
                <w:szCs w:val="20"/>
                <w:b w:val="1"/>
                <w:bCs w:val="1"/>
                <w:color w:val="0000EE"/>
              </w:rPr>
              <w:t>SECURITY OWNERSHIP OF CERTAIN BENEFICIAL OWNERS AND MANAGEMENT</w:t>
            </w:r>
          </w:p>
        </w:tc>
        <w:tc>
          <w:tcPr>
            <w:tcW w:w="218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92</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9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138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7900" w:type="dxa"/>
            <w:vAlign w:val="bottom"/>
            <w:gridSpan w:val="33"/>
          </w:tcPr>
          <w:p>
            <w:pPr>
              <w:spacing w:after="0"/>
              <w:rPr>
                <w:sz w:val="20"/>
                <w:szCs w:val="20"/>
                <w:color w:val="auto"/>
              </w:rPr>
            </w:pPr>
            <w:r>
              <w:rPr>
                <w:rFonts w:ascii="Arial" w:cs="Arial" w:eastAsia="Arial" w:hAnsi="Arial"/>
                <w:sz w:val="20"/>
                <w:szCs w:val="20"/>
                <w:b w:val="1"/>
                <w:bCs w:val="1"/>
                <w:color w:val="0000EE"/>
              </w:rPr>
              <w:t>CERTAIN RELATIONSHIPS AND RELATED PARTY TRANSACTIONS</w:t>
            </w:r>
          </w:p>
        </w:tc>
        <w:tc>
          <w:tcPr>
            <w:tcW w:w="2180" w:type="dxa"/>
            <w:vAlign w:val="bottom"/>
            <w:gridSpan w:val="3"/>
          </w:tcPr>
          <w:p>
            <w:pPr>
              <w:jc w:val="right"/>
              <w:ind w:right="1"/>
              <w:spacing w:after="0"/>
              <w:rPr>
                <w:sz w:val="20"/>
                <w:szCs w:val="20"/>
                <w:color w:val="auto"/>
              </w:rPr>
            </w:pPr>
            <w:r>
              <w:rPr>
                <w:rFonts w:ascii="Arial" w:cs="Arial" w:eastAsia="Arial" w:hAnsi="Arial"/>
                <w:sz w:val="20"/>
                <w:szCs w:val="20"/>
                <w:b w:val="1"/>
                <w:bCs w:val="1"/>
                <w:color w:val="auto"/>
              </w:rPr>
              <w:t>94</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4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9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400" w:type="dxa"/>
            <w:vAlign w:val="bottom"/>
          </w:tcPr>
          <w:p>
            <w:pPr>
              <w:spacing w:after="0"/>
              <w:rPr>
                <w:sz w:val="20"/>
                <w:szCs w:val="20"/>
                <w:color w:val="auto"/>
              </w:rPr>
            </w:pPr>
            <w:r>
              <w:rPr>
                <w:rFonts w:ascii="Arial" w:cs="Arial" w:eastAsia="Arial" w:hAnsi="Arial"/>
                <w:sz w:val="18"/>
                <w:szCs w:val="18"/>
                <w:b w:val="1"/>
                <w:bCs w:val="1"/>
                <w:color w:val="666666"/>
              </w:rPr>
              <w:t>ii</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8"/>
          </w:tcPr>
          <w:p>
            <w:pPr>
              <w:ind w:left="720"/>
              <w:spacing w:after="0"/>
              <w:rPr>
                <w:sz w:val="20"/>
                <w:szCs w:val="20"/>
                <w:color w:val="auto"/>
              </w:rPr>
            </w:pPr>
            <w:r>
              <w:rPr>
                <w:rFonts w:ascii="Arial" w:cs="Arial" w:eastAsia="Arial" w:hAnsi="Arial"/>
                <w:sz w:val="23"/>
                <w:szCs w:val="23"/>
                <w:color w:val="666666"/>
              </w:rPr>
              <w:t>|</w:t>
            </w:r>
            <w:r>
              <w:rPr>
                <w:rFonts w:ascii="Arial" w:cs="Arial" w:eastAsia="Arial" w:hAnsi="Arial"/>
                <w:sz w:val="18"/>
                <w:szCs w:val="18"/>
                <w:b w:val="1"/>
                <w:bCs w:val="1"/>
                <w:color w:val="CF0A2C"/>
              </w:rPr>
              <w:t>Sabre Corporation</w:t>
            </w:r>
          </w:p>
        </w:tc>
        <w:tc>
          <w:tcPr>
            <w:tcW w:w="2180" w:type="dxa"/>
            <w:vAlign w:val="bottom"/>
            <w:gridSpan w:val="3"/>
          </w:tcPr>
          <w:p>
            <w:pPr>
              <w:jc w:val="right"/>
              <w:ind w:right="181"/>
              <w:spacing w:after="0"/>
              <w:rPr>
                <w:sz w:val="20"/>
                <w:szCs w:val="20"/>
                <w:color w:val="auto"/>
              </w:rPr>
            </w:pPr>
            <w:r>
              <w:rPr>
                <w:rFonts w:ascii="Arial" w:cs="Arial" w:eastAsia="Arial" w:hAnsi="Arial"/>
                <w:sz w:val="18"/>
                <w:szCs w:val="18"/>
                <w:color w:val="CF0A2C"/>
              </w:rPr>
              <w:t>2023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-143510</wp:posOffset>
            </wp:positionV>
            <wp:extent cx="415925" cy="102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00" w:type="dxa"/>
            <w:vAlign w:val="bottom"/>
            <w:shd w:val="clear" w:color="auto" w:fill="666666"/>
          </w:tcPr>
          <w:p>
            <w:pPr>
              <w:jc w:val="right"/>
              <w:ind w:right="9"/>
              <w:spacing w:after="0"/>
              <w:rPr>
                <w:sz w:val="20"/>
                <w:szCs w:val="20"/>
                <w:color w:val="auto"/>
              </w:rPr>
            </w:pPr>
            <w:r>
              <w:rPr>
                <w:rFonts w:ascii="Arial" w:cs="Arial" w:eastAsia="Arial" w:hAnsi="Arial"/>
                <w:sz w:val="15"/>
                <w:szCs w:val="15"/>
                <w:b w:val="1"/>
                <w:bCs w:val="1"/>
                <w:color w:val="FFFFFF"/>
              </w:rPr>
              <w:t>TABLE OF CONTENTS</w:t>
            </w:r>
          </w:p>
        </w:tc>
        <w:tc>
          <w:tcPr>
            <w:tcW w:w="0" w:type="dxa"/>
            <w:vAlign w:val="bottom"/>
          </w:tcPr>
          <w:p>
            <w:pPr>
              <w:spacing w:after="0"/>
              <w:rPr>
                <w:sz w:val="1"/>
                <w:szCs w:val="1"/>
                <w:color w:val="auto"/>
              </w:rPr>
            </w:pPr>
          </w:p>
        </w:tc>
      </w:tr>
      <w:tr>
        <w:trPr>
          <w:trHeight w:val="556"/>
        </w:trPr>
        <w:tc>
          <w:tcPr>
            <w:tcW w:w="7380" w:type="dxa"/>
            <w:vAlign w:val="bottom"/>
            <w:gridSpan w:val="9"/>
          </w:tcPr>
          <w:p>
            <w:pPr>
              <w:spacing w:after="0"/>
              <w:rPr>
                <w:sz w:val="20"/>
                <w:szCs w:val="20"/>
                <w:color w:val="auto"/>
              </w:rPr>
            </w:pPr>
            <w:r>
              <w:rPr>
                <w:rFonts w:ascii="Arial" w:cs="Arial" w:eastAsia="Arial" w:hAnsi="Arial"/>
                <w:sz w:val="20"/>
                <w:szCs w:val="20"/>
                <w:b w:val="1"/>
                <w:bCs w:val="1"/>
                <w:color w:val="0000EE"/>
              </w:rPr>
              <w:t>OTHER INFORMATION</w:t>
            </w:r>
          </w:p>
        </w:tc>
        <w:tc>
          <w:tcPr>
            <w:tcW w:w="2700" w:type="dxa"/>
            <w:vAlign w:val="bottom"/>
            <w:gridSpan w:val="2"/>
          </w:tcPr>
          <w:p>
            <w:pPr>
              <w:jc w:val="right"/>
              <w:ind w:right="9"/>
              <w:spacing w:after="0"/>
              <w:rPr>
                <w:sz w:val="20"/>
                <w:szCs w:val="20"/>
                <w:color w:val="auto"/>
              </w:rPr>
            </w:pPr>
            <w:r>
              <w:rPr>
                <w:rFonts w:ascii="Arial" w:cs="Arial" w:eastAsia="Arial" w:hAnsi="Arial"/>
                <w:sz w:val="20"/>
                <w:szCs w:val="20"/>
                <w:b w:val="1"/>
                <w:bCs w:val="1"/>
                <w:color w:val="auto"/>
              </w:rPr>
              <w:t>95</w:t>
            </w:r>
          </w:p>
        </w:tc>
        <w:tc>
          <w:tcPr>
            <w:tcW w:w="0" w:type="dxa"/>
            <w:vAlign w:val="bottom"/>
          </w:tcPr>
          <w:p>
            <w:pPr>
              <w:spacing w:after="0"/>
              <w:rPr>
                <w:sz w:val="1"/>
                <w:szCs w:val="1"/>
                <w:color w:val="auto"/>
              </w:rPr>
            </w:pPr>
          </w:p>
        </w:tc>
      </w:tr>
      <w:tr>
        <w:trPr>
          <w:trHeight w:val="29"/>
        </w:trPr>
        <w:tc>
          <w:tcPr>
            <w:tcW w:w="400" w:type="dxa"/>
            <w:vAlign w:val="bottom"/>
            <w:tcBorders>
              <w:top w:val="single" w:sz="8" w:color="0000EE"/>
              <w:bottom w:val="single" w:sz="8" w:color="auto"/>
            </w:tcBorders>
          </w:tcPr>
          <w:p>
            <w:pPr>
              <w:spacing w:after="0"/>
              <w:rPr>
                <w:sz w:val="2"/>
                <w:szCs w:val="2"/>
                <w:color w:val="auto"/>
              </w:rPr>
            </w:pPr>
          </w:p>
        </w:tc>
        <w:tc>
          <w:tcPr>
            <w:tcW w:w="9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2920" w:type="dxa"/>
            <w:vAlign w:val="bottom"/>
            <w:tcBorders>
              <w:bottom w:val="single" w:sz="8" w:color="0000EE"/>
            </w:tcBorders>
            <w:gridSpan w:val="5"/>
          </w:tcPr>
          <w:p>
            <w:pPr>
              <w:spacing w:after="0"/>
              <w:rPr>
                <w:sz w:val="20"/>
                <w:szCs w:val="20"/>
                <w:color w:val="auto"/>
              </w:rPr>
            </w:pPr>
            <w:r>
              <w:rPr>
                <w:rFonts w:ascii="Arial" w:cs="Arial" w:eastAsia="Arial" w:hAnsi="Arial"/>
                <w:sz w:val="20"/>
                <w:szCs w:val="20"/>
                <w:color w:val="0000EE"/>
                <w:w w:val="98"/>
              </w:rPr>
              <w:t>Delinquent Section 16(a) Reports</w:t>
            </w:r>
          </w:p>
        </w:tc>
        <w:tc>
          <w:tcPr>
            <w:tcW w:w="4060" w:type="dxa"/>
            <w:vAlign w:val="bottom"/>
            <w:gridSpan w:val="3"/>
          </w:tcPr>
          <w:p>
            <w:pPr>
              <w:spacing w:after="0"/>
              <w:rPr>
                <w:sz w:val="21"/>
                <w:szCs w:val="21"/>
                <w:color w:val="auto"/>
              </w:rPr>
            </w:pPr>
          </w:p>
        </w:tc>
        <w:tc>
          <w:tcPr>
            <w:tcW w:w="2700" w:type="dxa"/>
            <w:vAlign w:val="bottom"/>
            <w:gridSpan w:val="2"/>
          </w:tcPr>
          <w:p>
            <w:pPr>
              <w:jc w:val="right"/>
              <w:ind w:right="9"/>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6980" w:type="dxa"/>
            <w:vAlign w:val="bottom"/>
            <w:gridSpan w:val="8"/>
          </w:tcPr>
          <w:p>
            <w:pPr>
              <w:spacing w:after="0" w:line="215" w:lineRule="exact"/>
              <w:rPr>
                <w:sz w:val="20"/>
                <w:szCs w:val="20"/>
                <w:color w:val="auto"/>
              </w:rPr>
            </w:pPr>
            <w:r>
              <w:rPr>
                <w:rFonts w:ascii="Arial" w:cs="Arial" w:eastAsia="Arial" w:hAnsi="Arial"/>
                <w:sz w:val="20"/>
                <w:szCs w:val="20"/>
                <w:color w:val="0000EE"/>
              </w:rPr>
              <w:t>2024 Stockholder Proposals</w:t>
            </w:r>
          </w:p>
        </w:tc>
        <w:tc>
          <w:tcPr>
            <w:tcW w:w="2700" w:type="dxa"/>
            <w:vAlign w:val="bottom"/>
            <w:gridSpan w:val="2"/>
          </w:tcPr>
          <w:p>
            <w:pPr>
              <w:jc w:val="right"/>
              <w:ind w:right="9"/>
              <w:spacing w:after="0" w:line="215"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gridSpan w:val="2"/>
            <w:vMerge w:val="restart"/>
          </w:tcPr>
          <w:p>
            <w:pPr>
              <w:jc w:val="right"/>
              <w:ind w:right="9"/>
              <w:spacing w:after="0" w:line="223" w:lineRule="exact"/>
              <w:rPr>
                <w:sz w:val="20"/>
                <w:szCs w:val="20"/>
                <w:color w:val="auto"/>
              </w:rPr>
            </w:pPr>
            <w:r>
              <w:rPr>
                <w:rFonts w:ascii="Arial" w:cs="Arial" w:eastAsia="Arial" w:hAnsi="Arial"/>
                <w:sz w:val="20"/>
                <w:szCs w:val="20"/>
                <w:color w:val="auto"/>
              </w:rPr>
              <w:t>95</w:t>
            </w: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6980" w:type="dxa"/>
            <w:vAlign w:val="bottom"/>
            <w:gridSpan w:val="8"/>
          </w:tcPr>
          <w:p>
            <w:pPr>
              <w:spacing w:after="0" w:line="203" w:lineRule="exact"/>
              <w:rPr>
                <w:sz w:val="20"/>
                <w:szCs w:val="20"/>
                <w:color w:val="auto"/>
              </w:rPr>
            </w:pPr>
            <w:r>
              <w:rPr>
                <w:rFonts w:ascii="Arial" w:cs="Arial" w:eastAsia="Arial" w:hAnsi="Arial"/>
                <w:sz w:val="20"/>
                <w:szCs w:val="20"/>
                <w:color w:val="0000EE"/>
                <w:w w:val="99"/>
              </w:rPr>
              <w:t>Proxy Access Nominations and Annual Meeting Advance Notice Requirements</w:t>
            </w:r>
          </w:p>
        </w:tc>
        <w:tc>
          <w:tcPr>
            <w:tcW w:w="2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880" w:type="dxa"/>
            <w:vAlign w:val="bottom"/>
            <w:tcBorders>
              <w:top w:val="single" w:sz="8" w:color="0000EE"/>
            </w:tcBorders>
            <w:gridSpan w:val="7"/>
          </w:tcPr>
          <w:p>
            <w:pPr>
              <w:spacing w:after="0" w:line="203" w:lineRule="exact"/>
              <w:rPr>
                <w:sz w:val="20"/>
                <w:szCs w:val="20"/>
                <w:color w:val="auto"/>
              </w:rPr>
            </w:pPr>
            <w:r>
              <w:rPr>
                <w:rFonts w:ascii="Arial" w:cs="Arial" w:eastAsia="Arial" w:hAnsi="Arial"/>
                <w:sz w:val="20"/>
                <w:szCs w:val="20"/>
                <w:color w:val="0000EE"/>
              </w:rPr>
              <w:t>Householding</w:t>
            </w:r>
          </w:p>
        </w:tc>
        <w:tc>
          <w:tcPr>
            <w:tcW w:w="100" w:type="dxa"/>
            <w:vAlign w:val="bottom"/>
          </w:tcPr>
          <w:p>
            <w:pPr>
              <w:spacing w:after="0"/>
              <w:rPr>
                <w:sz w:val="17"/>
                <w:szCs w:val="17"/>
                <w:color w:val="auto"/>
              </w:rPr>
            </w:pPr>
          </w:p>
        </w:tc>
        <w:tc>
          <w:tcPr>
            <w:tcW w:w="2700" w:type="dxa"/>
            <w:vAlign w:val="bottom"/>
            <w:gridSpan w:val="2"/>
          </w:tcPr>
          <w:p>
            <w:pPr>
              <w:jc w:val="right"/>
              <w:ind w:right="9"/>
              <w:spacing w:after="0" w:line="203"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380" w:type="dxa"/>
            <w:vAlign w:val="bottom"/>
            <w:gridSpan w:val="9"/>
          </w:tcPr>
          <w:p>
            <w:pPr>
              <w:spacing w:after="0"/>
              <w:rPr>
                <w:sz w:val="20"/>
                <w:szCs w:val="20"/>
                <w:color w:val="auto"/>
              </w:rPr>
            </w:pPr>
            <w:r>
              <w:rPr>
                <w:rFonts w:ascii="Arial" w:cs="Arial" w:eastAsia="Arial" w:hAnsi="Arial"/>
                <w:sz w:val="20"/>
                <w:szCs w:val="20"/>
                <w:b w:val="1"/>
                <w:bCs w:val="1"/>
                <w:color w:val="auto"/>
              </w:rPr>
              <w:t xml:space="preserve">APPENDIX A: </w:t>
            </w:r>
            <w:r>
              <w:rPr>
                <w:rFonts w:ascii="Arial" w:cs="Arial" w:eastAsia="Arial" w:hAnsi="Arial"/>
                <w:sz w:val="20"/>
                <w:szCs w:val="20"/>
                <w:color w:val="0000EE"/>
              </w:rPr>
              <w:t>Sabre Corporation 2023 Omnibus Incentive Compensation Plan</w:t>
            </w:r>
          </w:p>
        </w:tc>
        <w:tc>
          <w:tcPr>
            <w:tcW w:w="800" w:type="dxa"/>
            <w:vAlign w:val="bottom"/>
          </w:tcPr>
          <w:p>
            <w:pPr>
              <w:spacing w:after="0"/>
              <w:rPr>
                <w:sz w:val="24"/>
                <w:szCs w:val="24"/>
                <w:color w:val="auto"/>
              </w:rPr>
            </w:pPr>
          </w:p>
        </w:tc>
        <w:tc>
          <w:tcPr>
            <w:tcW w:w="1900" w:type="dxa"/>
            <w:vAlign w:val="bottom"/>
          </w:tcPr>
          <w:p>
            <w:pPr>
              <w:jc w:val="right"/>
              <w:ind w:right="9"/>
              <w:spacing w:after="0"/>
              <w:rPr>
                <w:sz w:val="20"/>
                <w:szCs w:val="20"/>
                <w:color w:val="auto"/>
              </w:rPr>
            </w:pPr>
            <w:r>
              <w:rPr>
                <w:rFonts w:ascii="Arial" w:cs="Arial" w:eastAsia="Arial" w:hAnsi="Arial"/>
                <w:sz w:val="20"/>
                <w:szCs w:val="20"/>
                <w:b w:val="1"/>
                <w:bCs w:val="1"/>
                <w:color w:val="auto"/>
              </w:rPr>
              <w:t>A-1</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6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380" w:type="dxa"/>
            <w:vAlign w:val="bottom"/>
            <w:gridSpan w:val="9"/>
          </w:tcPr>
          <w:p>
            <w:pPr>
              <w:spacing w:after="0"/>
              <w:rPr>
                <w:sz w:val="20"/>
                <w:szCs w:val="20"/>
                <w:color w:val="auto"/>
              </w:rPr>
            </w:pPr>
            <w:r>
              <w:rPr>
                <w:rFonts w:ascii="Arial" w:cs="Arial" w:eastAsia="Arial" w:hAnsi="Arial"/>
                <w:sz w:val="20"/>
                <w:szCs w:val="20"/>
                <w:b w:val="1"/>
                <w:bCs w:val="1"/>
                <w:color w:val="auto"/>
                <w:w w:val="98"/>
              </w:rPr>
              <w:t xml:space="preserve">APPENDIX B: </w:t>
            </w:r>
            <w:r>
              <w:rPr>
                <w:rFonts w:ascii="Arial" w:cs="Arial" w:eastAsia="Arial" w:hAnsi="Arial"/>
                <w:sz w:val="20"/>
                <w:szCs w:val="20"/>
                <w:color w:val="0000EE"/>
                <w:w w:val="98"/>
              </w:rPr>
              <w:t>Reconciliations of Certain Non-GAAP and GAAP Financial Measures</w:t>
            </w:r>
          </w:p>
        </w:tc>
        <w:tc>
          <w:tcPr>
            <w:tcW w:w="800" w:type="dxa"/>
            <w:vAlign w:val="bottom"/>
          </w:tcPr>
          <w:p>
            <w:pPr>
              <w:spacing w:after="0"/>
              <w:rPr>
                <w:sz w:val="24"/>
                <w:szCs w:val="24"/>
                <w:color w:val="auto"/>
              </w:rPr>
            </w:pPr>
          </w:p>
        </w:tc>
        <w:tc>
          <w:tcPr>
            <w:tcW w:w="1900" w:type="dxa"/>
            <w:vAlign w:val="bottom"/>
          </w:tcPr>
          <w:p>
            <w:pPr>
              <w:jc w:val="right"/>
              <w:ind w:right="9"/>
              <w:spacing w:after="0"/>
              <w:rPr>
                <w:sz w:val="20"/>
                <w:szCs w:val="20"/>
                <w:color w:val="auto"/>
              </w:rPr>
            </w:pPr>
            <w:r>
              <w:rPr>
                <w:rFonts w:ascii="Arial" w:cs="Arial" w:eastAsia="Arial" w:hAnsi="Arial"/>
                <w:sz w:val="20"/>
                <w:szCs w:val="20"/>
                <w:b w:val="1"/>
                <w:bCs w:val="1"/>
                <w:color w:val="auto"/>
              </w:rPr>
              <w:t>B-1</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36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60" w:type="dxa"/>
            <w:vAlign w:val="bottom"/>
            <w:gridSpan w:val="3"/>
          </w:tcPr>
          <w:p>
            <w:pPr>
              <w:ind w:left="2340"/>
              <w:spacing w:after="0"/>
              <w:rPr>
                <w:sz w:val="20"/>
                <w:szCs w:val="20"/>
                <w:color w:val="auto"/>
              </w:rPr>
            </w:pPr>
            <w:r>
              <w:rPr>
                <w:rFonts w:ascii="Arial" w:cs="Arial" w:eastAsia="Arial" w:hAnsi="Arial"/>
                <w:sz w:val="18"/>
                <w:szCs w:val="18"/>
                <w:b w:val="1"/>
                <w:bCs w:val="1"/>
                <w:color w:val="CF0A2C"/>
              </w:rPr>
              <w:t>Sabre Corporation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CF0A2C"/>
              </w:rPr>
              <w:t xml:space="preserve">2023 Proxy Statement   </w:t>
            </w:r>
            <w:r>
              <w:rPr>
                <w:rFonts w:ascii="Arial" w:cs="Arial" w:eastAsia="Arial" w:hAnsi="Arial"/>
                <w:sz w:val="23"/>
                <w:szCs w:val="23"/>
                <w:color w:val="666666"/>
              </w:rPr>
              <w:t>|</w:t>
            </w:r>
            <w:r>
              <w:rPr>
                <w:rFonts w:ascii="Arial" w:cs="Arial" w:eastAsia="Arial" w:hAnsi="Arial"/>
                <w:sz w:val="18"/>
                <w:szCs w:val="18"/>
                <w:color w:val="CF0A2C"/>
              </w:rPr>
              <w:t xml:space="preserve">   </w:t>
            </w:r>
            <w:r>
              <w:rPr>
                <w:rFonts w:ascii="Arial" w:cs="Arial" w:eastAsia="Arial" w:hAnsi="Arial"/>
                <w:sz w:val="18"/>
                <w:szCs w:val="18"/>
                <w:b w:val="1"/>
                <w:bCs w:val="1"/>
                <w:color w:val="666666"/>
              </w:rPr>
              <w:t>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-143510</wp:posOffset>
            </wp:positionV>
            <wp:extent cx="415925" cy="102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194310</wp:posOffset>
            </wp:positionV>
            <wp:extent cx="1727200" cy="149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27200" cy="149225"/>
                    </a:xfrm>
                    <a:prstGeom prst="rect">
                      <a:avLst/>
                    </a:prstGeom>
                    <a:noFill/>
                  </pic:spPr>
                </pic:pic>
              </a:graphicData>
            </a:graphic>
          </wp:anchor>
        </w:drawing>
      </w:r>
    </w:p>
    <w:p>
      <w:pPr>
        <w:spacing w:after="0" w:line="311" w:lineRule="exact"/>
        <w:rPr>
          <w:sz w:val="20"/>
          <w:szCs w:val="20"/>
          <w:color w:val="auto"/>
        </w:rPr>
      </w:pPr>
    </w:p>
    <w:p>
      <w:pPr>
        <w:ind w:left="8240"/>
        <w:spacing w:after="0"/>
        <w:rPr>
          <w:sz w:val="20"/>
          <w:szCs w:val="20"/>
          <w:color w:val="auto"/>
        </w:rPr>
      </w:pPr>
      <w:r>
        <w:rPr>
          <w:rFonts w:ascii="Arial" w:cs="Arial" w:eastAsia="Arial" w:hAnsi="Arial"/>
          <w:sz w:val="15"/>
          <w:szCs w:val="15"/>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165100</wp:posOffset>
            </wp:positionV>
            <wp:extent cx="2040890" cy="494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89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PROXY STATEMENT SUMMARY</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This summary represents only selected information. You should review the entire proxy statement before voting.</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Matters for Stockholder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3069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05880" cy="3069590"/>
                    </a:xfrm>
                    <a:prstGeom prst="rect">
                      <a:avLst/>
                    </a:prstGeom>
                    <a:noFill/>
                  </pic:spPr>
                </pic:pic>
              </a:graphicData>
            </a:graphic>
          </wp:anchor>
        </w:drawing>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3340" w:type="dxa"/>
            <w:vAlign w:val="bottom"/>
            <w:shd w:val="clear" w:color="auto" w:fill="666666"/>
          </w:tcPr>
          <w:p>
            <w:pPr>
              <w:spacing w:after="0"/>
              <w:rPr>
                <w:sz w:val="17"/>
                <w:szCs w:val="17"/>
                <w:color w:val="auto"/>
              </w:rPr>
            </w:pPr>
          </w:p>
        </w:tc>
        <w:tc>
          <w:tcPr>
            <w:tcW w:w="3580" w:type="dxa"/>
            <w:vAlign w:val="bottom"/>
            <w:shd w:val="clear" w:color="auto" w:fill="666666"/>
          </w:tcPr>
          <w:p>
            <w:pPr>
              <w:spacing w:after="0"/>
              <w:rPr>
                <w:sz w:val="17"/>
                <w:szCs w:val="17"/>
                <w:color w:val="auto"/>
              </w:rPr>
            </w:pPr>
          </w:p>
        </w:tc>
        <w:tc>
          <w:tcPr>
            <w:tcW w:w="2860" w:type="dxa"/>
            <w:vAlign w:val="bottom"/>
            <w:shd w:val="clear" w:color="auto" w:fill="666666"/>
          </w:tcPr>
          <w:p>
            <w:pPr>
              <w:ind w:left="1100"/>
              <w:spacing w:after="0"/>
              <w:rPr>
                <w:sz w:val="20"/>
                <w:szCs w:val="20"/>
                <w:color w:val="auto"/>
              </w:rPr>
            </w:pPr>
            <w:r>
              <w:rPr>
                <w:rFonts w:ascii="Arial" w:cs="Arial" w:eastAsia="Arial" w:hAnsi="Arial"/>
                <w:sz w:val="15"/>
                <w:szCs w:val="15"/>
                <w:b w:val="1"/>
                <w:bCs w:val="1"/>
                <w:color w:val="FFFFFF"/>
              </w:rPr>
              <w:t>Board Voting</w:t>
            </w:r>
          </w:p>
        </w:tc>
        <w:tc>
          <w:tcPr>
            <w:tcW w:w="300" w:type="dxa"/>
            <w:vAlign w:val="bottom"/>
            <w:shd w:val="clear" w:color="auto" w:fill="666666"/>
          </w:tcPr>
          <w:p>
            <w:pPr>
              <w:spacing w:after="0"/>
              <w:rPr>
                <w:sz w:val="17"/>
                <w:szCs w:val="17"/>
                <w:color w:val="auto"/>
              </w:rPr>
            </w:pPr>
          </w:p>
        </w:tc>
      </w:tr>
      <w:tr>
        <w:trPr>
          <w:trHeight w:val="215"/>
        </w:trPr>
        <w:tc>
          <w:tcPr>
            <w:tcW w:w="3340" w:type="dxa"/>
            <w:vAlign w:val="bottom"/>
            <w:tcBorders>
              <w:bottom w:val="single" w:sz="8" w:color="666666"/>
            </w:tcBorders>
            <w:shd w:val="clear" w:color="auto" w:fill="666666"/>
          </w:tcPr>
          <w:p>
            <w:pPr>
              <w:ind w:left="80"/>
              <w:spacing w:after="0"/>
              <w:rPr>
                <w:sz w:val="20"/>
                <w:szCs w:val="20"/>
                <w:color w:val="auto"/>
              </w:rPr>
            </w:pPr>
            <w:r>
              <w:rPr>
                <w:rFonts w:ascii="Arial" w:cs="Arial" w:eastAsia="Arial" w:hAnsi="Arial"/>
                <w:sz w:val="15"/>
                <w:szCs w:val="15"/>
                <w:b w:val="1"/>
                <w:bCs w:val="1"/>
                <w:color w:val="FFFFFF"/>
              </w:rPr>
              <w:t>Proposal</w:t>
            </w:r>
          </w:p>
        </w:tc>
        <w:tc>
          <w:tcPr>
            <w:tcW w:w="3580" w:type="dxa"/>
            <w:vAlign w:val="bottom"/>
            <w:tcBorders>
              <w:bottom w:val="single" w:sz="8" w:color="666666"/>
            </w:tcBorders>
            <w:shd w:val="clear" w:color="auto" w:fill="666666"/>
          </w:tcPr>
          <w:p>
            <w:pPr>
              <w:ind w:left="1340"/>
              <w:spacing w:after="0"/>
              <w:rPr>
                <w:sz w:val="20"/>
                <w:szCs w:val="20"/>
                <w:color w:val="auto"/>
              </w:rPr>
            </w:pPr>
            <w:r>
              <w:rPr>
                <w:rFonts w:ascii="Arial" w:cs="Arial" w:eastAsia="Arial" w:hAnsi="Arial"/>
                <w:sz w:val="15"/>
                <w:szCs w:val="15"/>
                <w:b w:val="1"/>
                <w:bCs w:val="1"/>
                <w:color w:val="FFFFFF"/>
              </w:rPr>
              <w:t>Description</w:t>
            </w:r>
          </w:p>
        </w:tc>
        <w:tc>
          <w:tcPr>
            <w:tcW w:w="2860" w:type="dxa"/>
            <w:vAlign w:val="bottom"/>
            <w:tcBorders>
              <w:bottom w:val="single" w:sz="8" w:color="666666"/>
            </w:tcBorders>
            <w:shd w:val="clear" w:color="auto" w:fill="666666"/>
          </w:tcPr>
          <w:p>
            <w:pPr>
              <w:ind w:left="940"/>
              <w:spacing w:after="0"/>
              <w:rPr>
                <w:sz w:val="20"/>
                <w:szCs w:val="20"/>
                <w:color w:val="auto"/>
              </w:rPr>
            </w:pPr>
            <w:r>
              <w:rPr>
                <w:rFonts w:ascii="Arial" w:cs="Arial" w:eastAsia="Arial" w:hAnsi="Arial"/>
                <w:sz w:val="15"/>
                <w:szCs w:val="15"/>
                <w:b w:val="1"/>
                <w:bCs w:val="1"/>
                <w:color w:val="FFFFFF"/>
              </w:rPr>
              <w:t>Recommendation</w:t>
            </w:r>
          </w:p>
        </w:tc>
        <w:tc>
          <w:tcPr>
            <w:tcW w:w="300" w:type="dxa"/>
            <w:vAlign w:val="bottom"/>
            <w:tcBorders>
              <w:bottom w:val="single" w:sz="8" w:color="666666"/>
            </w:tcBorders>
            <w:shd w:val="clear" w:color="auto" w:fill="666666"/>
          </w:tcPr>
          <w:p>
            <w:pPr>
              <w:spacing w:after="0"/>
              <w:rPr>
                <w:sz w:val="18"/>
                <w:szCs w:val="18"/>
                <w:color w:val="auto"/>
              </w:rPr>
            </w:pPr>
          </w:p>
        </w:tc>
      </w:tr>
      <w:tr>
        <w:trPr>
          <w:trHeight w:val="206"/>
        </w:trPr>
        <w:tc>
          <w:tcPr>
            <w:tcW w:w="3340" w:type="dxa"/>
            <w:vAlign w:val="bottom"/>
            <w:shd w:val="clear" w:color="auto" w:fill="E5E5E5"/>
          </w:tcPr>
          <w:p>
            <w:pPr>
              <w:ind w:left="60"/>
              <w:spacing w:after="0"/>
              <w:rPr>
                <w:sz w:val="20"/>
                <w:szCs w:val="20"/>
                <w:color w:val="auto"/>
              </w:rPr>
            </w:pPr>
            <w:r>
              <w:rPr>
                <w:rFonts w:ascii="Arial" w:cs="Arial" w:eastAsia="Arial" w:hAnsi="Arial"/>
                <w:sz w:val="16"/>
                <w:szCs w:val="16"/>
                <w:color w:val="auto"/>
              </w:rPr>
              <w:t>1. Election of directors</w:t>
            </w: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Election of George Bravante, Jr., Hervé</w:t>
            </w:r>
          </w:p>
        </w:tc>
        <w:tc>
          <w:tcPr>
            <w:tcW w:w="286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these nominees</w:t>
            </w:r>
          </w:p>
        </w:tc>
        <w:tc>
          <w:tcPr>
            <w:tcW w:w="300" w:type="dxa"/>
            <w:vAlign w:val="bottom"/>
            <w:shd w:val="clear" w:color="auto" w:fill="E5E5E5"/>
          </w:tcPr>
          <w:p>
            <w:pPr>
              <w:spacing w:after="0"/>
              <w:rPr>
                <w:sz w:val="17"/>
                <w:szCs w:val="17"/>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Couturier, Kurt Ekert, Rachel Gonzalez, Gail</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Mandel, Sean Menke, Phyllis Newhouse,</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Karl Peterson, Zane Rowe, Gregg Saretsky,</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John Scott, and Wendi Sturgis, each to serve</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215"/>
        </w:trPr>
        <w:tc>
          <w:tcPr>
            <w:tcW w:w="3340" w:type="dxa"/>
            <w:vAlign w:val="bottom"/>
            <w:shd w:val="clear" w:color="auto" w:fill="E5E5E5"/>
          </w:tcPr>
          <w:p>
            <w:pPr>
              <w:spacing w:after="0"/>
              <w:rPr>
                <w:sz w:val="18"/>
                <w:szCs w:val="18"/>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 one-year term</w:t>
            </w:r>
          </w:p>
        </w:tc>
        <w:tc>
          <w:tcPr>
            <w:tcW w:w="2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r>
      <w:tr>
        <w:trPr>
          <w:trHeight w:val="404"/>
        </w:trPr>
        <w:tc>
          <w:tcPr>
            <w:tcW w:w="3340" w:type="dxa"/>
            <w:vAlign w:val="bottom"/>
          </w:tcPr>
          <w:p>
            <w:pPr>
              <w:ind w:left="60"/>
              <w:spacing w:after="0"/>
              <w:rPr>
                <w:sz w:val="20"/>
                <w:szCs w:val="20"/>
                <w:color w:val="auto"/>
              </w:rPr>
            </w:pPr>
            <w:r>
              <w:rPr>
                <w:rFonts w:ascii="Arial" w:cs="Arial" w:eastAsia="Arial" w:hAnsi="Arial"/>
                <w:sz w:val="16"/>
                <w:szCs w:val="16"/>
                <w:color w:val="auto"/>
              </w:rPr>
              <w:t>2. Ratification of appointment of auditors</w:t>
            </w:r>
          </w:p>
        </w:tc>
        <w:tc>
          <w:tcPr>
            <w:tcW w:w="3580" w:type="dxa"/>
            <w:vAlign w:val="bottom"/>
          </w:tcPr>
          <w:p>
            <w:pPr>
              <w:ind w:left="100"/>
              <w:spacing w:after="0"/>
              <w:rPr>
                <w:sz w:val="20"/>
                <w:szCs w:val="20"/>
                <w:color w:val="auto"/>
              </w:rPr>
            </w:pPr>
            <w:r>
              <w:rPr>
                <w:rFonts w:ascii="Arial" w:cs="Arial" w:eastAsia="Arial" w:hAnsi="Arial"/>
                <w:sz w:val="16"/>
                <w:szCs w:val="16"/>
                <w:color w:val="auto"/>
              </w:rPr>
              <w:t>Ratification of the appointment of Ernst &amp;</w:t>
            </w:r>
          </w:p>
        </w:tc>
        <w:tc>
          <w:tcPr>
            <w:tcW w:w="2860" w:type="dxa"/>
            <w:vAlign w:val="bottom"/>
          </w:tcPr>
          <w:p>
            <w:pPr>
              <w:ind w:left="180"/>
              <w:spacing w:after="0"/>
              <w:rPr>
                <w:sz w:val="20"/>
                <w:szCs w:val="20"/>
                <w:color w:val="auto"/>
              </w:rPr>
            </w:pPr>
            <w:r>
              <w:rPr>
                <w:rFonts w:ascii="Arial" w:cs="Arial" w:eastAsia="Arial" w:hAnsi="Arial"/>
                <w:sz w:val="16"/>
                <w:szCs w:val="16"/>
                <w:b w:val="1"/>
                <w:bCs w:val="1"/>
                <w:color w:val="auto"/>
              </w:rPr>
              <w:t>FOR</w:t>
            </w:r>
          </w:p>
        </w:tc>
        <w:tc>
          <w:tcPr>
            <w:tcW w:w="300" w:type="dxa"/>
            <w:vAlign w:val="bottom"/>
          </w:tcPr>
          <w:p>
            <w:pPr>
              <w:spacing w:after="0"/>
              <w:rPr>
                <w:sz w:val="24"/>
                <w:szCs w:val="24"/>
                <w:color w:val="auto"/>
              </w:rPr>
            </w:pPr>
          </w:p>
        </w:tc>
      </w:tr>
      <w:tr>
        <w:trPr>
          <w:trHeight w:val="185"/>
        </w:trPr>
        <w:tc>
          <w:tcPr>
            <w:tcW w:w="3340" w:type="dxa"/>
            <w:vAlign w:val="bottom"/>
          </w:tcPr>
          <w:p>
            <w:pPr>
              <w:spacing w:after="0"/>
              <w:rPr>
                <w:sz w:val="16"/>
                <w:szCs w:val="16"/>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Young LLP as our independent auditors for</w:t>
            </w:r>
          </w:p>
        </w:tc>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5"/>
        </w:trPr>
        <w:tc>
          <w:tcPr>
            <w:tcW w:w="334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2023</w:t>
            </w: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04"/>
        </w:trPr>
        <w:tc>
          <w:tcPr>
            <w:tcW w:w="3340" w:type="dxa"/>
            <w:vAlign w:val="bottom"/>
            <w:shd w:val="clear" w:color="auto" w:fill="E5E5E5"/>
          </w:tcPr>
          <w:p>
            <w:pPr>
              <w:ind w:left="60"/>
              <w:spacing w:after="0"/>
              <w:rPr>
                <w:sz w:val="20"/>
                <w:szCs w:val="20"/>
                <w:color w:val="auto"/>
              </w:rPr>
            </w:pPr>
            <w:r>
              <w:rPr>
                <w:rFonts w:ascii="Arial" w:cs="Arial" w:eastAsia="Arial" w:hAnsi="Arial"/>
                <w:sz w:val="16"/>
                <w:szCs w:val="16"/>
                <w:color w:val="auto"/>
              </w:rPr>
              <w:t>3. Approval of our 2023 Omnibus Incentive</w:t>
            </w: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Approval of our 2023 Omnibus Incentive</w:t>
            </w:r>
          </w:p>
        </w:tc>
        <w:tc>
          <w:tcPr>
            <w:tcW w:w="286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FOR</w:t>
            </w:r>
          </w:p>
        </w:tc>
        <w:tc>
          <w:tcPr>
            <w:tcW w:w="300" w:type="dxa"/>
            <w:vAlign w:val="bottom"/>
            <w:shd w:val="clear" w:color="auto" w:fill="E5E5E5"/>
          </w:tcPr>
          <w:p>
            <w:pPr>
              <w:spacing w:after="0"/>
              <w:rPr>
                <w:sz w:val="24"/>
                <w:szCs w:val="24"/>
                <w:color w:val="auto"/>
              </w:rPr>
            </w:pPr>
          </w:p>
        </w:tc>
      </w:tr>
      <w:tr>
        <w:trPr>
          <w:trHeight w:val="185"/>
        </w:trPr>
        <w:tc>
          <w:tcPr>
            <w:tcW w:w="3340" w:type="dxa"/>
            <w:vAlign w:val="bottom"/>
            <w:shd w:val="clear" w:color="auto" w:fill="E5E5E5"/>
          </w:tcPr>
          <w:p>
            <w:pPr>
              <w:ind w:left="240"/>
              <w:spacing w:after="0"/>
              <w:rPr>
                <w:sz w:val="20"/>
                <w:szCs w:val="20"/>
                <w:color w:val="auto"/>
              </w:rPr>
            </w:pPr>
            <w:r>
              <w:rPr>
                <w:rFonts w:ascii="Arial" w:cs="Arial" w:eastAsia="Arial" w:hAnsi="Arial"/>
                <w:sz w:val="16"/>
                <w:szCs w:val="16"/>
                <w:color w:val="auto"/>
              </w:rPr>
              <w:t>Compensation Plan</w:t>
            </w: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Compensation Plan, to replace our 2021</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Omnibus Incentive Compensation Plan and</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increase the number of shares authorized for</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185"/>
        </w:trPr>
        <w:tc>
          <w:tcPr>
            <w:tcW w:w="3340" w:type="dxa"/>
            <w:vAlign w:val="bottom"/>
            <w:shd w:val="clear" w:color="auto" w:fill="E5E5E5"/>
          </w:tcPr>
          <w:p>
            <w:pPr>
              <w:spacing w:after="0"/>
              <w:rPr>
                <w:sz w:val="16"/>
                <w:szCs w:val="16"/>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issuance under our equity-based</w:t>
            </w:r>
          </w:p>
        </w:tc>
        <w:tc>
          <w:tcPr>
            <w:tcW w:w="28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r>
      <w:tr>
        <w:trPr>
          <w:trHeight w:val="215"/>
        </w:trPr>
        <w:tc>
          <w:tcPr>
            <w:tcW w:w="3340" w:type="dxa"/>
            <w:vAlign w:val="bottom"/>
            <w:shd w:val="clear" w:color="auto" w:fill="E5E5E5"/>
          </w:tcPr>
          <w:p>
            <w:pPr>
              <w:spacing w:after="0"/>
              <w:rPr>
                <w:sz w:val="18"/>
                <w:szCs w:val="18"/>
                <w:color w:val="auto"/>
              </w:rPr>
            </w:pPr>
          </w:p>
        </w:tc>
        <w:tc>
          <w:tcPr>
            <w:tcW w:w="35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compensation plans</w:t>
            </w:r>
          </w:p>
        </w:tc>
        <w:tc>
          <w:tcPr>
            <w:tcW w:w="2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r>
      <w:tr>
        <w:trPr>
          <w:trHeight w:val="404"/>
        </w:trPr>
        <w:tc>
          <w:tcPr>
            <w:tcW w:w="3340" w:type="dxa"/>
            <w:vAlign w:val="bottom"/>
          </w:tcPr>
          <w:p>
            <w:pPr>
              <w:ind w:left="60"/>
              <w:spacing w:after="0"/>
              <w:rPr>
                <w:sz w:val="20"/>
                <w:szCs w:val="20"/>
                <w:color w:val="auto"/>
              </w:rPr>
            </w:pPr>
            <w:r>
              <w:rPr>
                <w:rFonts w:ascii="Arial" w:cs="Arial" w:eastAsia="Arial" w:hAnsi="Arial"/>
                <w:sz w:val="16"/>
                <w:szCs w:val="16"/>
                <w:color w:val="auto"/>
              </w:rPr>
              <w:t>4. Advisory, non-binding vote on the</w:t>
            </w:r>
          </w:p>
        </w:tc>
        <w:tc>
          <w:tcPr>
            <w:tcW w:w="3580" w:type="dxa"/>
            <w:vAlign w:val="bottom"/>
          </w:tcPr>
          <w:p>
            <w:pPr>
              <w:ind w:left="100"/>
              <w:spacing w:after="0"/>
              <w:rPr>
                <w:sz w:val="20"/>
                <w:szCs w:val="20"/>
                <w:color w:val="auto"/>
              </w:rPr>
            </w:pPr>
            <w:r>
              <w:rPr>
                <w:rFonts w:ascii="Arial" w:cs="Arial" w:eastAsia="Arial" w:hAnsi="Arial"/>
                <w:sz w:val="16"/>
                <w:szCs w:val="16"/>
                <w:color w:val="auto"/>
              </w:rPr>
              <w:t>Approval, on an advisory and non-binding</w:t>
            </w:r>
          </w:p>
        </w:tc>
        <w:tc>
          <w:tcPr>
            <w:tcW w:w="2860" w:type="dxa"/>
            <w:vAlign w:val="bottom"/>
          </w:tcPr>
          <w:p>
            <w:pPr>
              <w:ind w:left="180"/>
              <w:spacing w:after="0"/>
              <w:rPr>
                <w:sz w:val="20"/>
                <w:szCs w:val="20"/>
                <w:color w:val="auto"/>
              </w:rPr>
            </w:pPr>
            <w:r>
              <w:rPr>
                <w:rFonts w:ascii="Arial" w:cs="Arial" w:eastAsia="Arial" w:hAnsi="Arial"/>
                <w:sz w:val="16"/>
                <w:szCs w:val="16"/>
                <w:b w:val="1"/>
                <w:bCs w:val="1"/>
                <w:color w:val="auto"/>
              </w:rPr>
              <w:t>FOR</w:t>
            </w:r>
          </w:p>
        </w:tc>
        <w:tc>
          <w:tcPr>
            <w:tcW w:w="300" w:type="dxa"/>
            <w:vAlign w:val="bottom"/>
          </w:tcPr>
          <w:p>
            <w:pPr>
              <w:spacing w:after="0"/>
              <w:rPr>
                <w:sz w:val="24"/>
                <w:szCs w:val="24"/>
                <w:color w:val="auto"/>
              </w:rPr>
            </w:pPr>
          </w:p>
        </w:tc>
      </w:tr>
      <w:tr>
        <w:trPr>
          <w:trHeight w:val="185"/>
        </w:trPr>
        <w:tc>
          <w:tcPr>
            <w:tcW w:w="3340" w:type="dxa"/>
            <w:vAlign w:val="bottom"/>
          </w:tcPr>
          <w:p>
            <w:pPr>
              <w:ind w:left="240"/>
              <w:spacing w:after="0"/>
              <w:rPr>
                <w:sz w:val="20"/>
                <w:szCs w:val="20"/>
                <w:color w:val="auto"/>
              </w:rPr>
            </w:pPr>
            <w:r>
              <w:rPr>
                <w:rFonts w:ascii="Arial" w:cs="Arial" w:eastAsia="Arial" w:hAnsi="Arial"/>
                <w:sz w:val="16"/>
                <w:szCs w:val="16"/>
                <w:color w:val="auto"/>
              </w:rPr>
              <w:t>compensation of our named executive</w:t>
            </w:r>
          </w:p>
        </w:tc>
        <w:tc>
          <w:tcPr>
            <w:tcW w:w="3580" w:type="dxa"/>
            <w:vAlign w:val="bottom"/>
          </w:tcPr>
          <w:p>
            <w:pPr>
              <w:ind w:left="100"/>
              <w:spacing w:after="0"/>
              <w:rPr>
                <w:sz w:val="20"/>
                <w:szCs w:val="20"/>
                <w:color w:val="auto"/>
              </w:rPr>
            </w:pPr>
            <w:r>
              <w:rPr>
                <w:rFonts w:ascii="Arial" w:cs="Arial" w:eastAsia="Arial" w:hAnsi="Arial"/>
                <w:sz w:val="16"/>
                <w:szCs w:val="16"/>
                <w:color w:val="auto"/>
              </w:rPr>
              <w:t>basis, of our named executive officers’ 2023</w:t>
            </w:r>
          </w:p>
        </w:tc>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7"/>
        </w:trPr>
        <w:tc>
          <w:tcPr>
            <w:tcW w:w="3340" w:type="dxa"/>
            <w:vAlign w:val="bottom"/>
          </w:tcPr>
          <w:p>
            <w:pPr>
              <w:ind w:left="240"/>
              <w:spacing w:after="0"/>
              <w:rPr>
                <w:sz w:val="20"/>
                <w:szCs w:val="20"/>
                <w:color w:val="auto"/>
              </w:rPr>
            </w:pPr>
            <w:r>
              <w:rPr>
                <w:rFonts w:ascii="Arial" w:cs="Arial" w:eastAsia="Arial" w:hAnsi="Arial"/>
                <w:sz w:val="16"/>
                <w:szCs w:val="16"/>
                <w:color w:val="auto"/>
              </w:rPr>
              <w:t>officers</w:t>
            </w:r>
          </w:p>
        </w:tc>
        <w:tc>
          <w:tcPr>
            <w:tcW w:w="358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4"/>
        </w:trPr>
        <w:tc>
          <w:tcPr>
            <w:tcW w:w="3340" w:type="dxa"/>
            <w:vAlign w:val="bottom"/>
          </w:tcPr>
          <w:p>
            <w:pPr>
              <w:spacing w:after="0"/>
              <w:rPr>
                <w:sz w:val="24"/>
                <w:szCs w:val="24"/>
                <w:color w:val="auto"/>
              </w:rPr>
            </w:pPr>
          </w:p>
        </w:tc>
        <w:tc>
          <w:tcPr>
            <w:tcW w:w="6440" w:type="dxa"/>
            <w:vAlign w:val="bottom"/>
            <w:gridSpan w:val="2"/>
          </w:tcPr>
          <w:p>
            <w:pPr>
              <w:ind w:left="2400"/>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666666"/>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-143510</wp:posOffset>
            </wp:positionV>
            <wp:extent cx="415925" cy="102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664335" cy="149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4335" cy="149225"/>
                    </a:xfrm>
                    <a:prstGeom prst="rect">
                      <a:avLst/>
                    </a:prstGeom>
                    <a:noFill/>
                  </pic:spPr>
                </pic:pic>
              </a:graphicData>
            </a:graphic>
          </wp:anchor>
        </w:drawing>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FFFFFF"/>
        </w:rPr>
        <w:t>PROXY STATEMENT SUMMARY</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Information on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60"/>
        <w:spacing w:after="0" w:line="253" w:lineRule="auto"/>
        <w:rPr>
          <w:sz w:val="20"/>
          <w:szCs w:val="20"/>
          <w:color w:val="auto"/>
        </w:rPr>
      </w:pPr>
      <w:r>
        <w:rPr>
          <w:rFonts w:ascii="Arial" w:cs="Arial" w:eastAsia="Arial" w:hAnsi="Arial"/>
          <w:sz w:val="18"/>
          <w:szCs w:val="18"/>
          <w:color w:val="auto"/>
        </w:rPr>
        <w:t xml:space="preserve">Information about the twelve nominees for director is included below. The Governance and Nominating Committee has reviewed the individual director attributes and contributions of these nominees, and 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these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116205</wp:posOffset>
            </wp:positionV>
            <wp:extent cx="6405880" cy="5008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05880" cy="500824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FFFFFF"/>
        </w:rPr>
        <w:t>Name and Occupation</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George Bravante, Jr.</w:t>
      </w:r>
    </w:p>
    <w:p>
      <w:pPr>
        <w:spacing w:after="0" w:line="17" w:lineRule="exact"/>
        <w:rPr>
          <w:sz w:val="20"/>
          <w:szCs w:val="20"/>
          <w:color w:val="auto"/>
        </w:rPr>
      </w:pPr>
    </w:p>
    <w:p>
      <w:pPr>
        <w:ind w:left="820" w:right="280"/>
        <w:spacing w:after="0" w:line="253" w:lineRule="auto"/>
        <w:rPr>
          <w:sz w:val="20"/>
          <w:szCs w:val="20"/>
          <w:color w:val="auto"/>
        </w:rPr>
      </w:pPr>
      <w:r>
        <w:rPr>
          <w:rFonts w:ascii="Arial" w:cs="Arial" w:eastAsia="Arial" w:hAnsi="Arial"/>
          <w:sz w:val="16"/>
          <w:szCs w:val="16"/>
          <w:i w:val="1"/>
          <w:iCs w:val="1"/>
          <w:color w:val="auto"/>
        </w:rPr>
        <w:t>Co-founder of Bravante-Curci Investors, LP, Owner of Bravante Produce, and CEO of Pacific Agricultural Realty,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Hervé Couturier</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President, Kerney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Kurt Ekert</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President, Sabre Corporation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ind w:left="380"/>
              <w:spacing w:after="0"/>
              <w:rPr>
                <w:sz w:val="20"/>
                <w:szCs w:val="20"/>
                <w:color w:val="auto"/>
              </w:rPr>
            </w:pPr>
            <w:r>
              <w:rPr>
                <w:rFonts w:ascii="Arial" w:cs="Arial" w:eastAsia="Arial" w:hAnsi="Arial"/>
                <w:sz w:val="15"/>
                <w:szCs w:val="15"/>
                <w:b w:val="1"/>
                <w:bCs w:val="1"/>
                <w:color w:val="FFFFFF"/>
              </w:rPr>
              <w:t>Committee</w:t>
            </w:r>
          </w:p>
        </w:tc>
        <w:tc>
          <w:tcPr>
            <w:tcW w:w="1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560"/>
              <w:spacing w:after="0"/>
              <w:rPr>
                <w:sz w:val="20"/>
                <w:szCs w:val="20"/>
                <w:color w:val="auto"/>
              </w:rPr>
            </w:pPr>
            <w:r>
              <w:rPr>
                <w:rFonts w:ascii="Arial" w:cs="Arial" w:eastAsia="Arial" w:hAnsi="Arial"/>
                <w:sz w:val="15"/>
                <w:szCs w:val="15"/>
                <w:b w:val="1"/>
                <w:bCs w:val="1"/>
                <w:color w:val="FFFFFF"/>
              </w:rPr>
              <w:t>Roles</w:t>
            </w:r>
          </w:p>
        </w:tc>
        <w:tc>
          <w:tcPr>
            <w:tcW w:w="1060" w:type="dxa"/>
            <w:vAlign w:val="bottom"/>
          </w:tcPr>
          <w:p>
            <w:pPr>
              <w:ind w:left="100"/>
              <w:spacing w:after="0"/>
              <w:rPr>
                <w:sz w:val="20"/>
                <w:szCs w:val="20"/>
                <w:color w:val="auto"/>
              </w:rPr>
            </w:pPr>
            <w:r>
              <w:rPr>
                <w:rFonts w:ascii="Arial" w:cs="Arial" w:eastAsia="Arial" w:hAnsi="Arial"/>
                <w:sz w:val="15"/>
                <w:szCs w:val="15"/>
                <w:b w:val="1"/>
                <w:bCs w:val="1"/>
                <w:color w:val="FFFFFF"/>
              </w:rPr>
              <w:t>Independent</w:t>
            </w:r>
          </w:p>
        </w:tc>
        <w:tc>
          <w:tcPr>
            <w:tcW w:w="3300" w:type="dxa"/>
            <w:vAlign w:val="bottom"/>
          </w:tcPr>
          <w:p>
            <w:pPr>
              <w:ind w:left="920"/>
              <w:spacing w:after="0"/>
              <w:rPr>
                <w:sz w:val="20"/>
                <w:szCs w:val="20"/>
                <w:color w:val="auto"/>
              </w:rPr>
            </w:pPr>
            <w:r>
              <w:rPr>
                <w:rFonts w:ascii="Arial" w:cs="Arial" w:eastAsia="Arial" w:hAnsi="Arial"/>
                <w:sz w:val="15"/>
                <w:szCs w:val="15"/>
                <w:b w:val="1"/>
                <w:bCs w:val="1"/>
                <w:color w:val="FFFFFF"/>
              </w:rPr>
              <w:t>Experience Highlights</w:t>
            </w:r>
          </w:p>
        </w:tc>
        <w:tc>
          <w:tcPr>
            <w:tcW w:w="0" w:type="dxa"/>
            <w:vAlign w:val="bottom"/>
          </w:tcPr>
          <w:p>
            <w:pPr>
              <w:spacing w:after="0"/>
              <w:rPr>
                <w:sz w:val="1"/>
                <w:szCs w:val="1"/>
                <w:color w:val="auto"/>
              </w:rPr>
            </w:pPr>
          </w:p>
        </w:tc>
      </w:tr>
      <w:tr>
        <w:trPr>
          <w:trHeight w:val="358"/>
        </w:trPr>
        <w:tc>
          <w:tcPr>
            <w:tcW w:w="158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tc>
        <w:tc>
          <w:tcPr>
            <w:tcW w:w="1060" w:type="dxa"/>
            <w:vAlign w:val="bottom"/>
            <w:shd w:val="clear" w:color="auto" w:fill="E5E5E5"/>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Travel industry experience, as the former</w:t>
            </w:r>
          </w:p>
        </w:tc>
        <w:tc>
          <w:tcPr>
            <w:tcW w:w="0" w:type="dxa"/>
            <w:vAlign w:val="bottom"/>
          </w:tcPr>
          <w:p>
            <w:pPr>
              <w:spacing w:after="0"/>
              <w:rPr>
                <w:sz w:val="1"/>
                <w:szCs w:val="1"/>
                <w:color w:val="auto"/>
              </w:rPr>
            </w:pPr>
          </w:p>
        </w:tc>
      </w:tr>
      <w:tr>
        <w:trPr>
          <w:trHeight w:val="182"/>
        </w:trPr>
        <w:tc>
          <w:tcPr>
            <w:tcW w:w="1580" w:type="dxa"/>
            <w:vAlign w:val="bottom"/>
            <w:shd w:val="clear" w:color="auto" w:fill="E5E5E5"/>
          </w:tcPr>
          <w:p>
            <w:pPr>
              <w:ind w:left="280"/>
              <w:spacing w:after="0" w:line="181" w:lineRule="exact"/>
              <w:rPr>
                <w:sz w:val="20"/>
                <w:szCs w:val="20"/>
                <w:color w:val="auto"/>
              </w:rPr>
            </w:pPr>
            <w:r>
              <w:rPr>
                <w:rFonts w:ascii="Arial" w:cs="Arial" w:eastAsia="Arial" w:hAnsi="Arial"/>
                <w:sz w:val="16"/>
                <w:szCs w:val="16"/>
                <w:color w:val="auto"/>
              </w:rPr>
              <w:t>(chair)</w:t>
            </w:r>
          </w:p>
        </w:tc>
        <w:tc>
          <w:tcPr>
            <w:tcW w:w="1060" w:type="dxa"/>
            <w:vAlign w:val="bottom"/>
            <w:shd w:val="clear" w:color="auto" w:fill="E5E5E5"/>
          </w:tcPr>
          <w:p>
            <w:pPr>
              <w:spacing w:after="0"/>
              <w:rPr>
                <w:sz w:val="15"/>
                <w:szCs w:val="15"/>
                <w:color w:val="auto"/>
              </w:rPr>
            </w:pPr>
          </w:p>
        </w:tc>
        <w:tc>
          <w:tcPr>
            <w:tcW w:w="3300" w:type="dxa"/>
            <w:vAlign w:val="bottom"/>
            <w:shd w:val="clear" w:color="auto" w:fill="E5E5E5"/>
          </w:tcPr>
          <w:p>
            <w:pPr>
              <w:ind w:left="240"/>
              <w:spacing w:after="0" w:line="181" w:lineRule="exact"/>
              <w:rPr>
                <w:sz w:val="20"/>
                <w:szCs w:val="20"/>
                <w:color w:val="auto"/>
              </w:rPr>
            </w:pPr>
            <w:r>
              <w:rPr>
                <w:rFonts w:ascii="Arial" w:cs="Arial" w:eastAsia="Arial" w:hAnsi="Arial"/>
                <w:sz w:val="16"/>
                <w:szCs w:val="16"/>
                <w:color w:val="auto"/>
              </w:rPr>
              <w:t>Chairman of the Board of ExpressJet</w:t>
            </w:r>
          </w:p>
        </w:tc>
        <w:tc>
          <w:tcPr>
            <w:tcW w:w="0" w:type="dxa"/>
            <w:vAlign w:val="bottom"/>
          </w:tcPr>
          <w:p>
            <w:pPr>
              <w:spacing w:after="0"/>
              <w:rPr>
                <w:sz w:val="1"/>
                <w:szCs w:val="1"/>
                <w:color w:val="auto"/>
              </w:rPr>
            </w:pPr>
          </w:p>
        </w:tc>
      </w:tr>
      <w:tr>
        <w:trPr>
          <w:trHeight w:val="231"/>
        </w:trPr>
        <w:tc>
          <w:tcPr>
            <w:tcW w:w="1580" w:type="dxa"/>
            <w:vAlign w:val="bottom"/>
            <w:shd w:val="clear" w:color="auto" w:fill="E5E5E5"/>
          </w:tcPr>
          <w:p>
            <w:pPr>
              <w:ind w:left="12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w:t>
            </w:r>
          </w:p>
        </w:tc>
        <w:tc>
          <w:tcPr>
            <w:tcW w:w="1060" w:type="dxa"/>
            <w:vAlign w:val="bottom"/>
            <w:shd w:val="clear" w:color="auto" w:fill="E5E5E5"/>
          </w:tcPr>
          <w:p>
            <w:pPr>
              <w:spacing w:after="0"/>
              <w:rPr>
                <w:sz w:val="20"/>
                <w:szCs w:val="20"/>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Holdings, Inc.</w:t>
            </w:r>
          </w:p>
        </w:tc>
        <w:tc>
          <w:tcPr>
            <w:tcW w:w="0" w:type="dxa"/>
            <w:vAlign w:val="bottom"/>
          </w:tcPr>
          <w:p>
            <w:pPr>
              <w:spacing w:after="0"/>
              <w:rPr>
                <w:sz w:val="1"/>
                <w:szCs w:val="1"/>
                <w:color w:val="auto"/>
              </w:rPr>
            </w:pPr>
          </w:p>
        </w:tc>
      </w:tr>
      <w:tr>
        <w:trPr>
          <w:trHeight w:val="227"/>
        </w:trPr>
        <w:tc>
          <w:tcPr>
            <w:tcW w:w="15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9"/>
                <w:szCs w:val="19"/>
                <w:color w:val="auto"/>
              </w:rPr>
            </w:pPr>
          </w:p>
        </w:tc>
        <w:tc>
          <w:tcPr>
            <w:tcW w:w="3300" w:type="dxa"/>
            <w:vAlign w:val="bottom"/>
            <w:shd w:val="clear" w:color="auto" w:fill="E5E5E5"/>
          </w:tcPr>
          <w:p>
            <w:pPr>
              <w:ind w:left="80"/>
              <w:spacing w:after="0" w:line="226"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Investment experience</w:t>
            </w:r>
          </w:p>
        </w:tc>
        <w:tc>
          <w:tcPr>
            <w:tcW w:w="0" w:type="dxa"/>
            <w:vAlign w:val="bottom"/>
          </w:tcPr>
          <w:p>
            <w:pPr>
              <w:spacing w:after="0"/>
              <w:rPr>
                <w:sz w:val="1"/>
                <w:szCs w:val="1"/>
                <w:color w:val="auto"/>
              </w:rPr>
            </w:pPr>
          </w:p>
        </w:tc>
      </w:tr>
      <w:tr>
        <w:trPr>
          <w:trHeight w:val="276"/>
        </w:trPr>
        <w:tc>
          <w:tcPr>
            <w:tcW w:w="1580" w:type="dxa"/>
            <w:vAlign w:val="bottom"/>
            <w:shd w:val="clear" w:color="auto" w:fill="E5E5E5"/>
          </w:tcPr>
          <w:p>
            <w:pPr>
              <w:spacing w:after="0"/>
              <w:rPr>
                <w:sz w:val="23"/>
                <w:szCs w:val="23"/>
                <w:color w:val="auto"/>
              </w:rPr>
            </w:pPr>
          </w:p>
        </w:tc>
        <w:tc>
          <w:tcPr>
            <w:tcW w:w="1060" w:type="dxa"/>
            <w:vAlign w:val="bottom"/>
            <w:shd w:val="clear" w:color="auto" w:fill="E5E5E5"/>
          </w:tcPr>
          <w:p>
            <w:pPr>
              <w:spacing w:after="0"/>
              <w:rPr>
                <w:sz w:val="23"/>
                <w:szCs w:val="23"/>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Financial and strategic business</w:t>
            </w:r>
          </w:p>
        </w:tc>
        <w:tc>
          <w:tcPr>
            <w:tcW w:w="0" w:type="dxa"/>
            <w:vAlign w:val="bottom"/>
          </w:tcPr>
          <w:p>
            <w:pPr>
              <w:spacing w:after="0"/>
              <w:rPr>
                <w:sz w:val="1"/>
                <w:szCs w:val="1"/>
                <w:color w:val="auto"/>
              </w:rPr>
            </w:pPr>
          </w:p>
        </w:tc>
      </w:tr>
      <w:tr>
        <w:trPr>
          <w:trHeight w:val="182"/>
        </w:trPr>
        <w:tc>
          <w:tcPr>
            <w:tcW w:w="15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3300" w:type="dxa"/>
            <w:vAlign w:val="bottom"/>
            <w:shd w:val="clear" w:color="auto" w:fill="E5E5E5"/>
          </w:tcPr>
          <w:p>
            <w:pPr>
              <w:ind w:left="240"/>
              <w:spacing w:after="0" w:line="181" w:lineRule="exact"/>
              <w:rPr>
                <w:sz w:val="20"/>
                <w:szCs w:val="20"/>
                <w:color w:val="auto"/>
              </w:rPr>
            </w:pPr>
            <w:r>
              <w:rPr>
                <w:rFonts w:ascii="Arial" w:cs="Arial" w:eastAsia="Arial" w:hAnsi="Arial"/>
                <w:sz w:val="16"/>
                <w:szCs w:val="16"/>
                <w:color w:val="auto"/>
              </w:rPr>
              <w:t>knowledge</w:t>
            </w:r>
          </w:p>
        </w:tc>
        <w:tc>
          <w:tcPr>
            <w:tcW w:w="0" w:type="dxa"/>
            <w:vAlign w:val="bottom"/>
          </w:tcPr>
          <w:p>
            <w:pPr>
              <w:spacing w:after="0"/>
              <w:rPr>
                <w:sz w:val="1"/>
                <w:szCs w:val="1"/>
                <w:color w:val="auto"/>
              </w:rPr>
            </w:pPr>
          </w:p>
        </w:tc>
      </w:tr>
      <w:tr>
        <w:trPr>
          <w:trHeight w:val="272"/>
        </w:trPr>
        <w:tc>
          <w:tcPr>
            <w:tcW w:w="1580" w:type="dxa"/>
            <w:vAlign w:val="bottom"/>
            <w:shd w:val="clear" w:color="auto" w:fill="E5E5E5"/>
          </w:tcPr>
          <w:p>
            <w:pPr>
              <w:spacing w:after="0"/>
              <w:rPr>
                <w:sz w:val="23"/>
                <w:szCs w:val="23"/>
                <w:color w:val="auto"/>
              </w:rPr>
            </w:pPr>
          </w:p>
        </w:tc>
        <w:tc>
          <w:tcPr>
            <w:tcW w:w="1060" w:type="dxa"/>
            <w:vAlign w:val="bottom"/>
            <w:shd w:val="clear" w:color="auto" w:fill="E5E5E5"/>
          </w:tcPr>
          <w:p>
            <w:pPr>
              <w:spacing w:after="0"/>
              <w:rPr>
                <w:sz w:val="23"/>
                <w:szCs w:val="23"/>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experience</w:t>
            </w:r>
          </w:p>
        </w:tc>
        <w:tc>
          <w:tcPr>
            <w:tcW w:w="0" w:type="dxa"/>
            <w:vAlign w:val="bottom"/>
          </w:tcPr>
          <w:p>
            <w:pPr>
              <w:spacing w:after="0"/>
              <w:rPr>
                <w:sz w:val="1"/>
                <w:szCs w:val="1"/>
                <w:color w:val="auto"/>
              </w:rPr>
            </w:pPr>
          </w:p>
        </w:tc>
      </w:tr>
      <w:tr>
        <w:trPr>
          <w:trHeight w:val="272"/>
        </w:trPr>
        <w:tc>
          <w:tcPr>
            <w:tcW w:w="1580" w:type="dxa"/>
            <w:vAlign w:val="bottom"/>
            <w:shd w:val="clear" w:color="auto" w:fill="E5E5E5"/>
          </w:tcPr>
          <w:p>
            <w:pPr>
              <w:spacing w:after="0"/>
              <w:rPr>
                <w:sz w:val="23"/>
                <w:szCs w:val="23"/>
                <w:color w:val="auto"/>
              </w:rPr>
            </w:pPr>
          </w:p>
        </w:tc>
        <w:tc>
          <w:tcPr>
            <w:tcW w:w="1060" w:type="dxa"/>
            <w:vAlign w:val="bottom"/>
            <w:shd w:val="clear" w:color="auto" w:fill="E5E5E5"/>
          </w:tcPr>
          <w:p>
            <w:pPr>
              <w:spacing w:after="0"/>
              <w:rPr>
                <w:sz w:val="23"/>
                <w:szCs w:val="23"/>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Background in public accounting</w:t>
            </w:r>
          </w:p>
        </w:tc>
        <w:tc>
          <w:tcPr>
            <w:tcW w:w="0" w:type="dxa"/>
            <w:vAlign w:val="bottom"/>
          </w:tcPr>
          <w:p>
            <w:pPr>
              <w:spacing w:after="0"/>
              <w:rPr>
                <w:sz w:val="1"/>
                <w:szCs w:val="1"/>
                <w:color w:val="auto"/>
              </w:rPr>
            </w:pPr>
          </w:p>
        </w:tc>
      </w:tr>
      <w:tr>
        <w:trPr>
          <w:trHeight w:val="305"/>
        </w:trPr>
        <w:tc>
          <w:tcPr>
            <w:tcW w:w="1580" w:type="dxa"/>
            <w:vAlign w:val="bottom"/>
            <w:shd w:val="clear" w:color="auto" w:fill="E5E5E5"/>
          </w:tcPr>
          <w:p>
            <w:pPr>
              <w:spacing w:after="0"/>
              <w:rPr>
                <w:sz w:val="24"/>
                <w:szCs w:val="24"/>
                <w:color w:val="auto"/>
              </w:rPr>
            </w:pPr>
          </w:p>
        </w:tc>
        <w:tc>
          <w:tcPr>
            <w:tcW w:w="1060" w:type="dxa"/>
            <w:vAlign w:val="bottom"/>
            <w:shd w:val="clear" w:color="auto" w:fill="E5E5E5"/>
          </w:tcPr>
          <w:p>
            <w:pPr>
              <w:spacing w:after="0"/>
              <w:rPr>
                <w:sz w:val="24"/>
                <w:szCs w:val="24"/>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 financial expert</w:t>
            </w:r>
          </w:p>
        </w:tc>
        <w:tc>
          <w:tcPr>
            <w:tcW w:w="0" w:type="dxa"/>
            <w:vAlign w:val="bottom"/>
          </w:tcPr>
          <w:p>
            <w:pPr>
              <w:spacing w:after="0"/>
              <w:rPr>
                <w:sz w:val="1"/>
                <w:szCs w:val="1"/>
                <w:color w:val="auto"/>
              </w:rPr>
            </w:pPr>
          </w:p>
        </w:tc>
      </w:tr>
      <w:tr>
        <w:trPr>
          <w:trHeight w:val="354"/>
        </w:trPr>
        <w:tc>
          <w:tcPr>
            <w:tcW w:w="158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0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experience in the areas of</w:t>
            </w:r>
          </w:p>
        </w:tc>
        <w:tc>
          <w:tcPr>
            <w:tcW w:w="0" w:type="dxa"/>
            <w:vAlign w:val="bottom"/>
          </w:tcPr>
          <w:p>
            <w:pPr>
              <w:spacing w:after="0"/>
              <w:rPr>
                <w:sz w:val="1"/>
                <w:szCs w:val="1"/>
                <w:color w:val="auto"/>
              </w:rPr>
            </w:pPr>
          </w:p>
        </w:tc>
      </w:tr>
      <w:tr>
        <w:trPr>
          <w:trHeight w:val="185"/>
        </w:trPr>
        <w:tc>
          <w:tcPr>
            <w:tcW w:w="1580" w:type="dxa"/>
            <w:vAlign w:val="bottom"/>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16"/>
                <w:szCs w:val="16"/>
                <w:color w:val="auto"/>
              </w:rPr>
            </w:pPr>
          </w:p>
        </w:tc>
        <w:tc>
          <w:tcPr>
            <w:tcW w:w="3300" w:type="dxa"/>
            <w:vAlign w:val="bottom"/>
          </w:tcPr>
          <w:p>
            <w:pPr>
              <w:ind w:left="240"/>
              <w:spacing w:after="0"/>
              <w:rPr>
                <w:sz w:val="20"/>
                <w:szCs w:val="20"/>
                <w:color w:val="auto"/>
              </w:rPr>
            </w:pPr>
            <w:r>
              <w:rPr>
                <w:rFonts w:ascii="Arial" w:cs="Arial" w:eastAsia="Arial" w:hAnsi="Arial"/>
                <w:sz w:val="16"/>
                <w:szCs w:val="16"/>
                <w:color w:val="auto"/>
              </w:rPr>
              <w:t>solutions strategy, product strategy,</w:t>
            </w:r>
          </w:p>
        </w:tc>
        <w:tc>
          <w:tcPr>
            <w:tcW w:w="0" w:type="dxa"/>
            <w:vAlign w:val="bottom"/>
          </w:tcPr>
          <w:p>
            <w:pPr>
              <w:spacing w:after="0"/>
              <w:rPr>
                <w:sz w:val="1"/>
                <w:szCs w:val="1"/>
                <w:color w:val="auto"/>
              </w:rPr>
            </w:pPr>
          </w:p>
        </w:tc>
      </w:tr>
      <w:tr>
        <w:trPr>
          <w:trHeight w:val="182"/>
        </w:trPr>
        <w:tc>
          <w:tcPr>
            <w:tcW w:w="1580" w:type="dxa"/>
            <w:vAlign w:val="bottom"/>
          </w:tcPr>
          <w:p>
            <w:pPr>
              <w:ind w:left="280"/>
              <w:spacing w:after="0" w:line="181" w:lineRule="exact"/>
              <w:rPr>
                <w:sz w:val="20"/>
                <w:szCs w:val="20"/>
                <w:color w:val="auto"/>
              </w:rPr>
            </w:pPr>
            <w:r>
              <w:rPr>
                <w:rFonts w:ascii="Arial" w:cs="Arial" w:eastAsia="Arial" w:hAnsi="Arial"/>
                <w:sz w:val="16"/>
                <w:szCs w:val="16"/>
                <w:color w:val="auto"/>
              </w:rPr>
              <w:t>(chair)</w:t>
            </w: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product development, and business</w:t>
            </w:r>
          </w:p>
        </w:tc>
        <w:tc>
          <w:tcPr>
            <w:tcW w:w="0" w:type="dxa"/>
            <w:vAlign w:val="bottom"/>
          </w:tcPr>
          <w:p>
            <w:pPr>
              <w:spacing w:after="0"/>
              <w:rPr>
                <w:sz w:val="1"/>
                <w:szCs w:val="1"/>
                <w:color w:val="auto"/>
              </w:rPr>
            </w:pPr>
          </w:p>
        </w:tc>
      </w:tr>
      <w:tr>
        <w:trPr>
          <w:trHeight w:val="231"/>
        </w:trPr>
        <w:tc>
          <w:tcPr>
            <w:tcW w:w="1580" w:type="dxa"/>
            <w:vAlign w:val="bottom"/>
          </w:tcPr>
          <w:p>
            <w:pPr>
              <w:ind w:left="12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tc>
        <w:tc>
          <w:tcPr>
            <w:tcW w:w="1060" w:type="dxa"/>
            <w:vAlign w:val="bottom"/>
          </w:tcPr>
          <w:p>
            <w:pPr>
              <w:spacing w:after="0"/>
              <w:rPr>
                <w:sz w:val="20"/>
                <w:szCs w:val="20"/>
                <w:color w:val="auto"/>
              </w:rPr>
            </w:pPr>
          </w:p>
        </w:tc>
        <w:tc>
          <w:tcPr>
            <w:tcW w:w="3300" w:type="dxa"/>
            <w:vAlign w:val="bottom"/>
          </w:tcPr>
          <w:p>
            <w:pPr>
              <w:ind w:left="240"/>
              <w:spacing w:after="0"/>
              <w:rPr>
                <w:sz w:val="20"/>
                <w:szCs w:val="20"/>
                <w:color w:val="auto"/>
              </w:rPr>
            </w:pPr>
            <w:r>
              <w:rPr>
                <w:rFonts w:ascii="Arial" w:cs="Arial" w:eastAsia="Arial" w:hAnsi="Arial"/>
                <w:sz w:val="16"/>
                <w:szCs w:val="16"/>
                <w:color w:val="auto"/>
              </w:rPr>
              <w:t>management in software-based</w:t>
            </w:r>
          </w:p>
        </w:tc>
        <w:tc>
          <w:tcPr>
            <w:tcW w:w="0" w:type="dxa"/>
            <w:vAlign w:val="bottom"/>
          </w:tcPr>
          <w:p>
            <w:pPr>
              <w:spacing w:after="0"/>
              <w:rPr>
                <w:sz w:val="1"/>
                <w:szCs w:val="1"/>
                <w:color w:val="auto"/>
              </w:rPr>
            </w:pPr>
          </w:p>
        </w:tc>
      </w:tr>
      <w:tr>
        <w:trPr>
          <w:trHeight w:val="140"/>
        </w:trPr>
        <w:tc>
          <w:tcPr>
            <w:tcW w:w="1580" w:type="dxa"/>
            <w:vAlign w:val="bottom"/>
            <w:vMerge w:val="restart"/>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w:t>
            </w:r>
          </w:p>
        </w:tc>
        <w:tc>
          <w:tcPr>
            <w:tcW w:w="1060" w:type="dxa"/>
            <w:vAlign w:val="bottom"/>
          </w:tcPr>
          <w:p>
            <w:pPr>
              <w:spacing w:after="0"/>
              <w:rPr>
                <w:sz w:val="12"/>
                <w:szCs w:val="12"/>
                <w:color w:val="auto"/>
              </w:rPr>
            </w:pPr>
          </w:p>
        </w:tc>
        <w:tc>
          <w:tcPr>
            <w:tcW w:w="3300" w:type="dxa"/>
            <w:vAlign w:val="bottom"/>
          </w:tcPr>
          <w:p>
            <w:pPr>
              <w:ind w:left="240"/>
              <w:spacing w:after="0" w:line="140" w:lineRule="exact"/>
              <w:rPr>
                <w:sz w:val="20"/>
                <w:szCs w:val="20"/>
                <w:color w:val="auto"/>
              </w:rPr>
            </w:pPr>
            <w:r>
              <w:rPr>
                <w:rFonts w:ascii="Arial" w:cs="Arial" w:eastAsia="Arial" w:hAnsi="Arial"/>
                <w:sz w:val="16"/>
                <w:szCs w:val="16"/>
                <w:color w:val="auto"/>
              </w:rPr>
              <w:t>companies</w:t>
            </w:r>
          </w:p>
        </w:tc>
        <w:tc>
          <w:tcPr>
            <w:tcW w:w="0" w:type="dxa"/>
            <w:vAlign w:val="bottom"/>
          </w:tcPr>
          <w:p>
            <w:pPr>
              <w:spacing w:after="0"/>
              <w:rPr>
                <w:sz w:val="1"/>
                <w:szCs w:val="1"/>
                <w:color w:val="auto"/>
              </w:rPr>
            </w:pPr>
          </w:p>
        </w:tc>
      </w:tr>
      <w:tr>
        <w:trPr>
          <w:trHeight w:val="177"/>
        </w:trPr>
        <w:tc>
          <w:tcPr>
            <w:tcW w:w="15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300" w:type="dxa"/>
            <w:vAlign w:val="bottom"/>
            <w:vMerge w:val="restart"/>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Domain experience in the travel industry</w:t>
            </w:r>
          </w:p>
        </w:tc>
        <w:tc>
          <w:tcPr>
            <w:tcW w:w="0" w:type="dxa"/>
            <w:vAlign w:val="bottom"/>
          </w:tcPr>
          <w:p>
            <w:pPr>
              <w:spacing w:after="0"/>
              <w:rPr>
                <w:sz w:val="1"/>
                <w:szCs w:val="1"/>
                <w:color w:val="auto"/>
              </w:rPr>
            </w:pPr>
          </w:p>
        </w:tc>
      </w:tr>
      <w:tr>
        <w:trPr>
          <w:trHeight w:val="95"/>
        </w:trPr>
        <w:tc>
          <w:tcPr>
            <w:tcW w:w="1580" w:type="dxa"/>
            <w:vAlign w:val="bottom"/>
            <w:vMerge w:val="restart"/>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3300" w:type="dxa"/>
            <w:vAlign w:val="bottom"/>
            <w:vMerge w:val="restart"/>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experience at a travel</w:t>
            </w:r>
          </w:p>
        </w:tc>
        <w:tc>
          <w:tcPr>
            <w:tcW w:w="0" w:type="dxa"/>
            <w:vAlign w:val="bottom"/>
          </w:tcPr>
          <w:p>
            <w:pPr>
              <w:spacing w:after="0"/>
              <w:rPr>
                <w:sz w:val="1"/>
                <w:szCs w:val="1"/>
                <w:color w:val="auto"/>
              </w:rPr>
            </w:pPr>
          </w:p>
        </w:tc>
      </w:tr>
      <w:tr>
        <w:trPr>
          <w:trHeight w:val="154"/>
        </w:trPr>
        <w:tc>
          <w:tcPr>
            <w:tcW w:w="1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distribution company</w:t>
            </w: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Deep experience managing in complex</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mainframe and cloud environments</w:t>
            </w:r>
          </w:p>
        </w:tc>
        <w:tc>
          <w:tcPr>
            <w:tcW w:w="0" w:type="dxa"/>
            <w:vAlign w:val="bottom"/>
          </w:tcPr>
          <w:p>
            <w:pPr>
              <w:spacing w:after="0"/>
              <w:rPr>
                <w:sz w:val="1"/>
                <w:szCs w:val="1"/>
                <w:color w:val="auto"/>
              </w:rPr>
            </w:pPr>
          </w:p>
        </w:tc>
      </w:tr>
      <w:tr>
        <w:trPr>
          <w:trHeight w:val="30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International experience</w:t>
            </w:r>
          </w:p>
        </w:tc>
        <w:tc>
          <w:tcPr>
            <w:tcW w:w="0" w:type="dxa"/>
            <w:vAlign w:val="bottom"/>
          </w:tcPr>
          <w:p>
            <w:pPr>
              <w:spacing w:after="0"/>
              <w:rPr>
                <w:sz w:val="1"/>
                <w:szCs w:val="1"/>
                <w:color w:val="auto"/>
              </w:rPr>
            </w:pPr>
          </w:p>
        </w:tc>
      </w:tr>
      <w:tr>
        <w:trPr>
          <w:trHeight w:val="354"/>
        </w:trPr>
        <w:tc>
          <w:tcPr>
            <w:tcW w:w="158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060" w:type="dxa"/>
            <w:vAlign w:val="bottom"/>
            <w:shd w:val="clear" w:color="auto" w:fill="E5E5E5"/>
          </w:tcPr>
          <w:p>
            <w:pPr>
              <w:spacing w:after="0"/>
              <w:rPr>
                <w:sz w:val="24"/>
                <w:szCs w:val="24"/>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Deep experience in travel industry,</w:t>
            </w:r>
          </w:p>
        </w:tc>
        <w:tc>
          <w:tcPr>
            <w:tcW w:w="0" w:type="dxa"/>
            <w:vAlign w:val="bottom"/>
          </w:tcPr>
          <w:p>
            <w:pPr>
              <w:spacing w:after="0"/>
              <w:rPr>
                <w:sz w:val="1"/>
                <w:szCs w:val="1"/>
                <w:color w:val="auto"/>
              </w:rPr>
            </w:pPr>
          </w:p>
        </w:tc>
      </w:tr>
      <w:tr>
        <w:trPr>
          <w:trHeight w:val="185"/>
        </w:trPr>
        <w:tc>
          <w:tcPr>
            <w:tcW w:w="15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including at a travel distribution company</w:t>
            </w:r>
          </w:p>
        </w:tc>
        <w:tc>
          <w:tcPr>
            <w:tcW w:w="0" w:type="dxa"/>
            <w:vAlign w:val="bottom"/>
          </w:tcPr>
          <w:p>
            <w:pPr>
              <w:spacing w:after="0"/>
              <w:rPr>
                <w:sz w:val="1"/>
                <w:szCs w:val="1"/>
                <w:color w:val="auto"/>
              </w:rPr>
            </w:pPr>
          </w:p>
        </w:tc>
      </w:tr>
      <w:tr>
        <w:trPr>
          <w:trHeight w:val="182"/>
        </w:trPr>
        <w:tc>
          <w:tcPr>
            <w:tcW w:w="15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3300" w:type="dxa"/>
            <w:vAlign w:val="bottom"/>
            <w:shd w:val="clear" w:color="auto" w:fill="E5E5E5"/>
          </w:tcPr>
          <w:p>
            <w:pPr>
              <w:ind w:left="240"/>
              <w:spacing w:after="0" w:line="181" w:lineRule="exact"/>
              <w:rPr>
                <w:sz w:val="20"/>
                <w:szCs w:val="20"/>
                <w:color w:val="auto"/>
              </w:rPr>
            </w:pPr>
            <w:r>
              <w:rPr>
                <w:rFonts w:ascii="Arial" w:cs="Arial" w:eastAsia="Arial" w:hAnsi="Arial"/>
                <w:sz w:val="16"/>
                <w:szCs w:val="16"/>
                <w:color w:val="auto"/>
              </w:rPr>
              <w:t>and travel management companies</w:t>
            </w:r>
          </w:p>
        </w:tc>
        <w:tc>
          <w:tcPr>
            <w:tcW w:w="0" w:type="dxa"/>
            <w:vAlign w:val="bottom"/>
          </w:tcPr>
          <w:p>
            <w:pPr>
              <w:spacing w:after="0"/>
              <w:rPr>
                <w:sz w:val="1"/>
                <w:szCs w:val="1"/>
                <w:color w:val="auto"/>
              </w:rPr>
            </w:pPr>
          </w:p>
        </w:tc>
      </w:tr>
      <w:tr>
        <w:trPr>
          <w:trHeight w:val="276"/>
        </w:trPr>
        <w:tc>
          <w:tcPr>
            <w:tcW w:w="1580" w:type="dxa"/>
            <w:vAlign w:val="bottom"/>
            <w:shd w:val="clear" w:color="auto" w:fill="E5E5E5"/>
          </w:tcPr>
          <w:p>
            <w:pPr>
              <w:spacing w:after="0"/>
              <w:rPr>
                <w:sz w:val="23"/>
                <w:szCs w:val="23"/>
                <w:color w:val="auto"/>
              </w:rPr>
            </w:pPr>
          </w:p>
        </w:tc>
        <w:tc>
          <w:tcPr>
            <w:tcW w:w="1060" w:type="dxa"/>
            <w:vAlign w:val="bottom"/>
            <w:shd w:val="clear" w:color="auto" w:fill="E5E5E5"/>
          </w:tcPr>
          <w:p>
            <w:pPr>
              <w:spacing w:after="0"/>
              <w:rPr>
                <w:sz w:val="23"/>
                <w:szCs w:val="23"/>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executive experience,</w:t>
            </w:r>
          </w:p>
        </w:tc>
        <w:tc>
          <w:tcPr>
            <w:tcW w:w="0" w:type="dxa"/>
            <w:vAlign w:val="bottom"/>
          </w:tcPr>
          <w:p>
            <w:pPr>
              <w:spacing w:after="0"/>
              <w:rPr>
                <w:sz w:val="1"/>
                <w:szCs w:val="1"/>
                <w:color w:val="auto"/>
              </w:rPr>
            </w:pPr>
          </w:p>
        </w:tc>
      </w:tr>
      <w:tr>
        <w:trPr>
          <w:trHeight w:val="185"/>
        </w:trPr>
        <w:tc>
          <w:tcPr>
            <w:tcW w:w="15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including serving as President, Chief</w:t>
            </w:r>
          </w:p>
        </w:tc>
        <w:tc>
          <w:tcPr>
            <w:tcW w:w="0" w:type="dxa"/>
            <w:vAlign w:val="bottom"/>
          </w:tcPr>
          <w:p>
            <w:pPr>
              <w:spacing w:after="0"/>
              <w:rPr>
                <w:sz w:val="1"/>
                <w:szCs w:val="1"/>
                <w:color w:val="auto"/>
              </w:rPr>
            </w:pPr>
          </w:p>
        </w:tc>
      </w:tr>
      <w:tr>
        <w:trPr>
          <w:trHeight w:val="185"/>
        </w:trPr>
        <w:tc>
          <w:tcPr>
            <w:tcW w:w="15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Executive Officer, Chief Commercial</w:t>
            </w:r>
          </w:p>
        </w:tc>
        <w:tc>
          <w:tcPr>
            <w:tcW w:w="0" w:type="dxa"/>
            <w:vAlign w:val="bottom"/>
          </w:tcPr>
          <w:p>
            <w:pPr>
              <w:spacing w:after="0"/>
              <w:rPr>
                <w:sz w:val="1"/>
                <w:szCs w:val="1"/>
                <w:color w:val="auto"/>
              </w:rPr>
            </w:pPr>
          </w:p>
        </w:tc>
      </w:tr>
      <w:tr>
        <w:trPr>
          <w:trHeight w:val="185"/>
        </w:trPr>
        <w:tc>
          <w:tcPr>
            <w:tcW w:w="15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Officer, and Chief Operating Officer of</w:t>
            </w:r>
          </w:p>
        </w:tc>
        <w:tc>
          <w:tcPr>
            <w:tcW w:w="0" w:type="dxa"/>
            <w:vAlign w:val="bottom"/>
          </w:tcPr>
          <w:p>
            <w:pPr>
              <w:spacing w:after="0"/>
              <w:rPr>
                <w:sz w:val="1"/>
                <w:szCs w:val="1"/>
                <w:color w:val="auto"/>
              </w:rPr>
            </w:pPr>
          </w:p>
        </w:tc>
      </w:tr>
      <w:tr>
        <w:trPr>
          <w:trHeight w:val="182"/>
        </w:trPr>
        <w:tc>
          <w:tcPr>
            <w:tcW w:w="15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3300" w:type="dxa"/>
            <w:vAlign w:val="bottom"/>
            <w:shd w:val="clear" w:color="auto" w:fill="E5E5E5"/>
          </w:tcPr>
          <w:p>
            <w:pPr>
              <w:ind w:left="240"/>
              <w:spacing w:after="0" w:line="181" w:lineRule="exact"/>
              <w:rPr>
                <w:sz w:val="20"/>
                <w:szCs w:val="20"/>
                <w:color w:val="auto"/>
              </w:rPr>
            </w:pPr>
            <w:r>
              <w:rPr>
                <w:rFonts w:ascii="Arial" w:cs="Arial" w:eastAsia="Arial" w:hAnsi="Arial"/>
                <w:sz w:val="16"/>
                <w:szCs w:val="16"/>
                <w:color w:val="auto"/>
              </w:rPr>
              <w:t>travel industry companies</w:t>
            </w:r>
          </w:p>
        </w:tc>
        <w:tc>
          <w:tcPr>
            <w:tcW w:w="0" w:type="dxa"/>
            <w:vAlign w:val="bottom"/>
          </w:tcPr>
          <w:p>
            <w:pPr>
              <w:spacing w:after="0"/>
              <w:rPr>
                <w:sz w:val="1"/>
                <w:szCs w:val="1"/>
                <w:color w:val="auto"/>
              </w:rPr>
            </w:pPr>
          </w:p>
        </w:tc>
      </w:tr>
      <w:tr>
        <w:trPr>
          <w:trHeight w:val="276"/>
        </w:trPr>
        <w:tc>
          <w:tcPr>
            <w:tcW w:w="1580" w:type="dxa"/>
            <w:vAlign w:val="bottom"/>
            <w:shd w:val="clear" w:color="auto" w:fill="E5E5E5"/>
          </w:tcPr>
          <w:p>
            <w:pPr>
              <w:spacing w:after="0"/>
              <w:rPr>
                <w:sz w:val="23"/>
                <w:szCs w:val="23"/>
                <w:color w:val="auto"/>
              </w:rPr>
            </w:pPr>
          </w:p>
        </w:tc>
        <w:tc>
          <w:tcPr>
            <w:tcW w:w="1060" w:type="dxa"/>
            <w:vAlign w:val="bottom"/>
            <w:shd w:val="clear" w:color="auto" w:fill="E5E5E5"/>
          </w:tcPr>
          <w:p>
            <w:pPr>
              <w:spacing w:after="0"/>
              <w:rPr>
                <w:sz w:val="23"/>
                <w:szCs w:val="23"/>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Leadership experience through private</w:t>
            </w:r>
          </w:p>
        </w:tc>
        <w:tc>
          <w:tcPr>
            <w:tcW w:w="0" w:type="dxa"/>
            <w:vAlign w:val="bottom"/>
          </w:tcPr>
          <w:p>
            <w:pPr>
              <w:spacing w:after="0"/>
              <w:rPr>
                <w:sz w:val="1"/>
                <w:szCs w:val="1"/>
                <w:color w:val="auto"/>
              </w:rPr>
            </w:pPr>
          </w:p>
        </w:tc>
      </w:tr>
      <w:tr>
        <w:trPr>
          <w:trHeight w:val="185"/>
        </w:trPr>
        <w:tc>
          <w:tcPr>
            <w:tcW w:w="15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company board experience and as an</w:t>
            </w:r>
          </w:p>
        </w:tc>
        <w:tc>
          <w:tcPr>
            <w:tcW w:w="0" w:type="dxa"/>
            <w:vAlign w:val="bottom"/>
          </w:tcPr>
          <w:p>
            <w:pPr>
              <w:spacing w:after="0"/>
              <w:rPr>
                <w:sz w:val="1"/>
                <w:szCs w:val="1"/>
                <w:color w:val="auto"/>
              </w:rPr>
            </w:pPr>
          </w:p>
        </w:tc>
      </w:tr>
      <w:tr>
        <w:trPr>
          <w:trHeight w:val="185"/>
        </w:trPr>
        <w:tc>
          <w:tcPr>
            <w:tcW w:w="15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active duty officer in the United States</w:t>
            </w:r>
          </w:p>
        </w:tc>
        <w:tc>
          <w:tcPr>
            <w:tcW w:w="0" w:type="dxa"/>
            <w:vAlign w:val="bottom"/>
          </w:tcPr>
          <w:p>
            <w:pPr>
              <w:spacing w:after="0"/>
              <w:rPr>
                <w:sz w:val="1"/>
                <w:szCs w:val="1"/>
                <w:color w:val="auto"/>
              </w:rPr>
            </w:pPr>
          </w:p>
        </w:tc>
      </w:tr>
      <w:tr>
        <w:trPr>
          <w:trHeight w:val="215"/>
        </w:trPr>
        <w:tc>
          <w:tcPr>
            <w:tcW w:w="15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Army</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4000" w:space="720"/>
            <w:col w:w="5940"/>
          </w:cols>
          <w:pgMar w:left="320" w:top="453" w:right="919" w:bottom="1440" w:gutter="0" w:footer="0" w:header="0"/>
          <w:type w:val="continuous"/>
        </w:sectPr>
      </w:pPr>
    </w:p>
    <w:p>
      <w:pPr>
        <w:ind w:left="580"/>
        <w:spacing w:after="0"/>
        <w:tabs>
          <w:tab w:leader="none" w:pos="900" w:val="left"/>
          <w:tab w:leader="none" w:pos="3720" w:val="left"/>
        </w:tabs>
        <w:rPr>
          <w:sz w:val="20"/>
          <w:szCs w:val="20"/>
          <w:color w:val="auto"/>
        </w:rPr>
      </w:pPr>
      <w:r>
        <w:rPr>
          <w:rFonts w:ascii="Arial" w:cs="Arial" w:eastAsia="Arial" w:hAnsi="Arial"/>
          <w:sz w:val="18"/>
          <w:szCs w:val="18"/>
          <w:b w:val="1"/>
          <w:bCs w:val="1"/>
          <w:color w:val="666666"/>
        </w:rPr>
        <w:t>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7"/>
          <w:szCs w:val="17"/>
          <w:color w:val="CF0A2C"/>
        </w:rPr>
        <w:t>2023 Proxy Statement</w:t>
      </w:r>
    </w:p>
    <w:p>
      <w:pPr>
        <w:sectPr>
          <w:pgSz w:w="11900" w:h="16838" w:orient="portrait"/>
          <w:cols w:equalWidth="0" w:num="1">
            <w:col w:w="10660"/>
          </w:cols>
          <w:pgMar w:left="320" w:top="453" w:right="9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FFFFFF"/>
        </w:rPr>
        <w:t>Name and Occupation</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Rachel Gonzalez</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Former General Counsel, Executive Vice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President, Law &amp; Corporate Affairs,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Starbucks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Gail Mandel</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Managing Director, Focused Point</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Sean Menke</w:t>
      </w:r>
    </w:p>
    <w:p>
      <w:pPr>
        <w:spacing w:after="0" w:line="17"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Chair of the Board and CEO, Sabre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Phyllis Newhouse</w:t>
      </w:r>
    </w:p>
    <w:p>
      <w:pPr>
        <w:spacing w:after="0" w:line="17" w:lineRule="exact"/>
        <w:rPr>
          <w:sz w:val="20"/>
          <w:szCs w:val="20"/>
          <w:color w:val="auto"/>
        </w:rPr>
      </w:pPr>
    </w:p>
    <w:p>
      <w:pPr>
        <w:jc w:val="right"/>
        <w:ind w:right="140"/>
        <w:spacing w:after="0"/>
        <w:rPr>
          <w:sz w:val="20"/>
          <w:szCs w:val="20"/>
          <w:color w:val="auto"/>
        </w:rPr>
      </w:pPr>
      <w:r>
        <w:rPr>
          <w:rFonts w:ascii="Arial" w:cs="Arial" w:eastAsia="Arial" w:hAnsi="Arial"/>
          <w:sz w:val="16"/>
          <w:szCs w:val="16"/>
          <w:i w:val="1"/>
          <w:iCs w:val="1"/>
          <w:color w:val="auto"/>
        </w:rPr>
        <w:t>Founder and CEO, Xtreme Solutions,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60" w:type="dxa"/>
            <w:vAlign w:val="bottom"/>
            <w:shd w:val="clear" w:color="auto" w:fill="666666"/>
          </w:tcPr>
          <w:p>
            <w:pPr>
              <w:ind w:left="300"/>
              <w:spacing w:after="0"/>
              <w:rPr>
                <w:sz w:val="20"/>
                <w:szCs w:val="20"/>
                <w:color w:val="auto"/>
              </w:rPr>
            </w:pPr>
            <w:r>
              <w:rPr>
                <w:rFonts w:ascii="Arial" w:cs="Arial" w:eastAsia="Arial" w:hAnsi="Arial"/>
                <w:sz w:val="15"/>
                <w:szCs w:val="15"/>
                <w:b w:val="1"/>
                <w:bCs w:val="1"/>
                <w:color w:val="FFFFFF"/>
                <w:w w:val="97"/>
              </w:rPr>
              <w:t>PROXY STATEMENT SUMMARY</w:t>
            </w:r>
          </w:p>
        </w:tc>
        <w:tc>
          <w:tcPr>
            <w:tcW w:w="160" w:type="dxa"/>
            <w:vAlign w:val="bottom"/>
            <w:shd w:val="clear" w:color="auto" w:fill="666666"/>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540" w:type="dxa"/>
            <w:vAlign w:val="bottom"/>
          </w:tcPr>
          <w:p>
            <w:pPr>
              <w:ind w:left="380"/>
              <w:spacing w:after="0"/>
              <w:rPr>
                <w:sz w:val="20"/>
                <w:szCs w:val="20"/>
                <w:color w:val="auto"/>
              </w:rPr>
            </w:pPr>
            <w:r>
              <w:rPr>
                <w:rFonts w:ascii="Arial" w:cs="Arial" w:eastAsia="Arial" w:hAnsi="Arial"/>
                <w:sz w:val="15"/>
                <w:szCs w:val="15"/>
                <w:b w:val="1"/>
                <w:bCs w:val="1"/>
                <w:color w:val="FFFFFF"/>
              </w:rPr>
              <w:t>Committee</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540" w:type="dxa"/>
            <w:vAlign w:val="bottom"/>
          </w:tcPr>
          <w:p>
            <w:pPr>
              <w:ind w:left="560"/>
              <w:spacing w:after="0"/>
              <w:rPr>
                <w:sz w:val="20"/>
                <w:szCs w:val="20"/>
                <w:color w:val="auto"/>
              </w:rPr>
            </w:pPr>
            <w:r>
              <w:rPr>
                <w:rFonts w:ascii="Arial" w:cs="Arial" w:eastAsia="Arial" w:hAnsi="Arial"/>
                <w:sz w:val="15"/>
                <w:szCs w:val="15"/>
                <w:b w:val="1"/>
                <w:bCs w:val="1"/>
                <w:color w:val="FFFFFF"/>
              </w:rPr>
              <w:t>Roles</w:t>
            </w:r>
          </w:p>
        </w:tc>
        <w:tc>
          <w:tcPr>
            <w:tcW w:w="1100" w:type="dxa"/>
            <w:vAlign w:val="bottom"/>
          </w:tcPr>
          <w:p>
            <w:pPr>
              <w:ind w:left="140"/>
              <w:spacing w:after="0"/>
              <w:rPr>
                <w:sz w:val="20"/>
                <w:szCs w:val="20"/>
                <w:color w:val="auto"/>
              </w:rPr>
            </w:pPr>
            <w:r>
              <w:rPr>
                <w:rFonts w:ascii="Arial" w:cs="Arial" w:eastAsia="Arial" w:hAnsi="Arial"/>
                <w:sz w:val="15"/>
                <w:szCs w:val="15"/>
                <w:b w:val="1"/>
                <w:bCs w:val="1"/>
                <w:color w:val="FFFFFF"/>
              </w:rPr>
              <w:t>Independent</w:t>
            </w:r>
          </w:p>
        </w:tc>
        <w:tc>
          <w:tcPr>
            <w:tcW w:w="580" w:type="dxa"/>
            <w:vAlign w:val="bottom"/>
          </w:tcPr>
          <w:p>
            <w:pPr>
              <w:spacing w:after="0"/>
              <w:rPr>
                <w:sz w:val="17"/>
                <w:szCs w:val="17"/>
                <w:color w:val="auto"/>
              </w:rPr>
            </w:pPr>
          </w:p>
        </w:tc>
        <w:tc>
          <w:tcPr>
            <w:tcW w:w="2560" w:type="dxa"/>
            <w:vAlign w:val="bottom"/>
          </w:tcPr>
          <w:p>
            <w:pPr>
              <w:ind w:left="340"/>
              <w:spacing w:after="0"/>
              <w:rPr>
                <w:sz w:val="20"/>
                <w:szCs w:val="20"/>
                <w:color w:val="auto"/>
              </w:rPr>
            </w:pPr>
            <w:r>
              <w:rPr>
                <w:rFonts w:ascii="Arial" w:cs="Arial" w:eastAsia="Arial" w:hAnsi="Arial"/>
                <w:sz w:val="15"/>
                <w:szCs w:val="15"/>
                <w:b w:val="1"/>
                <w:bCs w:val="1"/>
                <w:color w:val="FFFFFF"/>
              </w:rPr>
              <w:t>Experience Highlights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154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w:t>
            </w:r>
          </w:p>
        </w:tc>
        <w:tc>
          <w:tcPr>
            <w:tcW w:w="1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legal and regulatory</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40" w:type="dxa"/>
            <w:vAlign w:val="bottom"/>
          </w:tcPr>
          <w:p>
            <w:pPr>
              <w:ind w:left="280"/>
              <w:spacing w:after="0" w:line="181" w:lineRule="exact"/>
              <w:rPr>
                <w:sz w:val="20"/>
                <w:szCs w:val="20"/>
                <w:color w:val="auto"/>
              </w:rPr>
            </w:pPr>
            <w:r>
              <w:rPr>
                <w:rFonts w:ascii="Arial" w:cs="Arial" w:eastAsia="Arial" w:hAnsi="Arial"/>
                <w:sz w:val="16"/>
                <w:szCs w:val="16"/>
                <w:color w:val="auto"/>
              </w:rPr>
              <w:t>Committee*</w:t>
            </w:r>
          </w:p>
        </w:tc>
        <w:tc>
          <w:tcPr>
            <w:tcW w:w="1100" w:type="dxa"/>
            <w:vAlign w:val="bottom"/>
          </w:tcPr>
          <w:p>
            <w:pPr>
              <w:spacing w:after="0"/>
              <w:rPr>
                <w:sz w:val="15"/>
                <w:szCs w:val="15"/>
                <w:color w:val="auto"/>
              </w:rPr>
            </w:pPr>
          </w:p>
        </w:tc>
        <w:tc>
          <w:tcPr>
            <w:tcW w:w="3140" w:type="dxa"/>
            <w:vAlign w:val="bottom"/>
            <w:gridSpan w:val="2"/>
          </w:tcPr>
          <w:p>
            <w:pPr>
              <w:ind w:left="240"/>
              <w:spacing w:after="0" w:line="181" w:lineRule="exact"/>
              <w:rPr>
                <w:sz w:val="20"/>
                <w:szCs w:val="20"/>
                <w:color w:val="auto"/>
              </w:rPr>
            </w:pPr>
            <w:r>
              <w:rPr>
                <w:rFonts w:ascii="Arial" w:cs="Arial" w:eastAsia="Arial" w:hAnsi="Arial"/>
                <w:sz w:val="16"/>
                <w:szCs w:val="16"/>
                <w:color w:val="auto"/>
              </w:rPr>
              <w:t>background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54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w:t>
            </w:r>
          </w:p>
        </w:tc>
        <w:tc>
          <w:tcPr>
            <w:tcW w:w="1100" w:type="dxa"/>
            <w:vAlign w:val="bottom"/>
          </w:tcPr>
          <w:p>
            <w:pPr>
              <w:spacing w:after="0"/>
              <w:rPr>
                <w:sz w:val="23"/>
                <w:szCs w:val="23"/>
                <w:color w:val="auto"/>
              </w:rPr>
            </w:pP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Experience in supporting and shaping</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540" w:type="dxa"/>
            <w:vAlign w:val="bottom"/>
          </w:tcPr>
          <w:p>
            <w:pPr>
              <w:ind w:left="280"/>
              <w:spacing w:after="0"/>
              <w:rPr>
                <w:sz w:val="20"/>
                <w:szCs w:val="20"/>
                <w:color w:val="auto"/>
              </w:rPr>
            </w:pPr>
            <w:r>
              <w:rPr>
                <w:rFonts w:ascii="Arial" w:cs="Arial" w:eastAsia="Arial" w:hAnsi="Arial"/>
                <w:sz w:val="16"/>
                <w:szCs w:val="16"/>
                <w:color w:val="auto"/>
              </w:rPr>
              <w:t>Nominating</w:t>
            </w:r>
          </w:p>
        </w:tc>
        <w:tc>
          <w:tcPr>
            <w:tcW w:w="1100" w:type="dxa"/>
            <w:vAlign w:val="bottom"/>
          </w:tcPr>
          <w:p>
            <w:pPr>
              <w:spacing w:after="0"/>
              <w:rPr>
                <w:sz w:val="16"/>
                <w:szCs w:val="16"/>
                <w:color w:val="auto"/>
              </w:rPr>
            </w:pPr>
          </w:p>
        </w:tc>
        <w:tc>
          <w:tcPr>
            <w:tcW w:w="3140" w:type="dxa"/>
            <w:vAlign w:val="bottom"/>
            <w:gridSpan w:val="2"/>
          </w:tcPr>
          <w:p>
            <w:pPr>
              <w:ind w:left="240"/>
              <w:spacing w:after="0"/>
              <w:rPr>
                <w:sz w:val="20"/>
                <w:szCs w:val="20"/>
                <w:color w:val="auto"/>
              </w:rPr>
            </w:pPr>
            <w:r>
              <w:rPr>
                <w:rFonts w:ascii="Arial" w:cs="Arial" w:eastAsia="Arial" w:hAnsi="Arial"/>
                <w:sz w:val="16"/>
                <w:szCs w:val="16"/>
                <w:color w:val="auto"/>
              </w:rPr>
              <w:t>companies’ responses to cybersecurity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40" w:type="dxa"/>
            <w:vAlign w:val="bottom"/>
          </w:tcPr>
          <w:p>
            <w:pPr>
              <w:ind w:left="280"/>
              <w:spacing w:after="0" w:line="181" w:lineRule="exact"/>
              <w:rPr>
                <w:sz w:val="20"/>
                <w:szCs w:val="20"/>
                <w:color w:val="auto"/>
              </w:rPr>
            </w:pPr>
            <w:r>
              <w:rPr>
                <w:rFonts w:ascii="Arial" w:cs="Arial" w:eastAsia="Arial" w:hAnsi="Arial"/>
                <w:sz w:val="16"/>
                <w:szCs w:val="16"/>
                <w:color w:val="auto"/>
              </w:rPr>
              <w:t>Committee*</w:t>
            </w:r>
          </w:p>
        </w:tc>
        <w:tc>
          <w:tcPr>
            <w:tcW w:w="1100" w:type="dxa"/>
            <w:vAlign w:val="bottom"/>
          </w:tcPr>
          <w:p>
            <w:pPr>
              <w:spacing w:after="0"/>
              <w:rPr>
                <w:sz w:val="15"/>
                <w:szCs w:val="15"/>
                <w:color w:val="auto"/>
              </w:rPr>
            </w:pPr>
          </w:p>
        </w:tc>
        <w:tc>
          <w:tcPr>
            <w:tcW w:w="3140" w:type="dxa"/>
            <w:vAlign w:val="bottom"/>
            <w:gridSpan w:val="2"/>
          </w:tcPr>
          <w:p>
            <w:pPr>
              <w:ind w:left="240"/>
              <w:spacing w:after="0" w:line="181" w:lineRule="exact"/>
              <w:rPr>
                <w:sz w:val="20"/>
                <w:szCs w:val="20"/>
                <w:color w:val="auto"/>
              </w:rPr>
            </w:pPr>
            <w:r>
              <w:rPr>
                <w:rFonts w:ascii="Arial" w:cs="Arial" w:eastAsia="Arial" w:hAnsi="Arial"/>
                <w:sz w:val="16"/>
                <w:szCs w:val="16"/>
                <w:color w:val="auto"/>
              </w:rPr>
              <w:t>matters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leadership experience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Public company director experience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travel industry experience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54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tc>
        <w:tc>
          <w:tcPr>
            <w:tcW w:w="1100" w:type="dxa"/>
            <w:vAlign w:val="bottom"/>
            <w:shd w:val="clear" w:color="auto" w:fill="E5E5E5"/>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gridSpan w:val="3"/>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leadership experience, as well</w:t>
            </w:r>
          </w:p>
        </w:tc>
        <w:tc>
          <w:tcPr>
            <w:tcW w:w="0" w:type="dxa"/>
            <w:vAlign w:val="bottom"/>
          </w:tcPr>
          <w:p>
            <w:pPr>
              <w:spacing w:after="0"/>
              <w:rPr>
                <w:sz w:val="1"/>
                <w:szCs w:val="1"/>
                <w:color w:val="auto"/>
              </w:rPr>
            </w:pPr>
          </w:p>
        </w:tc>
      </w:tr>
      <w:tr>
        <w:trPr>
          <w:trHeight w:val="231"/>
        </w:trPr>
        <w:tc>
          <w:tcPr>
            <w:tcW w:w="1540" w:type="dxa"/>
            <w:vAlign w:val="bottom"/>
            <w:shd w:val="clear" w:color="auto" w:fill="E5E5E5"/>
          </w:tcPr>
          <w:p>
            <w:pPr>
              <w:ind w:left="12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100" w:type="dxa"/>
            <w:vAlign w:val="bottom"/>
            <w:shd w:val="clear" w:color="auto" w:fill="E5E5E5"/>
          </w:tcPr>
          <w:p>
            <w:pPr>
              <w:spacing w:after="0"/>
              <w:rPr>
                <w:sz w:val="20"/>
                <w:szCs w:val="20"/>
                <w:color w:val="auto"/>
              </w:rPr>
            </w:pPr>
          </w:p>
        </w:tc>
        <w:tc>
          <w:tcPr>
            <w:tcW w:w="3300" w:type="dxa"/>
            <w:vAlign w:val="bottom"/>
            <w:gridSpan w:val="3"/>
            <w:shd w:val="clear" w:color="auto" w:fill="E5E5E5"/>
          </w:tcPr>
          <w:p>
            <w:pPr>
              <w:ind w:left="240"/>
              <w:spacing w:after="0"/>
              <w:rPr>
                <w:sz w:val="20"/>
                <w:szCs w:val="20"/>
                <w:color w:val="auto"/>
              </w:rPr>
            </w:pPr>
            <w:r>
              <w:rPr>
                <w:rFonts w:ascii="Arial" w:cs="Arial" w:eastAsia="Arial" w:hAnsi="Arial"/>
                <w:sz w:val="16"/>
                <w:szCs w:val="16"/>
                <w:color w:val="auto"/>
              </w:rPr>
              <w:t>as mergers and acquisition and financing</w:t>
            </w:r>
          </w:p>
        </w:tc>
        <w:tc>
          <w:tcPr>
            <w:tcW w:w="0" w:type="dxa"/>
            <w:vAlign w:val="bottom"/>
          </w:tcPr>
          <w:p>
            <w:pPr>
              <w:spacing w:after="0"/>
              <w:rPr>
                <w:sz w:val="1"/>
                <w:szCs w:val="1"/>
                <w:color w:val="auto"/>
              </w:rPr>
            </w:pPr>
          </w:p>
        </w:tc>
      </w:tr>
      <w:tr>
        <w:trPr>
          <w:trHeight w:val="144"/>
        </w:trPr>
        <w:tc>
          <w:tcPr>
            <w:tcW w:w="154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100" w:type="dxa"/>
            <w:vAlign w:val="bottom"/>
            <w:shd w:val="clear" w:color="auto" w:fill="E5E5E5"/>
          </w:tcPr>
          <w:p>
            <w:pPr>
              <w:spacing w:after="0"/>
              <w:rPr>
                <w:sz w:val="12"/>
                <w:szCs w:val="12"/>
                <w:color w:val="auto"/>
              </w:rPr>
            </w:pPr>
          </w:p>
        </w:tc>
        <w:tc>
          <w:tcPr>
            <w:tcW w:w="3140" w:type="dxa"/>
            <w:vAlign w:val="bottom"/>
            <w:gridSpan w:val="2"/>
            <w:shd w:val="clear" w:color="auto" w:fill="E5E5E5"/>
          </w:tcPr>
          <w:p>
            <w:pPr>
              <w:ind w:left="240"/>
              <w:spacing w:after="0" w:line="144" w:lineRule="exact"/>
              <w:rPr>
                <w:sz w:val="20"/>
                <w:szCs w:val="20"/>
                <w:color w:val="auto"/>
              </w:rPr>
            </w:pPr>
            <w:r>
              <w:rPr>
                <w:rFonts w:ascii="Arial" w:cs="Arial" w:eastAsia="Arial" w:hAnsi="Arial"/>
                <w:sz w:val="16"/>
                <w:szCs w:val="16"/>
                <w:color w:val="auto"/>
              </w:rPr>
              <w:t>experience, in the hospitality and travel</w:t>
            </w:r>
          </w:p>
        </w:tc>
        <w:tc>
          <w:tcPr>
            <w:tcW w:w="1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540" w:type="dxa"/>
            <w:vAlign w:val="bottom"/>
            <w:vMerge w:val="continue"/>
            <w:shd w:val="clear" w:color="auto" w:fill="E5E5E5"/>
          </w:tcPr>
          <w:p>
            <w:pPr>
              <w:spacing w:after="0"/>
              <w:rPr>
                <w:sz w:val="10"/>
                <w:szCs w:val="10"/>
                <w:color w:val="auto"/>
              </w:rPr>
            </w:pPr>
          </w:p>
        </w:tc>
        <w:tc>
          <w:tcPr>
            <w:tcW w:w="1100" w:type="dxa"/>
            <w:vAlign w:val="bottom"/>
            <w:shd w:val="clear" w:color="auto" w:fill="E5E5E5"/>
          </w:tcPr>
          <w:p>
            <w:pPr>
              <w:spacing w:after="0"/>
              <w:rPr>
                <w:sz w:val="10"/>
                <w:szCs w:val="10"/>
                <w:color w:val="auto"/>
              </w:rPr>
            </w:pPr>
          </w:p>
        </w:tc>
        <w:tc>
          <w:tcPr>
            <w:tcW w:w="3140" w:type="dxa"/>
            <w:vAlign w:val="bottom"/>
            <w:gridSpan w:val="2"/>
            <w:vMerge w:val="restart"/>
            <w:shd w:val="clear" w:color="auto" w:fill="E5E5E5"/>
          </w:tcPr>
          <w:p>
            <w:pPr>
              <w:ind w:left="240"/>
              <w:spacing w:after="0" w:line="181" w:lineRule="exact"/>
              <w:rPr>
                <w:sz w:val="20"/>
                <w:szCs w:val="20"/>
                <w:color w:val="auto"/>
              </w:rPr>
            </w:pPr>
            <w:r>
              <w:rPr>
                <w:rFonts w:ascii="Arial" w:cs="Arial" w:eastAsia="Arial" w:hAnsi="Arial"/>
                <w:sz w:val="16"/>
                <w:szCs w:val="16"/>
                <w:color w:val="auto"/>
              </w:rPr>
              <w:t>industry</w:t>
            </w:r>
          </w:p>
        </w:tc>
        <w:tc>
          <w:tcPr>
            <w:tcW w:w="16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540" w:type="dxa"/>
            <w:vAlign w:val="bottom"/>
            <w:shd w:val="clear" w:color="auto" w:fill="E5E5E5"/>
          </w:tcPr>
          <w:p>
            <w:pPr>
              <w:spacing w:after="0"/>
              <w:rPr>
                <w:sz w:val="5"/>
                <w:szCs w:val="5"/>
                <w:color w:val="auto"/>
              </w:rPr>
            </w:pPr>
          </w:p>
        </w:tc>
        <w:tc>
          <w:tcPr>
            <w:tcW w:w="1100" w:type="dxa"/>
            <w:vAlign w:val="bottom"/>
            <w:shd w:val="clear" w:color="auto" w:fill="E5E5E5"/>
          </w:tcPr>
          <w:p>
            <w:pPr>
              <w:spacing w:after="0"/>
              <w:rPr>
                <w:sz w:val="5"/>
                <w:szCs w:val="5"/>
                <w:color w:val="auto"/>
              </w:rPr>
            </w:pPr>
          </w:p>
        </w:tc>
        <w:tc>
          <w:tcPr>
            <w:tcW w:w="3140" w:type="dxa"/>
            <w:vAlign w:val="bottom"/>
            <w:gridSpan w:val="2"/>
            <w:vMerge w:val="continue"/>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3140" w:type="dxa"/>
            <w:vAlign w:val="bottom"/>
            <w:gridSpan w:val="2"/>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experience in finance and</w:t>
            </w:r>
          </w:p>
        </w:tc>
        <w:tc>
          <w:tcPr>
            <w:tcW w:w="16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5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3140" w:type="dxa"/>
            <w:vAlign w:val="bottom"/>
            <w:gridSpan w:val="2"/>
            <w:shd w:val="clear" w:color="auto" w:fill="E5E5E5"/>
          </w:tcPr>
          <w:p>
            <w:pPr>
              <w:ind w:left="240"/>
              <w:spacing w:after="0" w:line="181" w:lineRule="exact"/>
              <w:rPr>
                <w:sz w:val="20"/>
                <w:szCs w:val="20"/>
                <w:color w:val="auto"/>
              </w:rPr>
            </w:pPr>
            <w:r>
              <w:rPr>
                <w:rFonts w:ascii="Arial" w:cs="Arial" w:eastAsia="Arial" w:hAnsi="Arial"/>
                <w:sz w:val="16"/>
                <w:szCs w:val="16"/>
                <w:color w:val="auto"/>
              </w:rPr>
              <w:t>technology implementation</w:t>
            </w:r>
          </w:p>
        </w:tc>
        <w:tc>
          <w:tcPr>
            <w:tcW w:w="1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540" w:type="dxa"/>
            <w:vAlign w:val="bottom"/>
            <w:shd w:val="clear" w:color="auto" w:fill="E5E5E5"/>
          </w:tcPr>
          <w:p>
            <w:pPr>
              <w:spacing w:after="0"/>
              <w:rPr>
                <w:sz w:val="24"/>
                <w:szCs w:val="24"/>
                <w:color w:val="auto"/>
              </w:rPr>
            </w:pPr>
          </w:p>
        </w:tc>
        <w:tc>
          <w:tcPr>
            <w:tcW w:w="1100" w:type="dxa"/>
            <w:vAlign w:val="bottom"/>
            <w:shd w:val="clear" w:color="auto" w:fill="E5E5E5"/>
          </w:tcPr>
          <w:p>
            <w:pPr>
              <w:spacing w:after="0"/>
              <w:rPr>
                <w:sz w:val="24"/>
                <w:szCs w:val="24"/>
                <w:color w:val="auto"/>
              </w:rPr>
            </w:pPr>
          </w:p>
        </w:tc>
        <w:tc>
          <w:tcPr>
            <w:tcW w:w="3140" w:type="dxa"/>
            <w:vAlign w:val="bottom"/>
            <w:gridSpan w:val="2"/>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 financial expert</w:t>
            </w:r>
          </w:p>
        </w:tc>
        <w:tc>
          <w:tcPr>
            <w:tcW w:w="1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54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w:t>
            </w:r>
          </w:p>
        </w:tc>
        <w:tc>
          <w:tcPr>
            <w:tcW w:w="1100" w:type="dxa"/>
            <w:vAlign w:val="bottom"/>
          </w:tcPr>
          <w:p>
            <w:pPr>
              <w:spacing w:after="0"/>
              <w:rPr>
                <w:sz w:val="24"/>
                <w:szCs w:val="24"/>
                <w:color w:val="auto"/>
              </w:rPr>
            </w:pP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executive leadership in the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40" w:type="dxa"/>
            <w:vAlign w:val="bottom"/>
          </w:tcPr>
          <w:p>
            <w:pPr>
              <w:ind w:left="280"/>
              <w:spacing w:after="0" w:line="181" w:lineRule="exact"/>
              <w:rPr>
                <w:sz w:val="20"/>
                <w:szCs w:val="20"/>
                <w:color w:val="auto"/>
              </w:rPr>
            </w:pPr>
            <w:r>
              <w:rPr>
                <w:rFonts w:ascii="Arial" w:cs="Arial" w:eastAsia="Arial" w:hAnsi="Arial"/>
                <w:sz w:val="16"/>
                <w:szCs w:val="16"/>
                <w:color w:val="auto"/>
              </w:rPr>
              <w:t>Committee</w:t>
            </w:r>
          </w:p>
        </w:tc>
        <w:tc>
          <w:tcPr>
            <w:tcW w:w="1100" w:type="dxa"/>
            <w:vAlign w:val="bottom"/>
          </w:tcPr>
          <w:p>
            <w:pPr>
              <w:spacing w:after="0"/>
              <w:rPr>
                <w:sz w:val="15"/>
                <w:szCs w:val="15"/>
                <w:color w:val="auto"/>
              </w:rPr>
            </w:pPr>
          </w:p>
        </w:tc>
        <w:tc>
          <w:tcPr>
            <w:tcW w:w="3140" w:type="dxa"/>
            <w:vAlign w:val="bottom"/>
            <w:gridSpan w:val="2"/>
          </w:tcPr>
          <w:p>
            <w:pPr>
              <w:ind w:left="240"/>
              <w:spacing w:after="0" w:line="181" w:lineRule="exact"/>
              <w:rPr>
                <w:sz w:val="20"/>
                <w:szCs w:val="20"/>
                <w:color w:val="auto"/>
              </w:rPr>
            </w:pPr>
            <w:r>
              <w:rPr>
                <w:rFonts w:ascii="Arial" w:cs="Arial" w:eastAsia="Arial" w:hAnsi="Arial"/>
                <w:sz w:val="16"/>
                <w:szCs w:val="16"/>
                <w:color w:val="auto"/>
              </w:rPr>
              <w:t>airline industry</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540" w:type="dxa"/>
            <w:vAlign w:val="bottom"/>
          </w:tcPr>
          <w:p>
            <w:pPr>
              <w:ind w:left="280"/>
              <w:spacing w:after="0"/>
              <w:rPr>
                <w:sz w:val="20"/>
                <w:szCs w:val="20"/>
                <w:color w:val="auto"/>
              </w:rPr>
            </w:pPr>
            <w:r>
              <w:rPr>
                <w:rFonts w:ascii="Arial" w:cs="Arial" w:eastAsia="Arial" w:hAnsi="Arial"/>
                <w:sz w:val="16"/>
                <w:szCs w:val="16"/>
                <w:color w:val="auto"/>
              </w:rPr>
              <w:t>(chair)</w:t>
            </w:r>
          </w:p>
        </w:tc>
        <w:tc>
          <w:tcPr>
            <w:tcW w:w="1100" w:type="dxa"/>
            <w:vAlign w:val="bottom"/>
          </w:tcPr>
          <w:p>
            <w:pPr>
              <w:spacing w:after="0"/>
              <w:rPr>
                <w:sz w:val="20"/>
                <w:szCs w:val="20"/>
                <w:color w:val="auto"/>
              </w:rPr>
            </w:pPr>
          </w:p>
        </w:tc>
        <w:tc>
          <w:tcPr>
            <w:tcW w:w="3140" w:type="dxa"/>
            <w:vAlign w:val="bottom"/>
            <w:gridSpan w:val="2"/>
          </w:tcPr>
          <w:p>
            <w:pPr>
              <w:ind w:left="8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travel technology sector</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540" w:type="dxa"/>
            <w:vAlign w:val="bottom"/>
          </w:tcPr>
          <w:p>
            <w:pPr>
              <w:ind w:left="120"/>
              <w:spacing w:after="0" w:line="226"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100" w:type="dxa"/>
            <w:vAlign w:val="bottom"/>
          </w:tcPr>
          <w:p>
            <w:pPr>
              <w:spacing w:after="0"/>
              <w:rPr>
                <w:sz w:val="19"/>
                <w:szCs w:val="19"/>
                <w:color w:val="auto"/>
              </w:rPr>
            </w:pPr>
          </w:p>
        </w:tc>
        <w:tc>
          <w:tcPr>
            <w:tcW w:w="3140" w:type="dxa"/>
            <w:vAlign w:val="bottom"/>
            <w:gridSpan w:val="2"/>
          </w:tcPr>
          <w:p>
            <w:pPr>
              <w:ind w:left="240"/>
              <w:spacing w:after="0"/>
              <w:rPr>
                <w:sz w:val="20"/>
                <w:szCs w:val="20"/>
                <w:color w:val="auto"/>
              </w:rPr>
            </w:pPr>
            <w:r>
              <w:rPr>
                <w:rFonts w:ascii="Arial" w:cs="Arial" w:eastAsia="Arial" w:hAnsi="Arial"/>
                <w:sz w:val="16"/>
                <w:szCs w:val="16"/>
                <w:color w:val="auto"/>
              </w:rPr>
              <w:t>experience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540" w:type="dxa"/>
            <w:vAlign w:val="bottom"/>
          </w:tcPr>
          <w:p>
            <w:pPr>
              <w:ind w:left="280"/>
              <w:spacing w:after="0"/>
              <w:rPr>
                <w:sz w:val="20"/>
                <w:szCs w:val="20"/>
                <w:color w:val="auto"/>
              </w:rPr>
            </w:pPr>
            <w:r>
              <w:rPr>
                <w:rFonts w:ascii="Arial" w:cs="Arial" w:eastAsia="Arial" w:hAnsi="Arial"/>
                <w:sz w:val="16"/>
                <w:szCs w:val="16"/>
                <w:color w:val="auto"/>
              </w:rPr>
              <w:t>Committee</w:t>
            </w:r>
          </w:p>
        </w:tc>
        <w:tc>
          <w:tcPr>
            <w:tcW w:w="1100" w:type="dxa"/>
            <w:vAlign w:val="bottom"/>
          </w:tcPr>
          <w:p>
            <w:pPr>
              <w:spacing w:after="0"/>
              <w:rPr>
                <w:sz w:val="23"/>
                <w:szCs w:val="23"/>
                <w:color w:val="auto"/>
              </w:rPr>
            </w:pPr>
          </w:p>
        </w:tc>
        <w:tc>
          <w:tcPr>
            <w:tcW w:w="3140" w:type="dxa"/>
            <w:vAlign w:val="bottom"/>
            <w:gridSpan w:val="2"/>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Public company director experience,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300" w:type="dxa"/>
            <w:vAlign w:val="bottom"/>
            <w:gridSpan w:val="3"/>
          </w:tcPr>
          <w:p>
            <w:pPr>
              <w:ind w:left="240"/>
              <w:spacing w:after="0"/>
              <w:rPr>
                <w:sz w:val="20"/>
                <w:szCs w:val="20"/>
                <w:color w:val="auto"/>
              </w:rPr>
            </w:pPr>
            <w:r>
              <w:rPr>
                <w:rFonts w:ascii="Arial" w:cs="Arial" w:eastAsia="Arial" w:hAnsi="Arial"/>
                <w:sz w:val="16"/>
                <w:szCs w:val="16"/>
                <w:color w:val="auto"/>
              </w:rPr>
              <w:t>providing oversight experience related to</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40" w:type="dxa"/>
            <w:vAlign w:val="bottom"/>
            <w:gridSpan w:val="2"/>
          </w:tcPr>
          <w:p>
            <w:pPr>
              <w:ind w:left="240"/>
              <w:spacing w:after="0"/>
              <w:rPr>
                <w:sz w:val="20"/>
                <w:szCs w:val="20"/>
                <w:color w:val="auto"/>
              </w:rPr>
            </w:pPr>
            <w:r>
              <w:rPr>
                <w:rFonts w:ascii="Arial" w:cs="Arial" w:eastAsia="Arial" w:hAnsi="Arial"/>
                <w:sz w:val="16"/>
                <w:szCs w:val="16"/>
                <w:color w:val="auto"/>
              </w:rPr>
              <w:t>environmental, social and governance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40" w:type="dxa"/>
            <w:vAlign w:val="bottom"/>
            <w:gridSpan w:val="2"/>
          </w:tcPr>
          <w:p>
            <w:pPr>
              <w:ind w:left="240"/>
              <w:spacing w:after="0"/>
              <w:rPr>
                <w:sz w:val="20"/>
                <w:szCs w:val="20"/>
                <w:color w:val="auto"/>
              </w:rPr>
            </w:pPr>
            <w:r>
              <w:rPr>
                <w:rFonts w:ascii="Arial" w:cs="Arial" w:eastAsia="Arial" w:hAnsi="Arial"/>
                <w:sz w:val="16"/>
                <w:szCs w:val="16"/>
                <w:color w:val="auto"/>
              </w:rPr>
              <w:t>(“ESG”) matters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154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tc>
        <w:tc>
          <w:tcPr>
            <w:tcW w:w="1100" w:type="dxa"/>
            <w:vAlign w:val="bottom"/>
            <w:shd w:val="clear" w:color="auto" w:fill="E5E5E5"/>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140" w:type="dxa"/>
            <w:vAlign w:val="bottom"/>
            <w:gridSpan w:val="2"/>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Deep experience in cybersecurity and</w:t>
            </w:r>
          </w:p>
        </w:tc>
        <w:tc>
          <w:tcPr>
            <w:tcW w:w="1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540" w:type="dxa"/>
            <w:vAlign w:val="bottom"/>
            <w:shd w:val="clear" w:color="auto" w:fill="E5E5E5"/>
          </w:tcPr>
          <w:p>
            <w:pPr>
              <w:ind w:left="12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100" w:type="dxa"/>
            <w:vAlign w:val="bottom"/>
            <w:shd w:val="clear" w:color="auto" w:fill="E5E5E5"/>
          </w:tcPr>
          <w:p>
            <w:pPr>
              <w:spacing w:after="0"/>
              <w:rPr>
                <w:sz w:val="20"/>
                <w:szCs w:val="20"/>
                <w:color w:val="auto"/>
              </w:rPr>
            </w:pPr>
          </w:p>
        </w:tc>
        <w:tc>
          <w:tcPr>
            <w:tcW w:w="3300" w:type="dxa"/>
            <w:vAlign w:val="bottom"/>
            <w:gridSpan w:val="3"/>
            <w:shd w:val="clear" w:color="auto" w:fill="E5E5E5"/>
          </w:tcPr>
          <w:p>
            <w:pPr>
              <w:ind w:left="240"/>
              <w:spacing w:after="0"/>
              <w:rPr>
                <w:sz w:val="20"/>
                <w:szCs w:val="20"/>
                <w:color w:val="auto"/>
              </w:rPr>
            </w:pPr>
            <w:r>
              <w:rPr>
                <w:rFonts w:ascii="Arial" w:cs="Arial" w:eastAsia="Arial" w:hAnsi="Arial"/>
                <w:sz w:val="16"/>
                <w:szCs w:val="16"/>
                <w:color w:val="auto"/>
              </w:rPr>
              <w:t>information technology fields as the CEO</w:t>
            </w:r>
          </w:p>
        </w:tc>
        <w:tc>
          <w:tcPr>
            <w:tcW w:w="0" w:type="dxa"/>
            <w:vAlign w:val="bottom"/>
          </w:tcPr>
          <w:p>
            <w:pPr>
              <w:spacing w:after="0"/>
              <w:rPr>
                <w:sz w:val="1"/>
                <w:szCs w:val="1"/>
                <w:color w:val="auto"/>
              </w:rPr>
            </w:pPr>
          </w:p>
        </w:tc>
      </w:tr>
      <w:tr>
        <w:trPr>
          <w:trHeight w:val="144"/>
        </w:trPr>
        <w:tc>
          <w:tcPr>
            <w:tcW w:w="154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100" w:type="dxa"/>
            <w:vAlign w:val="bottom"/>
            <w:shd w:val="clear" w:color="auto" w:fill="E5E5E5"/>
          </w:tcPr>
          <w:p>
            <w:pPr>
              <w:spacing w:after="0"/>
              <w:rPr>
                <w:sz w:val="12"/>
                <w:szCs w:val="12"/>
                <w:color w:val="auto"/>
              </w:rPr>
            </w:pPr>
          </w:p>
        </w:tc>
        <w:tc>
          <w:tcPr>
            <w:tcW w:w="3140" w:type="dxa"/>
            <w:vAlign w:val="bottom"/>
            <w:gridSpan w:val="2"/>
            <w:shd w:val="clear" w:color="auto" w:fill="E5E5E5"/>
          </w:tcPr>
          <w:p>
            <w:pPr>
              <w:ind w:left="240"/>
              <w:spacing w:after="0" w:line="144" w:lineRule="exact"/>
              <w:rPr>
                <w:sz w:val="20"/>
                <w:szCs w:val="20"/>
                <w:color w:val="auto"/>
              </w:rPr>
            </w:pPr>
            <w:r>
              <w:rPr>
                <w:rFonts w:ascii="Arial" w:cs="Arial" w:eastAsia="Arial" w:hAnsi="Arial"/>
                <w:sz w:val="16"/>
                <w:szCs w:val="16"/>
                <w:color w:val="auto"/>
              </w:rPr>
              <w:t>of a cybersecurity firm and as a former</w:t>
            </w:r>
          </w:p>
        </w:tc>
        <w:tc>
          <w:tcPr>
            <w:tcW w:w="1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540" w:type="dxa"/>
            <w:vAlign w:val="bottom"/>
            <w:vMerge w:val="continue"/>
            <w:shd w:val="clear" w:color="auto" w:fill="E5E5E5"/>
          </w:tcPr>
          <w:p>
            <w:pPr>
              <w:spacing w:after="0"/>
              <w:rPr>
                <w:sz w:val="10"/>
                <w:szCs w:val="10"/>
                <w:color w:val="auto"/>
              </w:rPr>
            </w:pPr>
          </w:p>
        </w:tc>
        <w:tc>
          <w:tcPr>
            <w:tcW w:w="1100" w:type="dxa"/>
            <w:vAlign w:val="bottom"/>
            <w:shd w:val="clear" w:color="auto" w:fill="E5E5E5"/>
          </w:tcPr>
          <w:p>
            <w:pPr>
              <w:spacing w:after="0"/>
              <w:rPr>
                <w:sz w:val="10"/>
                <w:szCs w:val="10"/>
                <w:color w:val="auto"/>
              </w:rPr>
            </w:pPr>
          </w:p>
        </w:tc>
        <w:tc>
          <w:tcPr>
            <w:tcW w:w="3140" w:type="dxa"/>
            <w:vAlign w:val="bottom"/>
            <w:gridSpan w:val="2"/>
            <w:vMerge w:val="restart"/>
            <w:shd w:val="clear" w:color="auto" w:fill="E5E5E5"/>
          </w:tcPr>
          <w:p>
            <w:pPr>
              <w:ind w:left="240"/>
              <w:spacing w:after="0"/>
              <w:rPr>
                <w:sz w:val="20"/>
                <w:szCs w:val="20"/>
                <w:color w:val="auto"/>
              </w:rPr>
            </w:pPr>
            <w:r>
              <w:rPr>
                <w:rFonts w:ascii="Arial" w:cs="Arial" w:eastAsia="Arial" w:hAnsi="Arial"/>
                <w:sz w:val="16"/>
                <w:szCs w:val="16"/>
                <w:color w:val="auto"/>
              </w:rPr>
              <w:t>United States Army noncommissioned</w:t>
            </w:r>
          </w:p>
        </w:tc>
        <w:tc>
          <w:tcPr>
            <w:tcW w:w="16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540" w:type="dxa"/>
            <w:vAlign w:val="bottom"/>
            <w:shd w:val="clear" w:color="auto" w:fill="E5E5E5"/>
          </w:tcPr>
          <w:p>
            <w:pPr>
              <w:spacing w:after="0"/>
              <w:rPr>
                <w:sz w:val="5"/>
                <w:szCs w:val="5"/>
                <w:color w:val="auto"/>
              </w:rPr>
            </w:pPr>
          </w:p>
        </w:tc>
        <w:tc>
          <w:tcPr>
            <w:tcW w:w="1100" w:type="dxa"/>
            <w:vAlign w:val="bottom"/>
            <w:shd w:val="clear" w:color="auto" w:fill="E5E5E5"/>
          </w:tcPr>
          <w:p>
            <w:pPr>
              <w:spacing w:after="0"/>
              <w:rPr>
                <w:sz w:val="5"/>
                <w:szCs w:val="5"/>
                <w:color w:val="auto"/>
              </w:rPr>
            </w:pPr>
          </w:p>
        </w:tc>
        <w:tc>
          <w:tcPr>
            <w:tcW w:w="3140" w:type="dxa"/>
            <w:vAlign w:val="bottom"/>
            <w:gridSpan w:val="2"/>
            <w:vMerge w:val="continue"/>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5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3140" w:type="dxa"/>
            <w:vAlign w:val="bottom"/>
            <w:gridSpan w:val="2"/>
            <w:shd w:val="clear" w:color="auto" w:fill="E5E5E5"/>
          </w:tcPr>
          <w:p>
            <w:pPr>
              <w:ind w:left="240"/>
              <w:spacing w:after="0" w:line="181" w:lineRule="exact"/>
              <w:rPr>
                <w:sz w:val="20"/>
                <w:szCs w:val="20"/>
                <w:color w:val="auto"/>
              </w:rPr>
            </w:pPr>
            <w:r>
              <w:rPr>
                <w:rFonts w:ascii="Arial" w:cs="Arial" w:eastAsia="Arial" w:hAnsi="Arial"/>
                <w:sz w:val="16"/>
                <w:szCs w:val="16"/>
                <w:color w:val="auto"/>
              </w:rPr>
              <w:t>officer that focused on national security</w:t>
            </w:r>
          </w:p>
        </w:tc>
        <w:tc>
          <w:tcPr>
            <w:tcW w:w="1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3140" w:type="dxa"/>
            <w:vAlign w:val="bottom"/>
            <w:gridSpan w:val="2"/>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focus on entrepreneurship,</w:t>
            </w:r>
          </w:p>
        </w:tc>
        <w:tc>
          <w:tcPr>
            <w:tcW w:w="16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5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3300" w:type="dxa"/>
            <w:vAlign w:val="bottom"/>
            <w:gridSpan w:val="3"/>
            <w:shd w:val="clear" w:color="auto" w:fill="E5E5E5"/>
          </w:tcPr>
          <w:p>
            <w:pPr>
              <w:ind w:left="240"/>
              <w:spacing w:after="0"/>
              <w:rPr>
                <w:sz w:val="20"/>
                <w:szCs w:val="20"/>
                <w:color w:val="auto"/>
              </w:rPr>
            </w:pPr>
            <w:r>
              <w:rPr>
                <w:rFonts w:ascii="Arial" w:cs="Arial" w:eastAsia="Arial" w:hAnsi="Arial"/>
                <w:sz w:val="16"/>
                <w:szCs w:val="16"/>
                <w:color w:val="auto"/>
              </w:rPr>
              <w:t>including through the founding of her firm</w:t>
            </w:r>
          </w:p>
        </w:tc>
        <w:tc>
          <w:tcPr>
            <w:tcW w:w="0" w:type="dxa"/>
            <w:vAlign w:val="bottom"/>
          </w:tcPr>
          <w:p>
            <w:pPr>
              <w:spacing w:after="0"/>
              <w:rPr>
                <w:sz w:val="1"/>
                <w:szCs w:val="1"/>
                <w:color w:val="auto"/>
              </w:rPr>
            </w:pPr>
          </w:p>
        </w:tc>
      </w:tr>
      <w:tr>
        <w:trPr>
          <w:trHeight w:val="185"/>
        </w:trPr>
        <w:tc>
          <w:tcPr>
            <w:tcW w:w="15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314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and a nonprofit dedicated to connecting</w:t>
            </w:r>
          </w:p>
        </w:tc>
        <w:tc>
          <w:tcPr>
            <w:tcW w:w="1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314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and supporting women on their</w:t>
            </w:r>
          </w:p>
        </w:tc>
        <w:tc>
          <w:tcPr>
            <w:tcW w:w="1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14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entrepreneurial journeys</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540" w:type="dxa"/>
            <w:vAlign w:val="bottom"/>
          </w:tcPr>
          <w:p>
            <w:pPr>
              <w:spacing w:after="0"/>
              <w:rPr>
                <w:sz w:val="24"/>
                <w:szCs w:val="24"/>
                <w:color w:val="auto"/>
              </w:rPr>
            </w:pPr>
          </w:p>
        </w:tc>
        <w:tc>
          <w:tcPr>
            <w:tcW w:w="4240" w:type="dxa"/>
            <w:vAlign w:val="bottom"/>
            <w:gridSpan w:val="3"/>
          </w:tcPr>
          <w:p>
            <w:pPr>
              <w:ind w:left="60"/>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666666"/>
                <w:w w:val="7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-6219825</wp:posOffset>
            </wp:positionV>
            <wp:extent cx="7185025" cy="52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-5419090</wp:posOffset>
            </wp:positionV>
            <wp:extent cx="6405880" cy="5377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5880" cy="5377815"/>
                    </a:xfrm>
                    <a:prstGeom prst="rect">
                      <a:avLst/>
                    </a:prstGeom>
                    <a:noFill/>
                  </pic:spPr>
                </pic:pic>
              </a:graphicData>
            </a:graphic>
          </wp:anchor>
        </w:drawing>
      </w:r>
    </w:p>
    <w:p>
      <w:pPr>
        <w:sectPr>
          <w:pgSz w:w="11900" w:h="16838" w:orient="portrait"/>
          <w:cols w:equalWidth="0" w:num="2">
            <w:col w:w="4000" w:space="720"/>
            <w:col w:w="5940"/>
          </w:cols>
          <w:pgMar w:left="320" w:top="453" w:right="9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664335" cy="149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4335" cy="149225"/>
                    </a:xfrm>
                    <a:prstGeom prst="rect">
                      <a:avLst/>
                    </a:prstGeom>
                    <a:noFill/>
                  </pic:spPr>
                </pic:pic>
              </a:graphicData>
            </a:graphic>
          </wp:anchor>
        </w:drawing>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165100</wp:posOffset>
            </wp:positionV>
            <wp:extent cx="15875" cy="6021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75" cy="602107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165100</wp:posOffset>
            </wp:positionV>
            <wp:extent cx="15875" cy="6021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75" cy="602107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165100</wp:posOffset>
            </wp:positionV>
            <wp:extent cx="15875" cy="6021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75" cy="6021070"/>
                    </a:xfrm>
                    <a:prstGeom prst="rect">
                      <a:avLst/>
                    </a:prstGeom>
                    <a:noFill/>
                  </pic:spPr>
                </pic:pic>
              </a:graphicData>
            </a:graphic>
          </wp:anchor>
        </w:drawing>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140" w:type="dxa"/>
            <w:vAlign w:val="bottom"/>
            <w:shd w:val="clear" w:color="auto" w:fill="666666"/>
          </w:tcPr>
          <w:p>
            <w:pPr>
              <w:spacing w:after="0"/>
              <w:rPr>
                <w:sz w:val="17"/>
                <w:szCs w:val="17"/>
                <w:color w:val="auto"/>
              </w:rPr>
            </w:pPr>
          </w:p>
        </w:tc>
        <w:tc>
          <w:tcPr>
            <w:tcW w:w="1580" w:type="dxa"/>
            <w:vAlign w:val="bottom"/>
            <w:shd w:val="clear" w:color="auto" w:fill="666666"/>
          </w:tcPr>
          <w:p>
            <w:pPr>
              <w:ind w:left="380"/>
              <w:spacing w:after="0"/>
              <w:rPr>
                <w:sz w:val="20"/>
                <w:szCs w:val="20"/>
                <w:color w:val="auto"/>
              </w:rPr>
            </w:pPr>
            <w:r>
              <w:rPr>
                <w:rFonts w:ascii="Arial" w:cs="Arial" w:eastAsia="Arial" w:hAnsi="Arial"/>
                <w:sz w:val="15"/>
                <w:szCs w:val="15"/>
                <w:b w:val="1"/>
                <w:bCs w:val="1"/>
                <w:color w:val="FFFFFF"/>
              </w:rPr>
              <w:t>Committee</w:t>
            </w:r>
          </w:p>
        </w:tc>
        <w:tc>
          <w:tcPr>
            <w:tcW w:w="1060" w:type="dxa"/>
            <w:vAlign w:val="bottom"/>
            <w:shd w:val="clear" w:color="auto" w:fill="666666"/>
          </w:tcPr>
          <w:p>
            <w:pPr>
              <w:spacing w:after="0"/>
              <w:rPr>
                <w:sz w:val="17"/>
                <w:szCs w:val="17"/>
                <w:color w:val="auto"/>
              </w:rPr>
            </w:pPr>
          </w:p>
        </w:tc>
        <w:tc>
          <w:tcPr>
            <w:tcW w:w="3300" w:type="dxa"/>
            <w:vAlign w:val="bottom"/>
            <w:shd w:val="clear" w:color="auto" w:fill="66666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666666"/>
          </w:tcPr>
          <w:p>
            <w:pPr>
              <w:ind w:left="80"/>
              <w:spacing w:after="0"/>
              <w:rPr>
                <w:sz w:val="20"/>
                <w:szCs w:val="20"/>
                <w:color w:val="auto"/>
              </w:rPr>
            </w:pPr>
            <w:r>
              <w:rPr>
                <w:rFonts w:ascii="Arial" w:cs="Arial" w:eastAsia="Arial" w:hAnsi="Arial"/>
                <w:sz w:val="15"/>
                <w:szCs w:val="15"/>
                <w:b w:val="1"/>
                <w:bCs w:val="1"/>
                <w:color w:val="FFFFFF"/>
              </w:rPr>
              <w:t>Name and Occupation</w:t>
            </w:r>
          </w:p>
        </w:tc>
        <w:tc>
          <w:tcPr>
            <w:tcW w:w="1580" w:type="dxa"/>
            <w:vAlign w:val="bottom"/>
            <w:shd w:val="clear" w:color="auto" w:fill="666666"/>
          </w:tcPr>
          <w:p>
            <w:pPr>
              <w:ind w:left="560"/>
              <w:spacing w:after="0"/>
              <w:rPr>
                <w:sz w:val="20"/>
                <w:szCs w:val="20"/>
                <w:color w:val="auto"/>
              </w:rPr>
            </w:pPr>
            <w:r>
              <w:rPr>
                <w:rFonts w:ascii="Arial" w:cs="Arial" w:eastAsia="Arial" w:hAnsi="Arial"/>
                <w:sz w:val="15"/>
                <w:szCs w:val="15"/>
                <w:b w:val="1"/>
                <w:bCs w:val="1"/>
                <w:color w:val="FFFFFF"/>
              </w:rPr>
              <w:t>Roles</w:t>
            </w:r>
          </w:p>
        </w:tc>
        <w:tc>
          <w:tcPr>
            <w:tcW w:w="1060" w:type="dxa"/>
            <w:vAlign w:val="bottom"/>
            <w:shd w:val="clear" w:color="auto" w:fill="666666"/>
          </w:tcPr>
          <w:p>
            <w:pPr>
              <w:ind w:left="100"/>
              <w:spacing w:after="0"/>
              <w:rPr>
                <w:sz w:val="20"/>
                <w:szCs w:val="20"/>
                <w:color w:val="auto"/>
              </w:rPr>
            </w:pPr>
            <w:r>
              <w:rPr>
                <w:rFonts w:ascii="Arial" w:cs="Arial" w:eastAsia="Arial" w:hAnsi="Arial"/>
                <w:sz w:val="15"/>
                <w:szCs w:val="15"/>
                <w:b w:val="1"/>
                <w:bCs w:val="1"/>
                <w:color w:val="FFFFFF"/>
              </w:rPr>
              <w:t>Independent</w:t>
            </w:r>
          </w:p>
        </w:tc>
        <w:tc>
          <w:tcPr>
            <w:tcW w:w="3300" w:type="dxa"/>
            <w:vAlign w:val="bottom"/>
            <w:shd w:val="clear" w:color="auto" w:fill="666666"/>
          </w:tcPr>
          <w:p>
            <w:pPr>
              <w:ind w:left="920"/>
              <w:spacing w:after="0"/>
              <w:rPr>
                <w:sz w:val="20"/>
                <w:szCs w:val="20"/>
                <w:color w:val="auto"/>
              </w:rPr>
            </w:pPr>
            <w:r>
              <w:rPr>
                <w:rFonts w:ascii="Arial" w:cs="Arial" w:eastAsia="Arial" w:hAnsi="Arial"/>
                <w:sz w:val="15"/>
                <w:szCs w:val="15"/>
                <w:b w:val="1"/>
                <w:bCs w:val="1"/>
                <w:color w:val="FFFFFF"/>
              </w:rPr>
              <w:t>Experience Highlights</w:t>
            </w:r>
          </w:p>
        </w:tc>
        <w:tc>
          <w:tcPr>
            <w:tcW w:w="0" w:type="dxa"/>
            <w:vAlign w:val="bottom"/>
          </w:tcPr>
          <w:p>
            <w:pPr>
              <w:spacing w:after="0"/>
              <w:rPr>
                <w:sz w:val="1"/>
                <w:szCs w:val="1"/>
                <w:color w:val="auto"/>
              </w:rPr>
            </w:pPr>
          </w:p>
        </w:tc>
      </w:tr>
      <w:tr>
        <w:trPr>
          <w:trHeight w:val="309"/>
        </w:trPr>
        <w:tc>
          <w:tcPr>
            <w:tcW w:w="4140" w:type="dxa"/>
            <w:vAlign w:val="bottom"/>
          </w:tcPr>
          <w:p>
            <w:pPr>
              <w:ind w:left="60"/>
              <w:spacing w:after="0"/>
              <w:rPr>
                <w:sz w:val="20"/>
                <w:szCs w:val="20"/>
                <w:color w:val="auto"/>
              </w:rPr>
            </w:pPr>
            <w:r>
              <w:rPr>
                <w:rFonts w:ascii="Arial" w:cs="Arial" w:eastAsia="Arial" w:hAnsi="Arial"/>
                <w:sz w:val="16"/>
                <w:szCs w:val="16"/>
                <w:color w:val="auto"/>
              </w:rPr>
              <w:t>Karl Peterson</w:t>
            </w:r>
          </w:p>
        </w:tc>
        <w:tc>
          <w:tcPr>
            <w:tcW w:w="158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w:t>
            </w:r>
          </w:p>
        </w:tc>
        <w:tc>
          <w:tcPr>
            <w:tcW w:w="10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experience as a director of</w:t>
            </w:r>
          </w:p>
        </w:tc>
        <w:tc>
          <w:tcPr>
            <w:tcW w:w="0" w:type="dxa"/>
            <w:vAlign w:val="bottom"/>
          </w:tcPr>
          <w:p>
            <w:pPr>
              <w:spacing w:after="0"/>
              <w:rPr>
                <w:sz w:val="1"/>
                <w:szCs w:val="1"/>
                <w:color w:val="auto"/>
              </w:rPr>
            </w:pPr>
          </w:p>
        </w:tc>
      </w:tr>
      <w:tr>
        <w:trPr>
          <w:trHeight w:val="146"/>
        </w:trPr>
        <w:tc>
          <w:tcPr>
            <w:tcW w:w="4140" w:type="dxa"/>
            <w:vAlign w:val="bottom"/>
          </w:tcPr>
          <w:p>
            <w:pPr>
              <w:ind w:left="240"/>
              <w:spacing w:after="0" w:line="146" w:lineRule="exact"/>
              <w:rPr>
                <w:sz w:val="20"/>
                <w:szCs w:val="20"/>
                <w:color w:val="auto"/>
              </w:rPr>
            </w:pPr>
            <w:r>
              <w:rPr>
                <w:rFonts w:ascii="Arial" w:cs="Arial" w:eastAsia="Arial" w:hAnsi="Arial"/>
                <w:sz w:val="16"/>
                <w:szCs w:val="16"/>
                <w:i w:val="1"/>
                <w:iCs w:val="1"/>
                <w:color w:val="auto"/>
              </w:rPr>
              <w:t>Former Senior Partner of TPG and</w:t>
            </w:r>
          </w:p>
        </w:tc>
        <w:tc>
          <w:tcPr>
            <w:tcW w:w="1580" w:type="dxa"/>
            <w:vAlign w:val="bottom"/>
            <w:vMerge w:val="restart"/>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12"/>
                <w:szCs w:val="12"/>
                <w:color w:val="auto"/>
              </w:rPr>
            </w:pPr>
          </w:p>
        </w:tc>
        <w:tc>
          <w:tcPr>
            <w:tcW w:w="3300" w:type="dxa"/>
            <w:vAlign w:val="bottom"/>
            <w:vMerge w:val="restart"/>
          </w:tcPr>
          <w:p>
            <w:pPr>
              <w:ind w:left="240"/>
              <w:spacing w:after="0"/>
              <w:rPr>
                <w:sz w:val="20"/>
                <w:szCs w:val="20"/>
                <w:color w:val="auto"/>
              </w:rPr>
            </w:pPr>
            <w:r>
              <w:rPr>
                <w:rFonts w:ascii="Arial" w:cs="Arial" w:eastAsia="Arial" w:hAnsi="Arial"/>
                <w:sz w:val="16"/>
                <w:szCs w:val="16"/>
                <w:color w:val="auto"/>
              </w:rPr>
              <w:t>several travel and technology companies</w:t>
            </w:r>
          </w:p>
        </w:tc>
        <w:tc>
          <w:tcPr>
            <w:tcW w:w="0" w:type="dxa"/>
            <w:vAlign w:val="bottom"/>
          </w:tcPr>
          <w:p>
            <w:pPr>
              <w:spacing w:after="0"/>
              <w:rPr>
                <w:sz w:val="1"/>
                <w:szCs w:val="1"/>
                <w:color w:val="auto"/>
              </w:rPr>
            </w:pPr>
          </w:p>
        </w:tc>
      </w:tr>
      <w:tr>
        <w:trPr>
          <w:trHeight w:val="81"/>
        </w:trPr>
        <w:tc>
          <w:tcPr>
            <w:tcW w:w="4140" w:type="dxa"/>
            <w:vAlign w:val="bottom"/>
            <w:vMerge w:val="restart"/>
          </w:tcPr>
          <w:p>
            <w:pPr>
              <w:ind w:left="240"/>
              <w:spacing w:after="0"/>
              <w:rPr>
                <w:sz w:val="20"/>
                <w:szCs w:val="20"/>
                <w:color w:val="auto"/>
              </w:rPr>
            </w:pPr>
            <w:r>
              <w:rPr>
                <w:rFonts w:ascii="Arial" w:cs="Arial" w:eastAsia="Arial" w:hAnsi="Arial"/>
                <w:sz w:val="16"/>
                <w:szCs w:val="16"/>
                <w:i w:val="1"/>
                <w:iCs w:val="1"/>
                <w:color w:val="auto"/>
              </w:rPr>
              <w:t>Managing Partner, TPG Pace Group</w:t>
            </w:r>
          </w:p>
        </w:tc>
        <w:tc>
          <w:tcPr>
            <w:tcW w:w="15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140" w:type="dxa"/>
            <w:vAlign w:val="bottom"/>
            <w:vMerge w:val="continue"/>
          </w:tcPr>
          <w:p>
            <w:pPr>
              <w:spacing w:after="0"/>
              <w:rPr>
                <w:sz w:val="11"/>
                <w:szCs w:val="11"/>
                <w:color w:val="auto"/>
              </w:rPr>
            </w:pPr>
          </w:p>
        </w:tc>
        <w:tc>
          <w:tcPr>
            <w:tcW w:w="1580" w:type="dxa"/>
            <w:vAlign w:val="bottom"/>
            <w:vMerge w:val="restart"/>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w:t>
            </w:r>
          </w:p>
        </w:tc>
        <w:tc>
          <w:tcPr>
            <w:tcW w:w="1060" w:type="dxa"/>
            <w:vAlign w:val="bottom"/>
          </w:tcPr>
          <w:p>
            <w:pPr>
              <w:spacing w:after="0"/>
              <w:rPr>
                <w:sz w:val="11"/>
                <w:szCs w:val="11"/>
                <w:color w:val="auto"/>
              </w:rPr>
            </w:pPr>
          </w:p>
        </w:tc>
        <w:tc>
          <w:tcPr>
            <w:tcW w:w="3300" w:type="dxa"/>
            <w:vAlign w:val="bottom"/>
            <w:vMerge w:val="restart"/>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Former executive of an airline travel</w:t>
            </w:r>
          </w:p>
        </w:tc>
        <w:tc>
          <w:tcPr>
            <w:tcW w:w="0" w:type="dxa"/>
            <w:vAlign w:val="bottom"/>
          </w:tcPr>
          <w:p>
            <w:pPr>
              <w:spacing w:after="0"/>
              <w:rPr>
                <w:sz w:val="1"/>
                <w:szCs w:val="1"/>
                <w:color w:val="auto"/>
              </w:rPr>
            </w:pPr>
          </w:p>
        </w:tc>
      </w:tr>
      <w:tr>
        <w:trPr>
          <w:trHeight w:val="141"/>
        </w:trPr>
        <w:tc>
          <w:tcPr>
            <w:tcW w:w="41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580" w:type="dxa"/>
            <w:vAlign w:val="bottom"/>
          </w:tcPr>
          <w:p>
            <w:pPr>
              <w:ind w:left="280"/>
              <w:spacing w:after="0" w:line="181" w:lineRule="exact"/>
              <w:rPr>
                <w:sz w:val="20"/>
                <w:szCs w:val="20"/>
                <w:color w:val="auto"/>
              </w:rPr>
            </w:pPr>
            <w:r>
              <w:rPr>
                <w:rFonts w:ascii="Arial" w:cs="Arial" w:eastAsia="Arial" w:hAnsi="Arial"/>
                <w:sz w:val="16"/>
                <w:szCs w:val="16"/>
                <w:color w:val="auto"/>
              </w:rPr>
              <w:t>Nominating</w:t>
            </w: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3"/>
                <w:szCs w:val="23"/>
                <w:color w:val="auto"/>
              </w:rPr>
            </w:pPr>
          </w:p>
        </w:tc>
        <w:tc>
          <w:tcPr>
            <w:tcW w:w="1580" w:type="dxa"/>
            <w:vAlign w:val="bottom"/>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Led Sabre’s Board in connection with its</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ongoing focus on director refreshment</w:t>
            </w: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Private equity investor with significant</w:t>
            </w: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00" w:type="dxa"/>
            <w:vAlign w:val="bottom"/>
          </w:tcPr>
          <w:p>
            <w:pPr>
              <w:ind w:left="240"/>
              <w:spacing w:after="0"/>
              <w:rPr>
                <w:sz w:val="20"/>
                <w:szCs w:val="20"/>
                <w:color w:val="auto"/>
              </w:rPr>
            </w:pPr>
            <w:r>
              <w:rPr>
                <w:rFonts w:ascii="Arial" w:cs="Arial" w:eastAsia="Arial" w:hAnsi="Arial"/>
                <w:sz w:val="16"/>
                <w:szCs w:val="16"/>
                <w:color w:val="auto"/>
              </w:rPr>
              <w:t>experience working with public</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companies</w:t>
            </w:r>
          </w:p>
        </w:tc>
        <w:tc>
          <w:tcPr>
            <w:tcW w:w="0" w:type="dxa"/>
            <w:vAlign w:val="bottom"/>
          </w:tcPr>
          <w:p>
            <w:pPr>
              <w:spacing w:after="0"/>
              <w:rPr>
                <w:sz w:val="1"/>
                <w:szCs w:val="1"/>
                <w:color w:val="auto"/>
              </w:rPr>
            </w:pPr>
          </w:p>
        </w:tc>
      </w:tr>
      <w:tr>
        <w:trPr>
          <w:trHeight w:val="305"/>
        </w:trPr>
        <w:tc>
          <w:tcPr>
            <w:tcW w:w="4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Experience analyzing ESG matters</w:t>
            </w:r>
          </w:p>
        </w:tc>
        <w:tc>
          <w:tcPr>
            <w:tcW w:w="0" w:type="dxa"/>
            <w:vAlign w:val="bottom"/>
          </w:tcPr>
          <w:p>
            <w:pPr>
              <w:spacing w:after="0"/>
              <w:rPr>
                <w:sz w:val="1"/>
                <w:szCs w:val="1"/>
                <w:color w:val="auto"/>
              </w:rPr>
            </w:pPr>
          </w:p>
        </w:tc>
      </w:tr>
      <w:tr>
        <w:trPr>
          <w:trHeight w:val="309"/>
        </w:trPr>
        <w:tc>
          <w:tcPr>
            <w:tcW w:w="4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Zane Rowe</w:t>
            </w:r>
          </w:p>
        </w:tc>
        <w:tc>
          <w:tcPr>
            <w:tcW w:w="158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w:t>
            </w:r>
          </w:p>
        </w:tc>
        <w:tc>
          <w:tcPr>
            <w:tcW w:w="1060" w:type="dxa"/>
            <w:vAlign w:val="bottom"/>
            <w:shd w:val="clear" w:color="auto" w:fill="E5E5E5"/>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experience in the travel</w:t>
            </w:r>
          </w:p>
        </w:tc>
        <w:tc>
          <w:tcPr>
            <w:tcW w:w="0" w:type="dxa"/>
            <w:vAlign w:val="bottom"/>
          </w:tcPr>
          <w:p>
            <w:pPr>
              <w:spacing w:after="0"/>
              <w:rPr>
                <w:sz w:val="1"/>
                <w:szCs w:val="1"/>
                <w:color w:val="auto"/>
              </w:rPr>
            </w:pPr>
          </w:p>
        </w:tc>
      </w:tr>
      <w:tr>
        <w:trPr>
          <w:trHeight w:val="146"/>
        </w:trPr>
        <w:tc>
          <w:tcPr>
            <w:tcW w:w="4140" w:type="dxa"/>
            <w:vAlign w:val="bottom"/>
            <w:shd w:val="clear" w:color="auto" w:fill="E5E5E5"/>
          </w:tcPr>
          <w:p>
            <w:pPr>
              <w:ind w:left="240"/>
              <w:spacing w:after="0" w:line="146" w:lineRule="exact"/>
              <w:rPr>
                <w:sz w:val="20"/>
                <w:szCs w:val="20"/>
                <w:color w:val="auto"/>
              </w:rPr>
            </w:pPr>
            <w:r>
              <w:rPr>
                <w:rFonts w:ascii="Arial" w:cs="Arial" w:eastAsia="Arial" w:hAnsi="Arial"/>
                <w:sz w:val="16"/>
                <w:szCs w:val="16"/>
                <w:i w:val="1"/>
                <w:iCs w:val="1"/>
                <w:color w:val="auto"/>
              </w:rPr>
              <w:t>Executive Vice President and Chief</w:t>
            </w:r>
          </w:p>
        </w:tc>
        <w:tc>
          <w:tcPr>
            <w:tcW w:w="158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2"/>
                <w:szCs w:val="12"/>
                <w:color w:val="auto"/>
              </w:rPr>
            </w:pPr>
          </w:p>
        </w:tc>
        <w:tc>
          <w:tcPr>
            <w:tcW w:w="3300" w:type="dxa"/>
            <w:vAlign w:val="bottom"/>
            <w:vMerge w:val="restart"/>
            <w:shd w:val="clear" w:color="auto" w:fill="E5E5E5"/>
          </w:tcPr>
          <w:p>
            <w:pPr>
              <w:ind w:left="240"/>
              <w:spacing w:after="0"/>
              <w:rPr>
                <w:sz w:val="20"/>
                <w:szCs w:val="20"/>
                <w:color w:val="auto"/>
              </w:rPr>
            </w:pPr>
            <w:r>
              <w:rPr>
                <w:rFonts w:ascii="Arial" w:cs="Arial" w:eastAsia="Arial" w:hAnsi="Arial"/>
                <w:sz w:val="16"/>
                <w:szCs w:val="16"/>
                <w:color w:val="auto"/>
              </w:rPr>
              <w:t>industry and the technology sector</w:t>
            </w:r>
          </w:p>
        </w:tc>
        <w:tc>
          <w:tcPr>
            <w:tcW w:w="0" w:type="dxa"/>
            <w:vAlign w:val="bottom"/>
          </w:tcPr>
          <w:p>
            <w:pPr>
              <w:spacing w:after="0"/>
              <w:rPr>
                <w:sz w:val="1"/>
                <w:szCs w:val="1"/>
                <w:color w:val="auto"/>
              </w:rPr>
            </w:pPr>
          </w:p>
        </w:tc>
      </w:tr>
      <w:tr>
        <w:trPr>
          <w:trHeight w:val="81"/>
        </w:trPr>
        <w:tc>
          <w:tcPr>
            <w:tcW w:w="4140" w:type="dxa"/>
            <w:vAlign w:val="bottom"/>
            <w:vMerge w:val="restart"/>
            <w:shd w:val="clear" w:color="auto" w:fill="E5E5E5"/>
          </w:tcPr>
          <w:p>
            <w:pPr>
              <w:ind w:left="240"/>
              <w:spacing w:after="0"/>
              <w:rPr>
                <w:sz w:val="20"/>
                <w:szCs w:val="20"/>
                <w:color w:val="auto"/>
              </w:rPr>
            </w:pPr>
            <w:r>
              <w:rPr>
                <w:rFonts w:ascii="Arial" w:cs="Arial" w:eastAsia="Arial" w:hAnsi="Arial"/>
                <w:sz w:val="16"/>
                <w:szCs w:val="16"/>
                <w:i w:val="1"/>
                <w:iCs w:val="1"/>
                <w:color w:val="auto"/>
              </w:rPr>
              <w:t>Financial Officer, VMware, Inc.</w:t>
            </w:r>
          </w:p>
        </w:tc>
        <w:tc>
          <w:tcPr>
            <w:tcW w:w="1580" w:type="dxa"/>
            <w:vAlign w:val="bottom"/>
            <w:vMerge w:val="continue"/>
            <w:shd w:val="clear" w:color="auto" w:fill="E5E5E5"/>
          </w:tcPr>
          <w:p>
            <w:pPr>
              <w:spacing w:after="0"/>
              <w:rPr>
                <w:sz w:val="7"/>
                <w:szCs w:val="7"/>
                <w:color w:val="auto"/>
              </w:rPr>
            </w:pPr>
          </w:p>
        </w:tc>
        <w:tc>
          <w:tcPr>
            <w:tcW w:w="1060" w:type="dxa"/>
            <w:vAlign w:val="bottom"/>
            <w:shd w:val="clear" w:color="auto" w:fill="E5E5E5"/>
          </w:tcPr>
          <w:p>
            <w:pPr>
              <w:spacing w:after="0"/>
              <w:rPr>
                <w:sz w:val="7"/>
                <w:szCs w:val="7"/>
                <w:color w:val="auto"/>
              </w:rPr>
            </w:pPr>
          </w:p>
        </w:tc>
        <w:tc>
          <w:tcPr>
            <w:tcW w:w="330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140" w:type="dxa"/>
            <w:vAlign w:val="bottom"/>
            <w:vMerge w:val="continue"/>
            <w:shd w:val="clear" w:color="auto" w:fill="E5E5E5"/>
          </w:tcPr>
          <w:p>
            <w:pPr>
              <w:spacing w:after="0"/>
              <w:rPr>
                <w:sz w:val="11"/>
                <w:szCs w:val="11"/>
                <w:color w:val="auto"/>
              </w:rPr>
            </w:pPr>
          </w:p>
        </w:tc>
        <w:tc>
          <w:tcPr>
            <w:tcW w:w="1580" w:type="dxa"/>
            <w:vAlign w:val="bottom"/>
            <w:vMerge w:val="restart"/>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060" w:type="dxa"/>
            <w:vAlign w:val="bottom"/>
            <w:shd w:val="clear" w:color="auto" w:fill="E5E5E5"/>
          </w:tcPr>
          <w:p>
            <w:pPr>
              <w:spacing w:after="0"/>
              <w:rPr>
                <w:sz w:val="11"/>
                <w:szCs w:val="11"/>
                <w:color w:val="auto"/>
              </w:rPr>
            </w:pPr>
          </w:p>
        </w:tc>
        <w:tc>
          <w:tcPr>
            <w:tcW w:w="3300" w:type="dxa"/>
            <w:vAlign w:val="bottom"/>
            <w:vMerge w:val="restart"/>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Experience in sales, operations, and</w:t>
            </w:r>
          </w:p>
        </w:tc>
        <w:tc>
          <w:tcPr>
            <w:tcW w:w="0" w:type="dxa"/>
            <w:vAlign w:val="bottom"/>
          </w:tcPr>
          <w:p>
            <w:pPr>
              <w:spacing w:after="0"/>
              <w:rPr>
                <w:sz w:val="1"/>
                <w:szCs w:val="1"/>
                <w:color w:val="auto"/>
              </w:rPr>
            </w:pPr>
          </w:p>
        </w:tc>
      </w:tr>
      <w:tr>
        <w:trPr>
          <w:trHeight w:val="141"/>
        </w:trPr>
        <w:tc>
          <w:tcPr>
            <w:tcW w:w="4140" w:type="dxa"/>
            <w:vAlign w:val="bottom"/>
            <w:shd w:val="clear" w:color="auto" w:fill="E5E5E5"/>
          </w:tcPr>
          <w:p>
            <w:pPr>
              <w:spacing w:after="0"/>
              <w:rPr>
                <w:sz w:val="12"/>
                <w:szCs w:val="12"/>
                <w:color w:val="auto"/>
              </w:rPr>
            </w:pPr>
          </w:p>
        </w:tc>
        <w:tc>
          <w:tcPr>
            <w:tcW w:w="1580" w:type="dxa"/>
            <w:vAlign w:val="bottom"/>
            <w:vMerge w:val="continue"/>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3300" w:type="dxa"/>
            <w:vAlign w:val="bottom"/>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40" w:type="dxa"/>
            <w:vAlign w:val="bottom"/>
            <w:shd w:val="clear" w:color="auto" w:fill="E5E5E5"/>
          </w:tcPr>
          <w:p>
            <w:pPr>
              <w:spacing w:after="0"/>
              <w:rPr>
                <w:sz w:val="15"/>
                <w:szCs w:val="15"/>
                <w:color w:val="auto"/>
              </w:rPr>
            </w:pPr>
          </w:p>
        </w:tc>
        <w:tc>
          <w:tcPr>
            <w:tcW w:w="1580" w:type="dxa"/>
            <w:vAlign w:val="bottom"/>
            <w:shd w:val="clear" w:color="auto" w:fill="E5E5E5"/>
          </w:tcPr>
          <w:p>
            <w:pPr>
              <w:ind w:left="280"/>
              <w:spacing w:after="0" w:line="181" w:lineRule="exact"/>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5"/>
                <w:szCs w:val="15"/>
                <w:color w:val="auto"/>
              </w:rPr>
            </w:pPr>
          </w:p>
        </w:tc>
        <w:tc>
          <w:tcPr>
            <w:tcW w:w="3300" w:type="dxa"/>
            <w:vAlign w:val="bottom"/>
            <w:shd w:val="clear" w:color="auto" w:fill="E5E5E5"/>
          </w:tcPr>
          <w:p>
            <w:pPr>
              <w:ind w:left="240"/>
              <w:spacing w:after="0" w:line="181" w:lineRule="exact"/>
              <w:rPr>
                <w:sz w:val="20"/>
                <w:szCs w:val="20"/>
                <w:color w:val="auto"/>
              </w:rPr>
            </w:pPr>
            <w:r>
              <w:rPr>
                <w:rFonts w:ascii="Arial" w:cs="Arial" w:eastAsia="Arial" w:hAnsi="Arial"/>
                <w:sz w:val="16"/>
                <w:szCs w:val="16"/>
                <w:color w:val="auto"/>
              </w:rPr>
              <w:t>strategic roles</w:t>
            </w:r>
          </w:p>
        </w:tc>
        <w:tc>
          <w:tcPr>
            <w:tcW w:w="0" w:type="dxa"/>
            <w:vAlign w:val="bottom"/>
          </w:tcPr>
          <w:p>
            <w:pPr>
              <w:spacing w:after="0"/>
              <w:rPr>
                <w:sz w:val="1"/>
                <w:szCs w:val="1"/>
                <w:color w:val="auto"/>
              </w:rPr>
            </w:pPr>
          </w:p>
        </w:tc>
      </w:tr>
      <w:tr>
        <w:trPr>
          <w:trHeight w:val="305"/>
        </w:trPr>
        <w:tc>
          <w:tcPr>
            <w:tcW w:w="4140" w:type="dxa"/>
            <w:vAlign w:val="bottom"/>
            <w:shd w:val="clear" w:color="auto" w:fill="E5E5E5"/>
          </w:tcPr>
          <w:p>
            <w:pPr>
              <w:spacing w:after="0"/>
              <w:rPr>
                <w:sz w:val="24"/>
                <w:szCs w:val="24"/>
                <w:color w:val="auto"/>
              </w:rPr>
            </w:pPr>
          </w:p>
        </w:tc>
        <w:tc>
          <w:tcPr>
            <w:tcW w:w="1580" w:type="dxa"/>
            <w:vAlign w:val="bottom"/>
            <w:shd w:val="clear" w:color="auto" w:fill="E5E5E5"/>
          </w:tcPr>
          <w:p>
            <w:pPr>
              <w:spacing w:after="0"/>
              <w:rPr>
                <w:sz w:val="24"/>
                <w:szCs w:val="24"/>
                <w:color w:val="auto"/>
              </w:rPr>
            </w:pPr>
          </w:p>
        </w:tc>
        <w:tc>
          <w:tcPr>
            <w:tcW w:w="1060" w:type="dxa"/>
            <w:vAlign w:val="bottom"/>
            <w:shd w:val="clear" w:color="auto" w:fill="E5E5E5"/>
          </w:tcPr>
          <w:p>
            <w:pPr>
              <w:spacing w:after="0"/>
              <w:rPr>
                <w:sz w:val="24"/>
                <w:szCs w:val="24"/>
                <w:color w:val="auto"/>
              </w:rPr>
            </w:pP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Financial expertise</w:t>
            </w:r>
          </w:p>
        </w:tc>
        <w:tc>
          <w:tcPr>
            <w:tcW w:w="0" w:type="dxa"/>
            <w:vAlign w:val="bottom"/>
          </w:tcPr>
          <w:p>
            <w:pPr>
              <w:spacing w:after="0"/>
              <w:rPr>
                <w:sz w:val="1"/>
                <w:szCs w:val="1"/>
                <w:color w:val="auto"/>
              </w:rPr>
            </w:pPr>
          </w:p>
        </w:tc>
      </w:tr>
      <w:tr>
        <w:trPr>
          <w:trHeight w:val="309"/>
        </w:trPr>
        <w:tc>
          <w:tcPr>
            <w:tcW w:w="4140" w:type="dxa"/>
            <w:vAlign w:val="bottom"/>
          </w:tcPr>
          <w:p>
            <w:pPr>
              <w:ind w:left="60"/>
              <w:spacing w:after="0"/>
              <w:rPr>
                <w:sz w:val="20"/>
                <w:szCs w:val="20"/>
                <w:color w:val="auto"/>
              </w:rPr>
            </w:pPr>
            <w:r>
              <w:rPr>
                <w:rFonts w:ascii="Arial" w:cs="Arial" w:eastAsia="Arial" w:hAnsi="Arial"/>
                <w:sz w:val="16"/>
                <w:szCs w:val="16"/>
                <w:color w:val="auto"/>
              </w:rPr>
              <w:t>Gregg Saretsky</w:t>
            </w:r>
          </w:p>
        </w:tc>
        <w:tc>
          <w:tcPr>
            <w:tcW w:w="158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w:t>
            </w:r>
          </w:p>
        </w:tc>
        <w:tc>
          <w:tcPr>
            <w:tcW w:w="10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Deep airline industry experience</w:t>
            </w:r>
          </w:p>
        </w:tc>
        <w:tc>
          <w:tcPr>
            <w:tcW w:w="0" w:type="dxa"/>
            <w:vAlign w:val="bottom"/>
          </w:tcPr>
          <w:p>
            <w:pPr>
              <w:spacing w:after="0"/>
              <w:rPr>
                <w:sz w:val="1"/>
                <w:szCs w:val="1"/>
                <w:color w:val="auto"/>
              </w:rPr>
            </w:pPr>
          </w:p>
        </w:tc>
      </w:tr>
      <w:tr>
        <w:trPr>
          <w:trHeight w:val="146"/>
        </w:trPr>
        <w:tc>
          <w:tcPr>
            <w:tcW w:w="4140" w:type="dxa"/>
            <w:vAlign w:val="bottom"/>
          </w:tcPr>
          <w:p>
            <w:pPr>
              <w:ind w:left="240"/>
              <w:spacing w:after="0" w:line="146" w:lineRule="exact"/>
              <w:rPr>
                <w:sz w:val="20"/>
                <w:szCs w:val="20"/>
                <w:color w:val="auto"/>
              </w:rPr>
            </w:pPr>
            <w:r>
              <w:rPr>
                <w:rFonts w:ascii="Arial" w:cs="Arial" w:eastAsia="Arial" w:hAnsi="Arial"/>
                <w:sz w:val="16"/>
                <w:szCs w:val="16"/>
                <w:i w:val="1"/>
                <w:iCs w:val="1"/>
                <w:color w:val="auto"/>
              </w:rPr>
              <w:t>Retired President and Chief Executive</w:t>
            </w:r>
          </w:p>
        </w:tc>
        <w:tc>
          <w:tcPr>
            <w:tcW w:w="1580" w:type="dxa"/>
            <w:vAlign w:val="bottom"/>
            <w:vMerge w:val="restart"/>
          </w:tcPr>
          <w:p>
            <w:pPr>
              <w:ind w:left="280"/>
              <w:spacing w:after="0"/>
              <w:rPr>
                <w:sz w:val="20"/>
                <w:szCs w:val="20"/>
                <w:color w:val="auto"/>
              </w:rPr>
            </w:pPr>
            <w:r>
              <w:rPr>
                <w:rFonts w:ascii="Arial" w:cs="Arial" w:eastAsia="Arial" w:hAnsi="Arial"/>
                <w:sz w:val="16"/>
                <w:szCs w:val="16"/>
                <w:color w:val="auto"/>
              </w:rPr>
              <w:t>Nominating</w:t>
            </w:r>
          </w:p>
        </w:tc>
        <w:tc>
          <w:tcPr>
            <w:tcW w:w="1060" w:type="dxa"/>
            <w:vAlign w:val="bottom"/>
          </w:tcPr>
          <w:p>
            <w:pPr>
              <w:spacing w:after="0"/>
              <w:rPr>
                <w:sz w:val="12"/>
                <w:szCs w:val="12"/>
                <w:color w:val="auto"/>
              </w:rPr>
            </w:pPr>
          </w:p>
        </w:tc>
        <w:tc>
          <w:tcPr>
            <w:tcW w:w="3300" w:type="dxa"/>
            <w:vAlign w:val="bottom"/>
            <w:vMerge w:val="restart"/>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Leadership experience as an executive of</w:t>
            </w:r>
          </w:p>
        </w:tc>
        <w:tc>
          <w:tcPr>
            <w:tcW w:w="0" w:type="dxa"/>
            <w:vAlign w:val="bottom"/>
          </w:tcPr>
          <w:p>
            <w:pPr>
              <w:spacing w:after="0"/>
              <w:rPr>
                <w:sz w:val="1"/>
                <w:szCs w:val="1"/>
                <w:color w:val="auto"/>
              </w:rPr>
            </w:pPr>
          </w:p>
        </w:tc>
      </w:tr>
      <w:tr>
        <w:trPr>
          <w:trHeight w:val="163"/>
        </w:trPr>
        <w:tc>
          <w:tcPr>
            <w:tcW w:w="4140" w:type="dxa"/>
            <w:vAlign w:val="bottom"/>
          </w:tcPr>
          <w:p>
            <w:pPr>
              <w:ind w:left="240"/>
              <w:spacing w:after="0" w:line="163" w:lineRule="exact"/>
              <w:rPr>
                <w:sz w:val="20"/>
                <w:szCs w:val="20"/>
                <w:color w:val="auto"/>
              </w:rPr>
            </w:pPr>
            <w:r>
              <w:rPr>
                <w:rFonts w:ascii="Arial" w:cs="Arial" w:eastAsia="Arial" w:hAnsi="Arial"/>
                <w:sz w:val="16"/>
                <w:szCs w:val="16"/>
                <w:i w:val="1"/>
                <w:iCs w:val="1"/>
                <w:color w:val="auto"/>
              </w:rPr>
              <w:t>Officer, WestJet</w:t>
            </w:r>
          </w:p>
        </w:tc>
        <w:tc>
          <w:tcPr>
            <w:tcW w:w="15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4140" w:type="dxa"/>
            <w:vAlign w:val="bottom"/>
          </w:tcPr>
          <w:p>
            <w:pPr>
              <w:spacing w:after="0"/>
              <w:rPr>
                <w:sz w:val="9"/>
                <w:szCs w:val="9"/>
                <w:color w:val="auto"/>
              </w:rPr>
            </w:pPr>
          </w:p>
        </w:tc>
        <w:tc>
          <w:tcPr>
            <w:tcW w:w="1580" w:type="dxa"/>
            <w:vAlign w:val="bottom"/>
          </w:tcPr>
          <w:p>
            <w:pPr>
              <w:ind w:left="280"/>
              <w:spacing w:after="0" w:line="107" w:lineRule="exact"/>
              <w:rPr>
                <w:sz w:val="20"/>
                <w:szCs w:val="20"/>
                <w:color w:val="auto"/>
              </w:rPr>
            </w:pPr>
            <w:r>
              <w:rPr>
                <w:rFonts w:ascii="Arial" w:cs="Arial" w:eastAsia="Arial" w:hAnsi="Arial"/>
                <w:sz w:val="12"/>
                <w:szCs w:val="12"/>
                <w:color w:val="auto"/>
              </w:rPr>
              <w:t>Committee</w:t>
            </w:r>
          </w:p>
        </w:tc>
        <w:tc>
          <w:tcPr>
            <w:tcW w:w="1060" w:type="dxa"/>
            <w:vAlign w:val="bottom"/>
          </w:tcPr>
          <w:p>
            <w:pPr>
              <w:spacing w:after="0"/>
              <w:rPr>
                <w:sz w:val="9"/>
                <w:szCs w:val="9"/>
                <w:color w:val="auto"/>
              </w:rPr>
            </w:pPr>
          </w:p>
        </w:tc>
        <w:tc>
          <w:tcPr>
            <w:tcW w:w="3300" w:type="dxa"/>
            <w:vAlign w:val="bottom"/>
            <w:vMerge w:val="restart"/>
          </w:tcPr>
          <w:p>
            <w:pPr>
              <w:ind w:left="240"/>
              <w:spacing w:after="0"/>
              <w:rPr>
                <w:sz w:val="20"/>
                <w:szCs w:val="20"/>
                <w:color w:val="auto"/>
              </w:rPr>
            </w:pPr>
            <w:r>
              <w:rPr>
                <w:rFonts w:ascii="Arial" w:cs="Arial" w:eastAsia="Arial" w:hAnsi="Arial"/>
                <w:sz w:val="16"/>
                <w:szCs w:val="16"/>
                <w:color w:val="auto"/>
              </w:rPr>
              <w:t>airline companies</w:t>
            </w:r>
          </w:p>
        </w:tc>
        <w:tc>
          <w:tcPr>
            <w:tcW w:w="0" w:type="dxa"/>
            <w:vAlign w:val="bottom"/>
          </w:tcPr>
          <w:p>
            <w:pPr>
              <w:spacing w:after="0"/>
              <w:rPr>
                <w:sz w:val="1"/>
                <w:szCs w:val="1"/>
                <w:color w:val="auto"/>
              </w:rPr>
            </w:pPr>
          </w:p>
        </w:tc>
      </w:tr>
      <w:tr>
        <w:trPr>
          <w:trHeight w:val="83"/>
        </w:trPr>
        <w:tc>
          <w:tcPr>
            <w:tcW w:w="4140" w:type="dxa"/>
            <w:vAlign w:val="bottom"/>
          </w:tcPr>
          <w:p>
            <w:pPr>
              <w:spacing w:after="0"/>
              <w:rPr>
                <w:sz w:val="7"/>
                <w:szCs w:val="7"/>
                <w:color w:val="auto"/>
              </w:rPr>
            </w:pPr>
          </w:p>
        </w:tc>
        <w:tc>
          <w:tcPr>
            <w:tcW w:w="1580" w:type="dxa"/>
            <w:vAlign w:val="bottom"/>
            <w:vMerge w:val="restart"/>
          </w:tcPr>
          <w:p>
            <w:pPr>
              <w:ind w:left="280"/>
              <w:spacing w:after="0" w:line="181" w:lineRule="exact"/>
              <w:rPr>
                <w:sz w:val="20"/>
                <w:szCs w:val="20"/>
                <w:color w:val="auto"/>
              </w:rPr>
            </w:pPr>
            <w:r>
              <w:rPr>
                <w:rFonts w:ascii="Arial" w:cs="Arial" w:eastAsia="Arial" w:hAnsi="Arial"/>
                <w:sz w:val="16"/>
                <w:szCs w:val="16"/>
                <w:color w:val="auto"/>
              </w:rPr>
              <w:t>(chair)</w:t>
            </w:r>
          </w:p>
        </w:tc>
        <w:tc>
          <w:tcPr>
            <w:tcW w:w="106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3300" w:type="dxa"/>
            <w:vAlign w:val="bottom"/>
            <w:vMerge w:val="restart"/>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Strong background in strategy and</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580" w:type="dxa"/>
            <w:vAlign w:val="bottom"/>
            <w:vMerge w:val="restart"/>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w:t>
            </w:r>
          </w:p>
        </w:tc>
        <w:tc>
          <w:tcPr>
            <w:tcW w:w="106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3300" w:type="dxa"/>
            <w:vAlign w:val="bottom"/>
            <w:vMerge w:val="restart"/>
          </w:tcPr>
          <w:p>
            <w:pPr>
              <w:ind w:left="240"/>
              <w:spacing w:after="0"/>
              <w:rPr>
                <w:sz w:val="20"/>
                <w:szCs w:val="20"/>
                <w:color w:val="auto"/>
              </w:rPr>
            </w:pPr>
            <w:r>
              <w:rPr>
                <w:rFonts w:ascii="Arial" w:cs="Arial" w:eastAsia="Arial" w:hAnsi="Arial"/>
                <w:sz w:val="16"/>
                <w:szCs w:val="16"/>
                <w:color w:val="auto"/>
              </w:rPr>
              <w:t>planning</w:t>
            </w: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580" w:type="dxa"/>
            <w:vAlign w:val="bottom"/>
            <w:vMerge w:val="restart"/>
          </w:tcPr>
          <w:p>
            <w:pPr>
              <w:ind w:left="280"/>
              <w:spacing w:after="0" w:line="181" w:lineRule="exact"/>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4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3"/>
                <w:szCs w:val="23"/>
                <w:color w:val="auto"/>
              </w:rPr>
            </w:pPr>
          </w:p>
        </w:tc>
        <w:tc>
          <w:tcPr>
            <w:tcW w:w="158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0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1580" w:type="dxa"/>
            <w:vAlign w:val="bottom"/>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John Scott</w:t>
            </w:r>
          </w:p>
        </w:tc>
        <w:tc>
          <w:tcPr>
            <w:tcW w:w="158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w:t>
            </w:r>
          </w:p>
        </w:tc>
        <w:tc>
          <w:tcPr>
            <w:tcW w:w="1060" w:type="dxa"/>
            <w:vAlign w:val="bottom"/>
            <w:shd w:val="clear" w:color="auto" w:fill="E5E5E5"/>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shd w:val="clear" w:color="auto" w:fill="E5E5E5"/>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experience in the hospitality,</w:t>
            </w:r>
          </w:p>
        </w:tc>
        <w:tc>
          <w:tcPr>
            <w:tcW w:w="0" w:type="dxa"/>
            <w:vAlign w:val="bottom"/>
          </w:tcPr>
          <w:p>
            <w:pPr>
              <w:spacing w:after="0"/>
              <w:rPr>
                <w:sz w:val="1"/>
                <w:szCs w:val="1"/>
                <w:color w:val="auto"/>
              </w:rPr>
            </w:pPr>
          </w:p>
        </w:tc>
      </w:tr>
      <w:tr>
        <w:trPr>
          <w:trHeight w:val="227"/>
        </w:trPr>
        <w:tc>
          <w:tcPr>
            <w:tcW w:w="4140" w:type="dxa"/>
            <w:vAlign w:val="bottom"/>
            <w:shd w:val="clear" w:color="auto" w:fill="E5E5E5"/>
          </w:tcPr>
          <w:p>
            <w:pPr>
              <w:ind w:left="240"/>
              <w:spacing w:after="0"/>
              <w:rPr>
                <w:sz w:val="20"/>
                <w:szCs w:val="20"/>
                <w:color w:val="auto"/>
              </w:rPr>
            </w:pPr>
            <w:r>
              <w:rPr>
                <w:rFonts w:ascii="Arial" w:cs="Arial" w:eastAsia="Arial" w:hAnsi="Arial"/>
                <w:sz w:val="16"/>
                <w:szCs w:val="16"/>
                <w:i w:val="1"/>
                <w:iCs w:val="1"/>
                <w:color w:val="auto"/>
              </w:rPr>
              <w:t>Founder and Chairman of Park House</w:t>
            </w:r>
          </w:p>
        </w:tc>
        <w:tc>
          <w:tcPr>
            <w:tcW w:w="15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9"/>
                <w:szCs w:val="19"/>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leisure, and entertainment industries</w:t>
            </w:r>
          </w:p>
        </w:tc>
        <w:tc>
          <w:tcPr>
            <w:tcW w:w="0" w:type="dxa"/>
            <w:vAlign w:val="bottom"/>
          </w:tcPr>
          <w:p>
            <w:pPr>
              <w:spacing w:after="0"/>
              <w:rPr>
                <w:sz w:val="1"/>
                <w:szCs w:val="1"/>
                <w:color w:val="auto"/>
              </w:rPr>
            </w:pPr>
          </w:p>
        </w:tc>
      </w:tr>
      <w:tr>
        <w:trPr>
          <w:trHeight w:val="231"/>
        </w:trPr>
        <w:tc>
          <w:tcPr>
            <w:tcW w:w="4140" w:type="dxa"/>
            <w:vAlign w:val="bottom"/>
            <w:shd w:val="clear" w:color="auto" w:fill="E5E5E5"/>
          </w:tcPr>
          <w:p>
            <w:pPr>
              <w:spacing w:after="0"/>
              <w:rPr>
                <w:sz w:val="20"/>
                <w:szCs w:val="20"/>
                <w:color w:val="auto"/>
              </w:rPr>
            </w:pPr>
          </w:p>
        </w:tc>
        <w:tc>
          <w:tcPr>
            <w:tcW w:w="15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(chair)</w:t>
            </w:r>
          </w:p>
        </w:tc>
        <w:tc>
          <w:tcPr>
            <w:tcW w:w="1060" w:type="dxa"/>
            <w:vAlign w:val="bottom"/>
            <w:shd w:val="clear" w:color="auto" w:fill="E5E5E5"/>
          </w:tcPr>
          <w:p>
            <w:pPr>
              <w:spacing w:after="0"/>
              <w:rPr>
                <w:sz w:val="20"/>
                <w:szCs w:val="20"/>
                <w:color w:val="auto"/>
              </w:rPr>
            </w:pPr>
          </w:p>
        </w:tc>
        <w:tc>
          <w:tcPr>
            <w:tcW w:w="3300" w:type="dxa"/>
            <w:vAlign w:val="bottom"/>
            <w:shd w:val="clear" w:color="auto" w:fill="E5E5E5"/>
          </w:tcPr>
          <w:p>
            <w:pPr>
              <w:ind w:left="8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experience serving on the</w:t>
            </w:r>
          </w:p>
        </w:tc>
        <w:tc>
          <w:tcPr>
            <w:tcW w:w="0" w:type="dxa"/>
            <w:vAlign w:val="bottom"/>
          </w:tcPr>
          <w:p>
            <w:pPr>
              <w:spacing w:after="0"/>
              <w:rPr>
                <w:sz w:val="1"/>
                <w:szCs w:val="1"/>
                <w:color w:val="auto"/>
              </w:rPr>
            </w:pPr>
          </w:p>
        </w:tc>
      </w:tr>
      <w:tr>
        <w:trPr>
          <w:trHeight w:val="230"/>
        </w:trPr>
        <w:tc>
          <w:tcPr>
            <w:tcW w:w="4140" w:type="dxa"/>
            <w:vAlign w:val="bottom"/>
            <w:shd w:val="clear" w:color="auto" w:fill="E5E5E5"/>
          </w:tcPr>
          <w:p>
            <w:pPr>
              <w:spacing w:after="0"/>
              <w:rPr>
                <w:sz w:val="20"/>
                <w:szCs w:val="20"/>
                <w:color w:val="auto"/>
              </w:rPr>
            </w:pPr>
          </w:p>
        </w:tc>
        <w:tc>
          <w:tcPr>
            <w:tcW w:w="1580" w:type="dxa"/>
            <w:vAlign w:val="bottom"/>
            <w:shd w:val="clear" w:color="auto" w:fill="E5E5E5"/>
          </w:tcPr>
          <w:p>
            <w:pPr>
              <w:ind w:left="12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w:t>
            </w:r>
          </w:p>
        </w:tc>
        <w:tc>
          <w:tcPr>
            <w:tcW w:w="1060" w:type="dxa"/>
            <w:vAlign w:val="bottom"/>
            <w:shd w:val="clear" w:color="auto" w:fill="E5E5E5"/>
          </w:tcPr>
          <w:p>
            <w:pPr>
              <w:spacing w:after="0"/>
              <w:rPr>
                <w:sz w:val="20"/>
                <w:szCs w:val="20"/>
                <w:color w:val="auto"/>
              </w:rPr>
            </w:pPr>
          </w:p>
        </w:tc>
        <w:tc>
          <w:tcPr>
            <w:tcW w:w="3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boards of private and public companies</w:t>
            </w:r>
          </w:p>
        </w:tc>
        <w:tc>
          <w:tcPr>
            <w:tcW w:w="0" w:type="dxa"/>
            <w:vAlign w:val="bottom"/>
          </w:tcPr>
          <w:p>
            <w:pPr>
              <w:spacing w:after="0"/>
              <w:rPr>
                <w:sz w:val="1"/>
                <w:szCs w:val="1"/>
                <w:color w:val="auto"/>
              </w:rPr>
            </w:pPr>
          </w:p>
        </w:tc>
      </w:tr>
      <w:tr>
        <w:trPr>
          <w:trHeight w:val="182"/>
        </w:trPr>
        <w:tc>
          <w:tcPr>
            <w:tcW w:w="4140" w:type="dxa"/>
            <w:vAlign w:val="bottom"/>
            <w:shd w:val="clear" w:color="auto" w:fill="E5E5E5"/>
          </w:tcPr>
          <w:p>
            <w:pPr>
              <w:spacing w:after="0"/>
              <w:rPr>
                <w:sz w:val="15"/>
                <w:szCs w:val="15"/>
                <w:color w:val="auto"/>
              </w:rPr>
            </w:pPr>
          </w:p>
        </w:tc>
        <w:tc>
          <w:tcPr>
            <w:tcW w:w="1580" w:type="dxa"/>
            <w:vAlign w:val="bottom"/>
            <w:shd w:val="clear" w:color="auto" w:fill="E5E5E5"/>
          </w:tcPr>
          <w:p>
            <w:pPr>
              <w:ind w:left="280"/>
              <w:spacing w:after="0" w:line="181" w:lineRule="exact"/>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5"/>
                <w:szCs w:val="15"/>
                <w:color w:val="auto"/>
              </w:rPr>
            </w:pPr>
          </w:p>
        </w:tc>
        <w:tc>
          <w:tcPr>
            <w:tcW w:w="33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140" w:type="dxa"/>
            <w:vAlign w:val="bottom"/>
            <w:shd w:val="clear" w:color="auto" w:fill="E5E5E5"/>
          </w:tcPr>
          <w:p>
            <w:pPr>
              <w:spacing w:after="0"/>
              <w:rPr>
                <w:sz w:val="23"/>
                <w:szCs w:val="23"/>
                <w:color w:val="auto"/>
              </w:rPr>
            </w:pPr>
          </w:p>
        </w:tc>
        <w:tc>
          <w:tcPr>
            <w:tcW w:w="1580" w:type="dxa"/>
            <w:vAlign w:val="bottom"/>
            <w:shd w:val="clear" w:color="auto" w:fill="E5E5E5"/>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w:t>
            </w:r>
          </w:p>
        </w:tc>
        <w:tc>
          <w:tcPr>
            <w:tcW w:w="1060" w:type="dxa"/>
            <w:vAlign w:val="bottom"/>
            <w:shd w:val="clear" w:color="auto" w:fill="E5E5E5"/>
          </w:tcPr>
          <w:p>
            <w:pPr>
              <w:spacing w:after="0"/>
              <w:rPr>
                <w:sz w:val="23"/>
                <w:szCs w:val="23"/>
                <w:color w:val="auto"/>
              </w:rPr>
            </w:pPr>
          </w:p>
        </w:tc>
        <w:tc>
          <w:tcPr>
            <w:tcW w:w="330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4140" w:type="dxa"/>
            <w:vAlign w:val="bottom"/>
            <w:shd w:val="clear" w:color="auto" w:fill="E5E5E5"/>
          </w:tcPr>
          <w:p>
            <w:pPr>
              <w:spacing w:after="0"/>
              <w:rPr>
                <w:sz w:val="16"/>
                <w:szCs w:val="16"/>
                <w:color w:val="auto"/>
              </w:rPr>
            </w:pPr>
          </w:p>
        </w:tc>
        <w:tc>
          <w:tcPr>
            <w:tcW w:w="15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Nominating</w:t>
            </w:r>
          </w:p>
        </w:tc>
        <w:tc>
          <w:tcPr>
            <w:tcW w:w="1060" w:type="dxa"/>
            <w:vAlign w:val="bottom"/>
            <w:shd w:val="clear" w:color="auto" w:fill="E5E5E5"/>
          </w:tcPr>
          <w:p>
            <w:pPr>
              <w:spacing w:after="0"/>
              <w:rPr>
                <w:sz w:val="16"/>
                <w:szCs w:val="16"/>
                <w:color w:val="auto"/>
              </w:rPr>
            </w:pPr>
          </w:p>
        </w:tc>
        <w:tc>
          <w:tcPr>
            <w:tcW w:w="33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E5E5E5"/>
          </w:tcPr>
          <w:p>
            <w:pPr>
              <w:spacing w:after="0"/>
              <w:rPr>
                <w:sz w:val="18"/>
                <w:szCs w:val="18"/>
                <w:color w:val="auto"/>
              </w:rPr>
            </w:pPr>
          </w:p>
        </w:tc>
        <w:tc>
          <w:tcPr>
            <w:tcW w:w="15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shd w:val="clear" w:color="auto" w:fill="E5E5E5"/>
          </w:tcPr>
          <w:p>
            <w:pPr>
              <w:spacing w:after="0"/>
              <w:rPr>
                <w:sz w:val="18"/>
                <w:szCs w:val="18"/>
                <w:color w:val="auto"/>
              </w:rPr>
            </w:pPr>
          </w:p>
        </w:tc>
        <w:tc>
          <w:tcPr>
            <w:tcW w:w="33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140" w:type="dxa"/>
            <w:vAlign w:val="bottom"/>
          </w:tcPr>
          <w:p>
            <w:pPr>
              <w:ind w:left="60"/>
              <w:spacing w:after="0"/>
              <w:rPr>
                <w:sz w:val="20"/>
                <w:szCs w:val="20"/>
                <w:color w:val="auto"/>
              </w:rPr>
            </w:pPr>
            <w:r>
              <w:rPr>
                <w:rFonts w:ascii="Arial" w:cs="Arial" w:eastAsia="Arial" w:hAnsi="Arial"/>
                <w:sz w:val="16"/>
                <w:szCs w:val="16"/>
                <w:color w:val="auto"/>
              </w:rPr>
              <w:t>Wendi Sturgis</w:t>
            </w:r>
          </w:p>
        </w:tc>
        <w:tc>
          <w:tcPr>
            <w:tcW w:w="1580" w:type="dxa"/>
            <w:vAlign w:val="bottom"/>
          </w:tcPr>
          <w:p>
            <w:pPr>
              <w:ind w:left="12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w:t>
            </w:r>
          </w:p>
        </w:tc>
        <w:tc>
          <w:tcPr>
            <w:tcW w:w="10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Significant technology and marketing</w:t>
            </w:r>
          </w:p>
        </w:tc>
        <w:tc>
          <w:tcPr>
            <w:tcW w:w="0" w:type="dxa"/>
            <w:vAlign w:val="bottom"/>
          </w:tcPr>
          <w:p>
            <w:pPr>
              <w:spacing w:after="0"/>
              <w:rPr>
                <w:sz w:val="1"/>
                <w:szCs w:val="1"/>
                <w:color w:val="auto"/>
              </w:rPr>
            </w:pPr>
          </w:p>
        </w:tc>
      </w:tr>
      <w:tr>
        <w:trPr>
          <w:trHeight w:val="146"/>
        </w:trPr>
        <w:tc>
          <w:tcPr>
            <w:tcW w:w="4140" w:type="dxa"/>
            <w:vAlign w:val="bottom"/>
          </w:tcPr>
          <w:p>
            <w:pPr>
              <w:ind w:left="240"/>
              <w:spacing w:after="0" w:line="146" w:lineRule="exact"/>
              <w:rPr>
                <w:sz w:val="20"/>
                <w:szCs w:val="20"/>
                <w:color w:val="auto"/>
              </w:rPr>
            </w:pPr>
            <w:r>
              <w:rPr>
                <w:rFonts w:ascii="Arial" w:cs="Arial" w:eastAsia="Arial" w:hAnsi="Arial"/>
                <w:sz w:val="16"/>
                <w:szCs w:val="16"/>
                <w:i w:val="1"/>
                <w:iCs w:val="1"/>
                <w:color w:val="auto"/>
              </w:rPr>
              <w:t>Chief Executive Officer, cleverbridge</w:t>
            </w:r>
          </w:p>
        </w:tc>
        <w:tc>
          <w:tcPr>
            <w:tcW w:w="1580" w:type="dxa"/>
            <w:vAlign w:val="bottom"/>
            <w:vMerge w:val="restart"/>
          </w:tcPr>
          <w:p>
            <w:pPr>
              <w:ind w:left="280"/>
              <w:spacing w:after="0"/>
              <w:rPr>
                <w:sz w:val="20"/>
                <w:szCs w:val="20"/>
                <w:color w:val="auto"/>
              </w:rPr>
            </w:pPr>
            <w:r>
              <w:rPr>
                <w:rFonts w:ascii="Arial" w:cs="Arial" w:eastAsia="Arial" w:hAnsi="Arial"/>
                <w:sz w:val="16"/>
                <w:szCs w:val="16"/>
                <w:color w:val="auto"/>
              </w:rPr>
              <w:t>Nominating</w:t>
            </w:r>
          </w:p>
        </w:tc>
        <w:tc>
          <w:tcPr>
            <w:tcW w:w="1060" w:type="dxa"/>
            <w:vAlign w:val="bottom"/>
          </w:tcPr>
          <w:p>
            <w:pPr>
              <w:spacing w:after="0"/>
              <w:rPr>
                <w:sz w:val="12"/>
                <w:szCs w:val="12"/>
                <w:color w:val="auto"/>
              </w:rPr>
            </w:pPr>
          </w:p>
        </w:tc>
        <w:tc>
          <w:tcPr>
            <w:tcW w:w="3300" w:type="dxa"/>
            <w:vAlign w:val="bottom"/>
            <w:vMerge w:val="restart"/>
          </w:tcPr>
          <w:p>
            <w:pPr>
              <w:ind w:left="240"/>
              <w:spacing w:after="0"/>
              <w:rPr>
                <w:sz w:val="20"/>
                <w:szCs w:val="20"/>
                <w:color w:val="auto"/>
              </w:rPr>
            </w:pPr>
            <w:r>
              <w:rPr>
                <w:rFonts w:ascii="Arial" w:cs="Arial" w:eastAsia="Arial" w:hAnsi="Arial"/>
                <w:sz w:val="16"/>
                <w:szCs w:val="16"/>
                <w:color w:val="auto"/>
              </w:rPr>
              <w:t>leadership experience</w:t>
            </w:r>
          </w:p>
        </w:tc>
        <w:tc>
          <w:tcPr>
            <w:tcW w:w="0" w:type="dxa"/>
            <w:vAlign w:val="bottom"/>
          </w:tcPr>
          <w:p>
            <w:pPr>
              <w:spacing w:after="0"/>
              <w:rPr>
                <w:sz w:val="1"/>
                <w:szCs w:val="1"/>
                <w:color w:val="auto"/>
              </w:rPr>
            </w:pPr>
          </w:p>
        </w:tc>
      </w:tr>
      <w:tr>
        <w:trPr>
          <w:trHeight w:val="81"/>
        </w:trPr>
        <w:tc>
          <w:tcPr>
            <w:tcW w:w="4140" w:type="dxa"/>
            <w:vAlign w:val="bottom"/>
            <w:vMerge w:val="restart"/>
          </w:tcPr>
          <w:p>
            <w:pPr>
              <w:ind w:left="240"/>
              <w:spacing w:after="0"/>
              <w:rPr>
                <w:sz w:val="20"/>
                <w:szCs w:val="20"/>
                <w:color w:val="auto"/>
              </w:rPr>
            </w:pPr>
            <w:r>
              <w:rPr>
                <w:rFonts w:ascii="Arial" w:cs="Arial" w:eastAsia="Arial" w:hAnsi="Arial"/>
                <w:sz w:val="16"/>
                <w:szCs w:val="16"/>
                <w:i w:val="1"/>
                <w:iCs w:val="1"/>
                <w:color w:val="auto"/>
              </w:rPr>
              <w:t>GmbH</w:t>
            </w:r>
          </w:p>
        </w:tc>
        <w:tc>
          <w:tcPr>
            <w:tcW w:w="15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140" w:type="dxa"/>
            <w:vAlign w:val="bottom"/>
            <w:vMerge w:val="continue"/>
          </w:tcPr>
          <w:p>
            <w:pPr>
              <w:spacing w:after="0"/>
              <w:rPr>
                <w:sz w:val="11"/>
                <w:szCs w:val="11"/>
                <w:color w:val="auto"/>
              </w:rPr>
            </w:pPr>
          </w:p>
        </w:tc>
        <w:tc>
          <w:tcPr>
            <w:tcW w:w="1580" w:type="dxa"/>
            <w:vAlign w:val="bottom"/>
            <w:vMerge w:val="restart"/>
          </w:tcPr>
          <w:p>
            <w:pPr>
              <w:ind w:left="280"/>
              <w:spacing w:after="0"/>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11"/>
                <w:szCs w:val="11"/>
                <w:color w:val="auto"/>
              </w:rPr>
            </w:pPr>
          </w:p>
        </w:tc>
        <w:tc>
          <w:tcPr>
            <w:tcW w:w="3300" w:type="dxa"/>
            <w:vAlign w:val="bottom"/>
            <w:vMerge w:val="restart"/>
          </w:tcPr>
          <w:p>
            <w:pPr>
              <w:ind w:left="8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Extensive executive officer experience,</w:t>
            </w:r>
          </w:p>
        </w:tc>
        <w:tc>
          <w:tcPr>
            <w:tcW w:w="0" w:type="dxa"/>
            <w:vAlign w:val="bottom"/>
          </w:tcPr>
          <w:p>
            <w:pPr>
              <w:spacing w:after="0"/>
              <w:rPr>
                <w:sz w:val="1"/>
                <w:szCs w:val="1"/>
                <w:color w:val="auto"/>
              </w:rPr>
            </w:pPr>
          </w:p>
        </w:tc>
      </w:tr>
      <w:tr>
        <w:trPr>
          <w:trHeight w:val="96"/>
        </w:trPr>
        <w:tc>
          <w:tcPr>
            <w:tcW w:w="41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p>
        </w:tc>
        <w:tc>
          <w:tcPr>
            <w:tcW w:w="1580" w:type="dxa"/>
            <w:vAlign w:val="bottom"/>
          </w:tcPr>
          <w:p>
            <w:pPr>
              <w:ind w:left="120"/>
              <w:spacing w:after="0" w:line="231" w:lineRule="exact"/>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w:t>
            </w:r>
          </w:p>
        </w:tc>
        <w:tc>
          <w:tcPr>
            <w:tcW w:w="1060" w:type="dxa"/>
            <w:vAlign w:val="bottom"/>
          </w:tcPr>
          <w:p>
            <w:pPr>
              <w:spacing w:after="0"/>
              <w:rPr>
                <w:sz w:val="20"/>
                <w:szCs w:val="20"/>
                <w:color w:val="auto"/>
              </w:rPr>
            </w:pPr>
          </w:p>
        </w:tc>
        <w:tc>
          <w:tcPr>
            <w:tcW w:w="3300" w:type="dxa"/>
            <w:vAlign w:val="bottom"/>
          </w:tcPr>
          <w:p>
            <w:pPr>
              <w:ind w:left="240"/>
              <w:spacing w:after="0"/>
              <w:rPr>
                <w:sz w:val="20"/>
                <w:szCs w:val="20"/>
                <w:color w:val="auto"/>
              </w:rPr>
            </w:pPr>
            <w:r>
              <w:rPr>
                <w:rFonts w:ascii="Arial" w:cs="Arial" w:eastAsia="Arial" w:hAnsi="Arial"/>
                <w:sz w:val="16"/>
                <w:szCs w:val="16"/>
                <w:color w:val="auto"/>
              </w:rPr>
              <w:t>including as a founding executive of a</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1580" w:type="dxa"/>
            <w:vAlign w:val="bottom"/>
          </w:tcPr>
          <w:p>
            <w:pPr>
              <w:ind w:left="280"/>
              <w:spacing w:after="0" w:line="181" w:lineRule="exact"/>
              <w:rPr>
                <w:sz w:val="20"/>
                <w:szCs w:val="20"/>
                <w:color w:val="auto"/>
              </w:rPr>
            </w:pPr>
            <w:r>
              <w:rPr>
                <w:rFonts w:ascii="Arial" w:cs="Arial" w:eastAsia="Arial" w:hAnsi="Arial"/>
                <w:sz w:val="16"/>
                <w:szCs w:val="16"/>
                <w:color w:val="auto"/>
              </w:rPr>
              <w:t>Committee</w:t>
            </w:r>
          </w:p>
        </w:tc>
        <w:tc>
          <w:tcPr>
            <w:tcW w:w="1060" w:type="dxa"/>
            <w:vAlign w:val="bottom"/>
          </w:tcPr>
          <w:p>
            <w:pPr>
              <w:spacing w:after="0"/>
              <w:rPr>
                <w:sz w:val="15"/>
                <w:szCs w:val="15"/>
                <w:color w:val="auto"/>
              </w:rPr>
            </w:pPr>
          </w:p>
        </w:tc>
        <w:tc>
          <w:tcPr>
            <w:tcW w:w="3300" w:type="dxa"/>
            <w:vAlign w:val="bottom"/>
          </w:tcPr>
          <w:p>
            <w:pPr>
              <w:ind w:left="240"/>
              <w:spacing w:after="0" w:line="181" w:lineRule="exact"/>
              <w:rPr>
                <w:sz w:val="20"/>
                <w:szCs w:val="20"/>
                <w:color w:val="auto"/>
              </w:rPr>
            </w:pPr>
            <w:r>
              <w:rPr>
                <w:rFonts w:ascii="Arial" w:cs="Arial" w:eastAsia="Arial" w:hAnsi="Arial"/>
                <w:sz w:val="16"/>
                <w:szCs w:val="16"/>
                <w:color w:val="auto"/>
              </w:rPr>
              <w:t>search experience cloud company</w:t>
            </w:r>
          </w:p>
        </w:tc>
        <w:tc>
          <w:tcPr>
            <w:tcW w:w="0" w:type="dxa"/>
            <w:vAlign w:val="bottom"/>
          </w:tcPr>
          <w:p>
            <w:pPr>
              <w:spacing w:after="0"/>
              <w:rPr>
                <w:sz w:val="1"/>
                <w:szCs w:val="1"/>
                <w:color w:val="auto"/>
              </w:rPr>
            </w:pPr>
          </w:p>
        </w:tc>
      </w:tr>
      <w:tr>
        <w:trPr>
          <w:trHeight w:val="276"/>
        </w:trPr>
        <w:tc>
          <w:tcPr>
            <w:tcW w:w="4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Experience addressing cybersecurity</w:t>
            </w:r>
          </w:p>
        </w:tc>
        <w:tc>
          <w:tcPr>
            <w:tcW w:w="0" w:type="dxa"/>
            <w:vAlign w:val="bottom"/>
          </w:tcPr>
          <w:p>
            <w:pPr>
              <w:spacing w:after="0"/>
              <w:rPr>
                <w:sz w:val="1"/>
                <w:szCs w:val="1"/>
                <w:color w:val="auto"/>
              </w:rPr>
            </w:pPr>
          </w:p>
        </w:tc>
      </w:tr>
      <w:tr>
        <w:trPr>
          <w:trHeight w:val="217"/>
        </w:trPr>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00" w:type="dxa"/>
            <w:vAlign w:val="bottom"/>
          </w:tcPr>
          <w:p>
            <w:pPr>
              <w:ind w:left="240"/>
              <w:spacing w:after="0"/>
              <w:rPr>
                <w:sz w:val="20"/>
                <w:szCs w:val="20"/>
                <w:color w:val="auto"/>
              </w:rPr>
            </w:pPr>
            <w:r>
              <w:rPr>
                <w:rFonts w:ascii="Arial" w:cs="Arial" w:eastAsia="Arial" w:hAnsi="Arial"/>
                <w:sz w:val="16"/>
                <w:szCs w:val="16"/>
                <w:color w:val="auto"/>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84455</wp:posOffset>
            </wp:positionV>
            <wp:extent cx="7067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51" w:lineRule="exact"/>
        <w:rPr>
          <w:sz w:val="20"/>
          <w:szCs w:val="20"/>
          <w:color w:val="auto"/>
        </w:rPr>
      </w:pPr>
    </w:p>
    <w:p>
      <w:pPr>
        <w:ind w:left="980" w:hanging="400"/>
        <w:spacing w:after="0"/>
        <w:tabs>
          <w:tab w:leader="none" w:pos="9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elected, Mr. Ekert and Ms. Gonzalez are expected to be appointed to these committees after the 2023 Annual Meeting.</w:t>
      </w:r>
    </w:p>
    <w:p>
      <w:pPr>
        <w:spacing w:after="0" w:line="128" w:lineRule="exact"/>
        <w:rPr>
          <w:sz w:val="20"/>
          <w:szCs w:val="20"/>
          <w:color w:val="auto"/>
        </w:rPr>
      </w:pPr>
    </w:p>
    <w:p>
      <w:pPr>
        <w:ind w:left="580"/>
        <w:spacing w:after="0"/>
        <w:tabs>
          <w:tab w:leader="none" w:pos="900" w:val="left"/>
          <w:tab w:leader="none" w:pos="3720" w:val="left"/>
        </w:tabs>
        <w:rPr>
          <w:sz w:val="20"/>
          <w:szCs w:val="20"/>
          <w:color w:val="auto"/>
        </w:rPr>
      </w:pPr>
      <w:r>
        <w:rPr>
          <w:rFonts w:ascii="Arial" w:cs="Arial" w:eastAsia="Arial" w:hAnsi="Arial"/>
          <w:sz w:val="18"/>
          <w:szCs w:val="18"/>
          <w:b w:val="1"/>
          <w:bCs w:val="1"/>
          <w:color w:val="666666"/>
        </w:rPr>
        <w:t>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7"/>
          <w:szCs w:val="17"/>
          <w:color w:val="CF0A2C"/>
        </w:rPr>
        <w:t>2023 Proxy Statement</w:t>
      </w:r>
    </w:p>
    <w:p>
      <w:pPr>
        <w:sectPr>
          <w:pgSz w:w="11900" w:h="16838" w:orient="portrait"/>
          <w:cols w:equalWidth="0" w:num="1">
            <w:col w:w="10660"/>
          </w:cols>
          <w:pgMar w:left="320" w:top="453" w:right="9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194310</wp:posOffset>
            </wp:positionV>
            <wp:extent cx="1727200" cy="149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27200" cy="149225"/>
                    </a:xfrm>
                    <a:prstGeom prst="rect">
                      <a:avLst/>
                    </a:prstGeom>
                    <a:noFill/>
                  </pic:spPr>
                </pic:pic>
              </a:graphicData>
            </a:graphic>
          </wp:anchor>
        </w:drawing>
      </w:r>
    </w:p>
    <w:p>
      <w:pPr>
        <w:spacing w:after="0" w:line="311" w:lineRule="exact"/>
        <w:rPr>
          <w:sz w:val="20"/>
          <w:szCs w:val="20"/>
          <w:color w:val="auto"/>
        </w:rPr>
      </w:pPr>
    </w:p>
    <w:p>
      <w:pPr>
        <w:ind w:left="8240"/>
        <w:spacing w:after="0"/>
        <w:rPr>
          <w:sz w:val="20"/>
          <w:szCs w:val="20"/>
          <w:color w:val="auto"/>
        </w:rPr>
      </w:pPr>
      <w:r>
        <w:rPr>
          <w:rFonts w:ascii="Arial" w:cs="Arial" w:eastAsia="Arial" w:hAnsi="Arial"/>
          <w:sz w:val="15"/>
          <w:szCs w:val="15"/>
          <w:b w:val="1"/>
          <w:bCs w:val="1"/>
          <w:color w:val="FFFFFF"/>
        </w:rPr>
        <w:t>PROXY STATEMENT SUMMARY</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2023 Omnibus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0"/>
        <w:spacing w:after="0" w:line="234" w:lineRule="auto"/>
        <w:rPr>
          <w:sz w:val="20"/>
          <w:szCs w:val="20"/>
          <w:color w:val="auto"/>
        </w:rPr>
      </w:pPr>
      <w:r>
        <w:rPr>
          <w:rFonts w:ascii="Arial" w:cs="Arial" w:eastAsia="Arial" w:hAnsi="Arial"/>
          <w:sz w:val="18"/>
          <w:szCs w:val="18"/>
          <w:color w:val="auto"/>
        </w:rPr>
        <w:t>We are seeking approval of our 2023 Omnibus Incentive Compensation Plan (the “2023 Omnibus Plan”), which our Board of Directors adopted in March 2023, subject to stockholder approval. As of the date of this proxy statement, we have the 2021 Omnibus Incentive Compensation Plan (the “2021 Omnibus Plan”) in place. We are proposing adoption of the 2023 Omnibus Plan to replace the 2021 Omnibus Plan, which will also increase the number of shares authorized for issuance pursuant to our equity-based compensation plans. The 2023 Omnibus Plan is a critical part of our overall compensation program and is intended to promote the interests of Sabre and our stockholders by providing our employees, who are responsible for the management, growth, and protection of our business, with incentives and rewards to encourage them to continue in the service of Sabre. The 2023 Omnibus Plan is designed to meet these objectives by providing employees with a proprietary interest aligned with the long-term growth, profitability, and financial success of Sabre.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CF0A2C"/>
        </w:rPr>
        <w:t>FOR</w:t>
      </w:r>
      <w:r>
        <w:rPr>
          <w:rFonts w:ascii="Arial" w:cs="Arial" w:eastAsia="Arial" w:hAnsi="Arial"/>
          <w:sz w:val="18"/>
          <w:szCs w:val="18"/>
          <w:color w:val="auto"/>
        </w:rPr>
        <w:t xml:space="preserve"> the approval of the 2023 Omnibus Plan.</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Advisory, Non-Binding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60"/>
        <w:spacing w:after="0" w:line="248" w:lineRule="auto"/>
        <w:rPr>
          <w:sz w:val="20"/>
          <w:szCs w:val="20"/>
          <w:color w:val="auto"/>
        </w:rPr>
      </w:pPr>
      <w:r>
        <w:rPr>
          <w:rFonts w:ascii="Arial" w:cs="Arial" w:eastAsia="Arial" w:hAnsi="Arial"/>
          <w:sz w:val="18"/>
          <w:szCs w:val="18"/>
          <w:color w:val="auto"/>
        </w:rPr>
        <w:t>Stockholders are asked to cast an advisory, non-binding vote on the compensation of our named executive officers, as described in “Compensation Discussion and Analysis” and the executive compensation tables following that section. This is often referred to as a “say-on-pay” proposal.</w:t>
      </w:r>
    </w:p>
    <w:p>
      <w:pPr>
        <w:spacing w:after="0" w:line="150" w:lineRule="exact"/>
        <w:rPr>
          <w:sz w:val="20"/>
          <w:szCs w:val="20"/>
          <w:color w:val="auto"/>
        </w:rPr>
      </w:pPr>
    </w:p>
    <w:p>
      <w:pPr>
        <w:ind w:left="580" w:right="200"/>
        <w:spacing w:after="0" w:line="267"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CF0A2C"/>
        </w:rPr>
        <w:t>FOR</w:t>
      </w:r>
      <w:r>
        <w:rPr>
          <w:rFonts w:ascii="Arial" w:cs="Arial" w:eastAsia="Arial" w:hAnsi="Arial"/>
          <w:sz w:val="18"/>
          <w:szCs w:val="18"/>
          <w:color w:val="auto"/>
        </w:rPr>
        <w:t xml:space="preserve"> the approval of the compensation of our named executive officers, as disclosed in this proxy statement pursuant to the SEC’s compensation disclosure rules.</w:t>
      </w:r>
    </w:p>
    <w:p>
      <w:pPr>
        <w:spacing w:after="0" w:line="72" w:lineRule="exact"/>
        <w:rPr>
          <w:sz w:val="20"/>
          <w:szCs w:val="20"/>
          <w:color w:val="auto"/>
        </w:rPr>
      </w:pPr>
    </w:p>
    <w:tbl>
      <w:tblPr>
        <w:tblLayout w:type="fixed"/>
        <w:tblInd w:w="63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666666"/>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-143510</wp:posOffset>
            </wp:positionV>
            <wp:extent cx="415925" cy="102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083310" cy="149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3310" cy="149225"/>
                    </a:xfrm>
                    <a:prstGeom prst="rect">
                      <a:avLst/>
                    </a:prstGeom>
                    <a:noFill/>
                  </pic:spPr>
                </pic:pic>
              </a:graphicData>
            </a:graphic>
          </wp:anchor>
        </w:drawing>
      </w:r>
    </w:p>
    <w:p>
      <w:pPr>
        <w:spacing w:after="0" w:line="31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165100</wp:posOffset>
            </wp:positionV>
            <wp:extent cx="2040890" cy="494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089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PROXY STATEMENT</w:t>
      </w:r>
    </w:p>
    <w:p>
      <w:pPr>
        <w:spacing w:after="0" w:line="204" w:lineRule="exact"/>
        <w:rPr>
          <w:sz w:val="20"/>
          <w:szCs w:val="20"/>
          <w:color w:val="auto"/>
        </w:rPr>
      </w:pPr>
    </w:p>
    <w:p>
      <w:pPr>
        <w:ind w:left="580" w:right="3320"/>
        <w:spacing w:after="0" w:line="272" w:lineRule="auto"/>
        <w:rPr>
          <w:sz w:val="20"/>
          <w:szCs w:val="20"/>
          <w:color w:val="auto"/>
        </w:rPr>
      </w:pPr>
      <w:r>
        <w:rPr>
          <w:rFonts w:ascii="Arial" w:cs="Arial" w:eastAsia="Arial" w:hAnsi="Arial"/>
          <w:sz w:val="36"/>
          <w:szCs w:val="36"/>
          <w:b w:val="1"/>
          <w:bCs w:val="1"/>
          <w:color w:val="auto"/>
        </w:rPr>
        <w:t>for the Annual Meeting of Stockholders to be held on April 26, 2023</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INFORMATION ABOUT OUR ANNUAL MEETING</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Date and Time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400"/>
        <w:spacing w:after="0" w:line="267" w:lineRule="auto"/>
        <w:rPr>
          <w:sz w:val="20"/>
          <w:szCs w:val="20"/>
          <w:color w:val="auto"/>
        </w:rPr>
      </w:pPr>
      <w:r>
        <w:rPr>
          <w:rFonts w:ascii="Arial" w:cs="Arial" w:eastAsia="Arial" w:hAnsi="Arial"/>
          <w:sz w:val="18"/>
          <w:szCs w:val="18"/>
          <w:color w:val="auto"/>
        </w:rPr>
        <w:t>Our 2023 Annual Meeting will be held on Wednesday, April 26, 2023, at 9:30 a.m. local time, at our Global Headquarters, 3150 Sabre Drive, Southlake, Texas 76092.</w:t>
      </w:r>
    </w:p>
    <w:p>
      <w:pPr>
        <w:spacing w:after="0" w:line="133"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Only stockholders as of the record date and persons holding proxies from stockholders as of the record date may attend the Annual Meeting. If your shares are registered in your name, you must bring a form of government-issued photo identification to the Annual Meeting. If your shares are held in the name of a broker, trust, bank, or other nominee, otherwise known as holding in “street name,” you must bring a proxy or letter from that broker, trust, bank, or other nominee that confirms you are the beneficial owner of those shares, together with a form of government-issued photo identification, to the Annual Meeting. If you are a representative of an entity that owns shares, you must bring a form of government-issued photo identification, evidence that you are the entity’s authorized representative or proxyholder, and, if the entity holds the shares in street name, proof of the entity’s beneficial ownership to the Annual Meeting. If you are a proxyholder, you must bring a valid legal proxy and a form of government-issued photo identification to the Annual Meeting. Use of cameras and recording devices will not be permitted at the Annual Meeting.</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Record Date; Mailing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The Board of Directors established the close of business on February 28, 2023 as the record date for determining the holders of Sabre stock entitled to notice of and to vote at the Annual Meeting.</w:t>
      </w:r>
    </w:p>
    <w:p>
      <w:pPr>
        <w:spacing w:after="0" w:line="133" w:lineRule="exact"/>
        <w:rPr>
          <w:sz w:val="20"/>
          <w:szCs w:val="20"/>
          <w:color w:val="auto"/>
        </w:rPr>
      </w:pPr>
    </w:p>
    <w:p>
      <w:pPr>
        <w:ind w:left="580" w:right="20"/>
        <w:spacing w:after="0" w:line="248" w:lineRule="auto"/>
        <w:rPr>
          <w:sz w:val="20"/>
          <w:szCs w:val="20"/>
          <w:color w:val="auto"/>
        </w:rPr>
      </w:pPr>
      <w:r>
        <w:rPr>
          <w:rFonts w:ascii="Arial" w:cs="Arial" w:eastAsia="Arial" w:hAnsi="Arial"/>
          <w:sz w:val="18"/>
          <w:szCs w:val="18"/>
          <w:color w:val="auto"/>
        </w:rPr>
        <w:t>On the record date, 328,592,810 shares of our common stock were outstanding and entitled to vote at the Annual Meeting. Each share of common stock outstanding is entitled to one vote for each director nominee and one vote for each other item to be voted on at the Annual Meeting.</w:t>
      </w:r>
    </w:p>
    <w:p>
      <w:pPr>
        <w:spacing w:after="0" w:line="150" w:lineRule="exact"/>
        <w:rPr>
          <w:sz w:val="20"/>
          <w:szCs w:val="20"/>
          <w:color w:val="auto"/>
        </w:rPr>
      </w:pPr>
    </w:p>
    <w:p>
      <w:pPr>
        <w:ind w:left="580" w:right="440"/>
        <w:spacing w:after="0" w:line="267" w:lineRule="auto"/>
        <w:rPr>
          <w:sz w:val="20"/>
          <w:szCs w:val="20"/>
          <w:color w:val="auto"/>
        </w:rPr>
      </w:pPr>
      <w:r>
        <w:rPr>
          <w:rFonts w:ascii="Arial" w:cs="Arial" w:eastAsia="Arial" w:hAnsi="Arial"/>
          <w:sz w:val="18"/>
          <w:szCs w:val="18"/>
          <w:color w:val="auto"/>
        </w:rPr>
        <w:t>We are first mailing this proxy statement and the accompanying proxy materials to holders of Sabre common stock on or about March 16, 2023.</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Notice of Electronic Availability of Proxy Statement and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right="500"/>
        <w:spacing w:after="0" w:line="267" w:lineRule="auto"/>
        <w:rPr>
          <w:sz w:val="20"/>
          <w:szCs w:val="20"/>
          <w:color w:val="auto"/>
        </w:rPr>
      </w:pPr>
      <w:r>
        <w:rPr>
          <w:rFonts w:ascii="Arial" w:cs="Arial" w:eastAsia="Arial" w:hAnsi="Arial"/>
          <w:sz w:val="18"/>
          <w:szCs w:val="18"/>
          <w:color w:val="auto"/>
        </w:rPr>
        <w:t>As permitted by rules of the Securities and Exchange Commission (“SEC”), we are making this proxy statement and our annual report available to our stockholders electronically via the Internet. This reduces</w:t>
      </w:r>
    </w:p>
    <w:p>
      <w:pPr>
        <w:spacing w:after="0" w:line="72" w:lineRule="exact"/>
        <w:rPr>
          <w:sz w:val="20"/>
          <w:szCs w:val="20"/>
          <w:color w:val="auto"/>
        </w:rPr>
      </w:pPr>
    </w:p>
    <w:p>
      <w:pPr>
        <w:ind w:left="580"/>
        <w:spacing w:after="0"/>
        <w:tabs>
          <w:tab w:leader="none" w:pos="900" w:val="left"/>
          <w:tab w:leader="none" w:pos="3720" w:val="left"/>
        </w:tabs>
        <w:rPr>
          <w:sz w:val="20"/>
          <w:szCs w:val="20"/>
          <w:color w:val="auto"/>
        </w:rPr>
      </w:pPr>
      <w:r>
        <w:rPr>
          <w:rFonts w:ascii="Arial" w:cs="Arial" w:eastAsia="Arial" w:hAnsi="Arial"/>
          <w:sz w:val="18"/>
          <w:szCs w:val="18"/>
          <w:b w:val="1"/>
          <w:bCs w:val="1"/>
          <w:color w:val="666666"/>
        </w:rPr>
        <w:t>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7"/>
          <w:szCs w:val="17"/>
          <w:color w:val="CF0A2C"/>
        </w:rPr>
        <w:t>2023 Proxy Statement</w:t>
      </w:r>
    </w:p>
    <w:p>
      <w:pPr>
        <w:sectPr>
          <w:pgSz w:w="11900" w:h="16838" w:orient="portrait"/>
          <w:cols w:equalWidth="0" w:num="1">
            <w:col w:w="10660"/>
          </w:cols>
          <w:pgMar w:left="320" w:top="453" w:right="9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5628005</wp:posOffset>
            </wp:positionH>
            <wp:positionV relativeFrom="paragraph">
              <wp:posOffset>194310</wp:posOffset>
            </wp:positionV>
            <wp:extent cx="1146175" cy="149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6175" cy="149225"/>
                    </a:xfrm>
                    <a:prstGeom prst="rect">
                      <a:avLst/>
                    </a:prstGeom>
                    <a:noFill/>
                  </pic:spPr>
                </pic:pic>
              </a:graphicData>
            </a:graphic>
          </wp:anchor>
        </w:drawing>
      </w:r>
    </w:p>
    <w:p>
      <w:pPr>
        <w:spacing w:after="0" w:line="311"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FFFFFF"/>
        </w:rPr>
        <w:t>PROXY STATEMENT</w:t>
      </w:r>
    </w:p>
    <w:p>
      <w:pPr>
        <w:spacing w:after="0" w:line="239" w:lineRule="exact"/>
        <w:rPr>
          <w:sz w:val="20"/>
          <w:szCs w:val="20"/>
          <w:color w:val="auto"/>
        </w:rPr>
      </w:pPr>
    </w:p>
    <w:p>
      <w:pPr>
        <w:ind w:left="580"/>
        <w:spacing w:after="0" w:line="242" w:lineRule="auto"/>
        <w:rPr>
          <w:sz w:val="20"/>
          <w:szCs w:val="20"/>
          <w:color w:val="auto"/>
        </w:rPr>
      </w:pPr>
      <w:r>
        <w:rPr>
          <w:rFonts w:ascii="Arial" w:cs="Arial" w:eastAsia="Arial" w:hAnsi="Arial"/>
          <w:sz w:val="18"/>
          <w:szCs w:val="18"/>
          <w:color w:val="auto"/>
        </w:rPr>
        <w:t>printing and delivery costs and supports our sustainability efforts. You may have received in the mail a “Notice of Electronic Availability” explaining how to access this proxy statement and our annual report on the Internet and how to vote online. If you received this Notice but would like to receive a paper copy of the proxy materials, you should follow the instructions contained in the Notice for requesting these materials.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00"/>
        <w:spacing w:after="0" w:line="253" w:lineRule="auto"/>
        <w:rPr>
          <w:sz w:val="20"/>
          <w:szCs w:val="20"/>
          <w:color w:val="auto"/>
        </w:rPr>
      </w:pPr>
      <w:r>
        <w:rPr>
          <w:rFonts w:ascii="Arial" w:cs="Arial" w:eastAsia="Arial" w:hAnsi="Arial"/>
          <w:sz w:val="18"/>
          <w:szCs w:val="18"/>
          <w:color w:val="auto"/>
        </w:rPr>
        <w:t>You may direct how your shares are voted by proxy, without attending the Annual Meeting. The manner in which your shares may be voted by proxy depends on whether you are a:</w:t>
      </w:r>
    </w:p>
    <w:p>
      <w:pPr>
        <w:spacing w:after="0" w:line="70" w:lineRule="exact"/>
        <w:rPr>
          <w:sz w:val="20"/>
          <w:szCs w:val="20"/>
          <w:color w:val="auto"/>
        </w:rPr>
      </w:pPr>
    </w:p>
    <w:p>
      <w:pPr>
        <w:ind w:left="780" w:right="540" w:hanging="200"/>
        <w:spacing w:after="0" w:line="186" w:lineRule="auto"/>
        <w:tabs>
          <w:tab w:leader="none" w:pos="780" w:val="left"/>
        </w:tabs>
        <w:numPr>
          <w:ilvl w:val="0"/>
          <w:numId w:val="8"/>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Registered stockholder</w:t>
      </w:r>
      <w:r>
        <w:rPr>
          <w:rFonts w:ascii="Arial" w:cs="Arial" w:eastAsia="Arial" w:hAnsi="Arial"/>
          <w:sz w:val="15"/>
          <w:szCs w:val="15"/>
          <w:color w:val="auto"/>
        </w:rPr>
        <w:t>. Your shares are represented by certificates or book entries in your name on the records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Sabre’s stock transfer agent, American Stock Transfer &amp; Trust Company, LLC, or</w:t>
      </w:r>
    </w:p>
    <w:p>
      <w:pPr>
        <w:spacing w:after="0" w:line="1" w:lineRule="exact"/>
        <w:rPr>
          <w:rFonts w:ascii="Arial" w:cs="Arial" w:eastAsia="Arial" w:hAnsi="Arial"/>
          <w:sz w:val="34"/>
          <w:szCs w:val="34"/>
          <w:color w:val="auto"/>
          <w:vertAlign w:val="subscript"/>
        </w:rPr>
      </w:pPr>
    </w:p>
    <w:p>
      <w:pPr>
        <w:ind w:left="780" w:hanging="200"/>
        <w:spacing w:after="0" w:line="183" w:lineRule="auto"/>
        <w:tabs>
          <w:tab w:leader="none" w:pos="780" w:val="left"/>
        </w:tabs>
        <w:numPr>
          <w:ilvl w:val="0"/>
          <w:numId w:val="8"/>
        </w:numPr>
        <w:rPr>
          <w:rFonts w:ascii="Arial" w:cs="Arial" w:eastAsia="Arial" w:hAnsi="Arial"/>
          <w:sz w:val="36"/>
          <w:szCs w:val="36"/>
          <w:color w:val="auto"/>
          <w:vertAlign w:val="subscript"/>
        </w:rPr>
      </w:pPr>
      <w:r>
        <w:rPr>
          <w:rFonts w:ascii="Arial" w:cs="Arial" w:eastAsia="Arial" w:hAnsi="Arial"/>
          <w:sz w:val="16"/>
          <w:szCs w:val="16"/>
          <w:b w:val="1"/>
          <w:bCs w:val="1"/>
          <w:i w:val="1"/>
          <w:iCs w:val="1"/>
          <w:color w:val="auto"/>
        </w:rPr>
        <w:t>Beneficial stockholder</w:t>
      </w:r>
      <w:r>
        <w:rPr>
          <w:rFonts w:ascii="Arial" w:cs="Arial" w:eastAsia="Arial" w:hAnsi="Arial"/>
          <w:sz w:val="16"/>
          <w:szCs w:val="16"/>
          <w:color w:val="auto"/>
        </w:rPr>
        <w:t>. You hold your shares in “street name” through a broker, trust, bank, or other nominee.</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You may vote your shares by proxy in any of the following three ways:</w:t>
      </w:r>
    </w:p>
    <w:p>
      <w:pPr>
        <w:spacing w:after="0" w:line="102" w:lineRule="exact"/>
        <w:rPr>
          <w:sz w:val="20"/>
          <w:szCs w:val="20"/>
          <w:color w:val="auto"/>
        </w:rPr>
      </w:pPr>
    </w:p>
    <w:p>
      <w:pPr>
        <w:ind w:left="780" w:right="60" w:hanging="200"/>
        <w:spacing w:after="0" w:line="182" w:lineRule="auto"/>
        <w:tabs>
          <w:tab w:leader="none" w:pos="780" w:val="left"/>
        </w:tabs>
        <w:numPr>
          <w:ilvl w:val="0"/>
          <w:numId w:val="9"/>
        </w:numPr>
        <w:rPr>
          <w:rFonts w:ascii="Arial" w:cs="Arial" w:eastAsia="Arial" w:hAnsi="Arial"/>
          <w:sz w:val="46"/>
          <w:szCs w:val="46"/>
          <w:color w:val="auto"/>
          <w:vertAlign w:val="subscript"/>
        </w:rPr>
      </w:pPr>
      <w:r>
        <w:rPr>
          <w:rFonts w:ascii="Arial" w:cs="Arial" w:eastAsia="Arial" w:hAnsi="Arial"/>
          <w:sz w:val="18"/>
          <w:szCs w:val="18"/>
          <w:b w:val="1"/>
          <w:bCs w:val="1"/>
          <w:i w:val="1"/>
          <w:iCs w:val="1"/>
          <w:color w:val="auto"/>
        </w:rPr>
        <w:t>Using the Internet</w:t>
      </w:r>
      <w:r>
        <w:rPr>
          <w:rFonts w:ascii="Arial" w:cs="Arial" w:eastAsia="Arial" w:hAnsi="Arial"/>
          <w:sz w:val="18"/>
          <w:szCs w:val="18"/>
          <w:color w:val="auto"/>
        </w:rPr>
        <w:t>. Registered stockholders may submit their proxies using the Internet by going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www.proxypush.com/SABR</w:t>
      </w:r>
      <w:r>
        <w:rPr>
          <w:rFonts w:ascii="Arial" w:cs="Arial" w:eastAsia="Arial" w:hAnsi="Arial"/>
          <w:sz w:val="18"/>
          <w:szCs w:val="18"/>
          <w:color w:val="auto"/>
        </w:rPr>
        <w:t xml:space="preserve"> and following the instructions. Beneficial stockholders may submit their proxies by accessing the website specified on the voting instruction forms provided by their brokers, trusts, banks or other nominees. You will be required to enter the control number that is included on the voting instruction form provided by your broker, trust, bank, or other nominee.</w:t>
      </w:r>
    </w:p>
    <w:p>
      <w:pPr>
        <w:spacing w:after="0" w:line="71" w:lineRule="exact"/>
        <w:rPr>
          <w:rFonts w:ascii="Arial" w:cs="Arial" w:eastAsia="Arial" w:hAnsi="Arial"/>
          <w:sz w:val="46"/>
          <w:szCs w:val="46"/>
          <w:color w:val="auto"/>
          <w:vertAlign w:val="subscript"/>
        </w:rPr>
      </w:pPr>
    </w:p>
    <w:p>
      <w:pPr>
        <w:ind w:left="780" w:right="240" w:hanging="200"/>
        <w:spacing w:after="0" w:line="182" w:lineRule="auto"/>
        <w:tabs>
          <w:tab w:leader="none" w:pos="780" w:val="left"/>
        </w:tabs>
        <w:numPr>
          <w:ilvl w:val="0"/>
          <w:numId w:val="9"/>
        </w:numPr>
        <w:rPr>
          <w:rFonts w:ascii="Arial" w:cs="Arial" w:eastAsia="Arial" w:hAnsi="Arial"/>
          <w:sz w:val="46"/>
          <w:szCs w:val="46"/>
          <w:color w:val="auto"/>
          <w:vertAlign w:val="subscript"/>
        </w:rPr>
      </w:pPr>
      <w:r>
        <w:rPr>
          <w:rFonts w:ascii="Arial" w:cs="Arial" w:eastAsia="Arial" w:hAnsi="Arial"/>
          <w:sz w:val="18"/>
          <w:szCs w:val="18"/>
          <w:b w:val="1"/>
          <w:bCs w:val="1"/>
          <w:i w:val="1"/>
          <w:iCs w:val="1"/>
          <w:color w:val="auto"/>
        </w:rPr>
        <w:t>By Telephone</w:t>
      </w:r>
      <w:r>
        <w:rPr>
          <w:rFonts w:ascii="Arial" w:cs="Arial" w:eastAsia="Arial" w:hAnsi="Arial"/>
          <w:sz w:val="18"/>
          <w:szCs w:val="18"/>
          <w:color w:val="auto"/>
        </w:rPr>
        <w:t>. Registered stockholders may submit their proxies, from within the United States, using any touch-tone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by calling (866) 206-5104 and following the recorded instructions. Beneficial owners may submit their proxies, from within the United States, using any touch-tone telephone by calling the number specified on the voting instruction forms provided by their brokers, trusts, banks or other nominees. You will be required to enter the control number that is included on the voting instruction form provided by your broker, trust, bank, or other nominee.</w:t>
      </w:r>
    </w:p>
    <w:p>
      <w:pPr>
        <w:spacing w:after="0" w:line="71" w:lineRule="exact"/>
        <w:rPr>
          <w:rFonts w:ascii="Arial" w:cs="Arial" w:eastAsia="Arial" w:hAnsi="Arial"/>
          <w:sz w:val="46"/>
          <w:szCs w:val="46"/>
          <w:color w:val="auto"/>
          <w:vertAlign w:val="subscript"/>
        </w:rPr>
      </w:pPr>
    </w:p>
    <w:p>
      <w:pPr>
        <w:ind w:left="780" w:right="80" w:hanging="200"/>
        <w:spacing w:after="0" w:line="185" w:lineRule="auto"/>
        <w:tabs>
          <w:tab w:leader="none" w:pos="780" w:val="left"/>
        </w:tabs>
        <w:numPr>
          <w:ilvl w:val="0"/>
          <w:numId w:val="9"/>
        </w:numPr>
        <w:rPr>
          <w:rFonts w:ascii="Arial" w:cs="Arial" w:eastAsia="Arial" w:hAnsi="Arial"/>
          <w:sz w:val="43"/>
          <w:szCs w:val="43"/>
          <w:color w:val="auto"/>
          <w:vertAlign w:val="subscript"/>
        </w:rPr>
      </w:pPr>
      <w:r>
        <w:rPr>
          <w:rFonts w:ascii="Arial" w:cs="Arial" w:eastAsia="Arial" w:hAnsi="Arial"/>
          <w:sz w:val="17"/>
          <w:szCs w:val="17"/>
          <w:b w:val="1"/>
          <w:bCs w:val="1"/>
          <w:i w:val="1"/>
          <w:iCs w:val="1"/>
          <w:color w:val="auto"/>
        </w:rPr>
        <w:t>By Mail</w:t>
      </w:r>
      <w:r>
        <w:rPr>
          <w:rFonts w:ascii="Arial" w:cs="Arial" w:eastAsia="Arial" w:hAnsi="Arial"/>
          <w:sz w:val="17"/>
          <w:szCs w:val="17"/>
          <w:color w:val="auto"/>
        </w:rPr>
        <w:t>. Registered stockholders that received printed proxy materials may submit proxies by mail by marking, signing,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dating the printed proxy cards and mailing them in the accompanying postage-paid envelopes. Beneficial owners may submit their proxies by marking, signing, and dating the voting instruction forms provided by their brokers, trusts, banks, or other nominees and mailing them in the accompanying postage-paid envelopes.</w:t>
      </w:r>
    </w:p>
    <w:p>
      <w:pPr>
        <w:spacing w:after="0" w:line="156" w:lineRule="exact"/>
        <w:rPr>
          <w:sz w:val="20"/>
          <w:szCs w:val="20"/>
          <w:color w:val="auto"/>
        </w:rPr>
      </w:pPr>
    </w:p>
    <w:p>
      <w:pPr>
        <w:ind w:left="580" w:right="80"/>
        <w:spacing w:after="0" w:line="248" w:lineRule="auto"/>
        <w:rPr>
          <w:sz w:val="20"/>
          <w:szCs w:val="20"/>
          <w:color w:val="auto"/>
        </w:rPr>
      </w:pPr>
      <w:r>
        <w:rPr>
          <w:rFonts w:ascii="Arial" w:cs="Arial" w:eastAsia="Arial" w:hAnsi="Arial"/>
          <w:sz w:val="18"/>
          <w:szCs w:val="18"/>
          <w:color w:val="auto"/>
        </w:rPr>
        <w:t>Please note that if you received a Notice of Electronic Availability, you cannot vote your shares by filling out and returning the Notice. Instead, you should follow the instructions contained in the Notice on how to submit a proxy by using the Internet or telephone.</w:t>
      </w:r>
    </w:p>
    <w:p>
      <w:pPr>
        <w:spacing w:after="0" w:line="150" w:lineRule="exact"/>
        <w:rPr>
          <w:sz w:val="20"/>
          <w:szCs w:val="20"/>
          <w:color w:val="auto"/>
        </w:rPr>
      </w:pPr>
    </w:p>
    <w:p>
      <w:pPr>
        <w:ind w:left="580" w:right="120"/>
        <w:spacing w:after="0" w:line="245" w:lineRule="auto"/>
        <w:rPr>
          <w:sz w:val="20"/>
          <w:szCs w:val="20"/>
          <w:color w:val="auto"/>
        </w:rPr>
      </w:pPr>
      <w:r>
        <w:rPr>
          <w:rFonts w:ascii="Arial" w:cs="Arial" w:eastAsia="Arial" w:hAnsi="Arial"/>
          <w:sz w:val="18"/>
          <w:szCs w:val="18"/>
          <w:color w:val="auto"/>
        </w:rPr>
        <w:t>All proxies properly submitted and not revoked will be voted at the Annual Meeting in accordance with the instructions indicated on the proxies. If you are a stockholder of record and submit your signed proxy voting instructions but do not direct how to vote on each item, the persons named as proxies will vote your shares as follows:</w:t>
      </w:r>
    </w:p>
    <w:p>
      <w:pPr>
        <w:ind w:left="780" w:hanging="200"/>
        <w:spacing w:after="0" w:line="184" w:lineRule="auto"/>
        <w:tabs>
          <w:tab w:leader="none" w:pos="780" w:val="left"/>
        </w:tabs>
        <w:numPr>
          <w:ilvl w:val="0"/>
          <w:numId w:val="10"/>
        </w:numPr>
        <w:rPr>
          <w:rFonts w:ascii="Arial" w:cs="Arial" w:eastAsia="Arial" w:hAnsi="Arial"/>
          <w:sz w:val="36"/>
          <w:szCs w:val="36"/>
          <w:b w:val="1"/>
          <w:bCs w:val="1"/>
          <w:color w:val="auto"/>
          <w:vertAlign w:val="subscript"/>
        </w:rPr>
      </w:pPr>
      <w:r>
        <w:rPr>
          <w:rFonts w:ascii="Arial" w:cs="Arial" w:eastAsia="Arial" w:hAnsi="Arial"/>
          <w:sz w:val="16"/>
          <w:szCs w:val="16"/>
          <w:b w:val="1"/>
          <w:bCs w:val="1"/>
          <w:color w:val="auto"/>
        </w:rPr>
        <w:t>FOR the election of the twelve directors named in this proxy statement,</w:t>
      </w:r>
    </w:p>
    <w:p>
      <w:pPr>
        <w:spacing w:after="0" w:line="70" w:lineRule="exact"/>
        <w:rPr>
          <w:rFonts w:ascii="Arial" w:cs="Arial" w:eastAsia="Arial" w:hAnsi="Arial"/>
          <w:sz w:val="36"/>
          <w:szCs w:val="36"/>
          <w:b w:val="1"/>
          <w:bCs w:val="1"/>
          <w:color w:val="auto"/>
          <w:vertAlign w:val="subscript"/>
        </w:rPr>
      </w:pPr>
    </w:p>
    <w:p>
      <w:pPr>
        <w:ind w:left="780" w:hanging="200"/>
        <w:spacing w:after="0" w:line="181" w:lineRule="auto"/>
        <w:tabs>
          <w:tab w:leader="none" w:pos="780" w:val="left"/>
        </w:tabs>
        <w:numPr>
          <w:ilvl w:val="0"/>
          <w:numId w:val="10"/>
        </w:numPr>
        <w:rPr>
          <w:rFonts w:ascii="Arial" w:cs="Arial" w:eastAsia="Arial" w:hAnsi="Arial"/>
          <w:sz w:val="36"/>
          <w:szCs w:val="36"/>
          <w:b w:val="1"/>
          <w:bCs w:val="1"/>
          <w:color w:val="auto"/>
          <w:vertAlign w:val="subscript"/>
        </w:rPr>
      </w:pPr>
      <w:r>
        <w:rPr>
          <w:rFonts w:ascii="Arial" w:cs="Arial" w:eastAsia="Arial" w:hAnsi="Arial"/>
          <w:sz w:val="16"/>
          <w:szCs w:val="16"/>
          <w:b w:val="1"/>
          <w:bCs w:val="1"/>
          <w:color w:val="auto"/>
        </w:rPr>
        <w:t>FOR the ratification of the appointment of our independent auditors,</w:t>
      </w:r>
    </w:p>
    <w:p>
      <w:pPr>
        <w:spacing w:after="0" w:line="162" w:lineRule="exact"/>
        <w:rPr>
          <w:sz w:val="20"/>
          <w:szCs w:val="20"/>
          <w:color w:val="auto"/>
        </w:rPr>
      </w:pPr>
    </w:p>
    <w:tbl>
      <w:tblPr>
        <w:tblLayout w:type="fixed"/>
        <w:tblInd w:w="63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666666"/>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-143510</wp:posOffset>
            </wp:positionV>
            <wp:extent cx="415925" cy="102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083310" cy="149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3310" cy="149225"/>
                    </a:xfrm>
                    <a:prstGeom prst="rect">
                      <a:avLst/>
                    </a:prstGeom>
                    <a:noFill/>
                  </pic:spPr>
                </pic:pic>
              </a:graphicData>
            </a:graphic>
          </wp:anchor>
        </w:drawing>
      </w:r>
    </w:p>
    <w:p>
      <w:pPr>
        <w:spacing w:after="0" w:line="31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rPr>
        <w:t>PROXY STATEMENT</w:t>
      </w:r>
    </w:p>
    <w:p>
      <w:pPr>
        <w:ind w:left="780" w:hanging="200"/>
        <w:spacing w:after="0" w:line="220" w:lineRule="auto"/>
        <w:tabs>
          <w:tab w:leader="none" w:pos="780" w:val="left"/>
        </w:tabs>
        <w:numPr>
          <w:ilvl w:val="0"/>
          <w:numId w:val="11"/>
        </w:numPr>
        <w:rPr>
          <w:rFonts w:ascii="Arial" w:cs="Arial" w:eastAsia="Arial" w:hAnsi="Arial"/>
          <w:sz w:val="46"/>
          <w:szCs w:val="46"/>
          <w:b w:val="1"/>
          <w:bCs w:val="1"/>
          <w:color w:val="auto"/>
          <w:vertAlign w:val="subscript"/>
        </w:rPr>
      </w:pPr>
      <w:r>
        <w:rPr>
          <w:rFonts w:ascii="Arial" w:cs="Arial" w:eastAsia="Arial" w:hAnsi="Arial"/>
          <w:sz w:val="18"/>
          <w:szCs w:val="18"/>
          <w:b w:val="1"/>
          <w:bCs w:val="1"/>
          <w:color w:val="auto"/>
        </w:rPr>
        <w:t>FOR the approval of the 2023 Omnibus Incentive Compensation Plan, and</w:t>
      </w:r>
    </w:p>
    <w:p>
      <w:pPr>
        <w:spacing w:after="0" w:line="71" w:lineRule="exact"/>
        <w:rPr>
          <w:rFonts w:ascii="Arial" w:cs="Arial" w:eastAsia="Arial" w:hAnsi="Arial"/>
          <w:sz w:val="46"/>
          <w:szCs w:val="46"/>
          <w:b w:val="1"/>
          <w:bCs w:val="1"/>
          <w:color w:val="auto"/>
          <w:vertAlign w:val="subscript"/>
        </w:rPr>
      </w:pPr>
    </w:p>
    <w:p>
      <w:pPr>
        <w:ind w:left="780" w:hanging="200"/>
        <w:spacing w:after="0" w:line="181" w:lineRule="auto"/>
        <w:tabs>
          <w:tab w:leader="none" w:pos="780" w:val="left"/>
        </w:tabs>
        <w:numPr>
          <w:ilvl w:val="0"/>
          <w:numId w:val="11"/>
        </w:numPr>
        <w:rPr>
          <w:rFonts w:ascii="Arial" w:cs="Arial" w:eastAsia="Arial" w:hAnsi="Arial"/>
          <w:sz w:val="36"/>
          <w:szCs w:val="36"/>
          <w:b w:val="1"/>
          <w:bCs w:val="1"/>
          <w:color w:val="auto"/>
          <w:vertAlign w:val="subscript"/>
        </w:rPr>
      </w:pPr>
      <w:r>
        <w:rPr>
          <w:rFonts w:ascii="Arial" w:cs="Arial" w:eastAsia="Arial" w:hAnsi="Arial"/>
          <w:sz w:val="16"/>
          <w:szCs w:val="16"/>
          <w:b w:val="1"/>
          <w:bCs w:val="1"/>
          <w:color w:val="auto"/>
        </w:rPr>
        <w:t>FOR the advisory, non-binding vote on the compensation of our named executive officers.</w:t>
      </w:r>
    </w:p>
    <w:p>
      <w:pPr>
        <w:spacing w:after="0" w:line="223"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You may also vote in person at the Annual Meeting. Votes in person will replace any previous votes you have made by mail, telephone, or the Internet. We will provide a ballot to registered stockholders who request one at the meeting. Shares held in your name as the stockholder of record may be voted on that ballot. Shares held beneficially in street name may be voted on a ballot only if you bring a legal proxy from the broker, trust, bank, or other nominee that holds your shares giving you the right to vote the shares. Attendance at the Annual Meeting without voting or revoking a previous proxy in accordance with the voting procedures will not in and of itself revoke a previously submitted proxy.</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How to Revoke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stockholder of record submitting a proxy has the power to revoke the proxy at any time prior to its exercise by</w:t>
      </w:r>
    </w:p>
    <w:p>
      <w:pPr>
        <w:spacing w:after="0" w:line="9" w:lineRule="exact"/>
        <w:rPr>
          <w:sz w:val="20"/>
          <w:szCs w:val="20"/>
          <w:color w:val="auto"/>
        </w:rPr>
      </w:pPr>
    </w:p>
    <w:p>
      <w:pPr>
        <w:jc w:val="both"/>
        <w:ind w:left="580" w:right="40"/>
        <w:spacing w:after="0" w:line="238" w:lineRule="auto"/>
        <w:tabs>
          <w:tab w:leader="none" w:pos="8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 new proxy with a later date or time, including a proxy given over the Internet or by telephone, (2) notifying our Corporate Secretary at 3150 Sabre Drive, Southlake, Texas 76092 in writing, which notice must be received by the Corporate Secretary before the meeting, or (3) voting during the Annual Meeting.</w:t>
      </w:r>
    </w:p>
    <w:p>
      <w:pPr>
        <w:spacing w:after="0" w:line="157" w:lineRule="exact"/>
        <w:rPr>
          <w:sz w:val="20"/>
          <w:szCs w:val="20"/>
          <w:color w:val="auto"/>
        </w:rPr>
      </w:pPr>
    </w:p>
    <w:p>
      <w:pPr>
        <w:ind w:left="580" w:right="60"/>
        <w:spacing w:after="0" w:line="267" w:lineRule="auto"/>
        <w:rPr>
          <w:sz w:val="20"/>
          <w:szCs w:val="20"/>
          <w:color w:val="auto"/>
        </w:rPr>
      </w:pPr>
      <w:r>
        <w:rPr>
          <w:rFonts w:ascii="Arial" w:cs="Arial" w:eastAsia="Arial" w:hAnsi="Arial"/>
          <w:sz w:val="18"/>
          <w:szCs w:val="18"/>
          <w:color w:val="auto"/>
        </w:rPr>
        <w:t>If you are a beneficial stockholder, you may revoke your proxy or change your vote only by following the separate instructions provided by your broker, trust, bank, or other nominee.</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80"/>
        <w:spacing w:after="0" w:line="242" w:lineRule="auto"/>
        <w:rPr>
          <w:sz w:val="20"/>
          <w:szCs w:val="20"/>
          <w:color w:val="auto"/>
        </w:rPr>
      </w:pPr>
      <w:r>
        <w:rPr>
          <w:rFonts w:ascii="Arial" w:cs="Arial" w:eastAsia="Arial" w:hAnsi="Arial"/>
          <w:sz w:val="18"/>
          <w:szCs w:val="18"/>
          <w:color w:val="auto"/>
        </w:rPr>
        <w:t>Transaction of business at the Annual Meeting may occur if a quorum is present. The presence at the Annual Meeting, in person or by proxy, of the holders of a majority in voting power of the outstanding shares of capital stock entitled to be voted at the meeting, present in person or by proxy, constitutes a quorum. If a quorum is not reached, the Annual Meeting will be adjourned until a later time.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jc w:val="both"/>
        <w:ind w:left="580" w:right="60"/>
        <w:spacing w:after="0" w:line="248" w:lineRule="auto"/>
        <w:rPr>
          <w:sz w:val="20"/>
          <w:szCs w:val="20"/>
          <w:color w:val="auto"/>
        </w:rPr>
      </w:pPr>
      <w:r>
        <w:rPr>
          <w:rFonts w:ascii="Arial" w:cs="Arial" w:eastAsia="Arial" w:hAnsi="Arial"/>
          <w:sz w:val="18"/>
          <w:szCs w:val="18"/>
          <w:b w:val="1"/>
          <w:bCs w:val="1"/>
          <w:i w:val="1"/>
          <w:iCs w:val="1"/>
          <w:color w:val="auto"/>
        </w:rPr>
        <w:t>Item 1: Election of Directors</w:t>
      </w:r>
      <w:r>
        <w:rPr>
          <w:rFonts w:ascii="Arial" w:cs="Arial" w:eastAsia="Arial" w:hAnsi="Arial"/>
          <w:sz w:val="18"/>
          <w:szCs w:val="18"/>
          <w:color w:val="auto"/>
        </w:rPr>
        <w:t>. The election of each director will be determined by the vote of a majority of the votes cast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that director’s election, requiring the number of votes cast “for” a director’s election to exceed the number of votes cast “against” that director.</w:t>
      </w:r>
    </w:p>
    <w:p>
      <w:pPr>
        <w:spacing w:after="0" w:line="150" w:lineRule="exact"/>
        <w:rPr>
          <w:sz w:val="20"/>
          <w:szCs w:val="20"/>
          <w:color w:val="auto"/>
        </w:rPr>
      </w:pPr>
    </w:p>
    <w:p>
      <w:pPr>
        <w:ind w:left="580" w:right="120"/>
        <w:spacing w:after="0" w:line="267" w:lineRule="auto"/>
        <w:rPr>
          <w:sz w:val="20"/>
          <w:szCs w:val="20"/>
          <w:color w:val="auto"/>
        </w:rPr>
      </w:pPr>
      <w:r>
        <w:rPr>
          <w:rFonts w:ascii="Arial" w:cs="Arial" w:eastAsia="Arial" w:hAnsi="Arial"/>
          <w:sz w:val="18"/>
          <w:szCs w:val="18"/>
          <w:b w:val="1"/>
          <w:bCs w:val="1"/>
          <w:i w:val="1"/>
          <w:iCs w:val="1"/>
          <w:color w:val="auto"/>
        </w:rPr>
        <w:t>Item 2: Ratification of the Appointment of Our Independent Auditors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holders of not less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majority of the outstanding common stock entitled to vote and present, in person or by proxy, at the meeting is required.</w:t>
      </w:r>
    </w:p>
    <w:p>
      <w:pPr>
        <w:spacing w:after="0" w:line="133" w:lineRule="exact"/>
        <w:rPr>
          <w:sz w:val="20"/>
          <w:szCs w:val="20"/>
          <w:color w:val="auto"/>
        </w:rPr>
      </w:pPr>
    </w:p>
    <w:p>
      <w:pPr>
        <w:ind w:left="580" w:right="400"/>
        <w:spacing w:after="0" w:line="267" w:lineRule="auto"/>
        <w:rPr>
          <w:sz w:val="20"/>
          <w:szCs w:val="20"/>
          <w:color w:val="auto"/>
        </w:rPr>
      </w:pPr>
      <w:r>
        <w:rPr>
          <w:rFonts w:ascii="Arial" w:cs="Arial" w:eastAsia="Arial" w:hAnsi="Arial"/>
          <w:sz w:val="18"/>
          <w:szCs w:val="18"/>
          <w:b w:val="1"/>
          <w:bCs w:val="1"/>
          <w:i w:val="1"/>
          <w:iCs w:val="1"/>
          <w:color w:val="auto"/>
        </w:rPr>
        <w:t>Item 3: Approval of the 2023 Omnibus Plan</w:t>
      </w:r>
      <w:r>
        <w:rPr>
          <w:rFonts w:ascii="Arial" w:cs="Arial" w:eastAsia="Arial" w:hAnsi="Arial"/>
          <w:sz w:val="18"/>
          <w:szCs w:val="18"/>
          <w:color w:val="auto"/>
        </w:rPr>
        <w:t>. The affirmative vote of the holders of not less than a majority of the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of the outstanding common stock entitled to vote and present, in person or by proxy, at the meeting is required.</w:t>
      </w:r>
    </w:p>
    <w:p>
      <w:pPr>
        <w:spacing w:after="0" w:line="133" w:lineRule="exact"/>
        <w:rPr>
          <w:sz w:val="20"/>
          <w:szCs w:val="20"/>
          <w:color w:val="auto"/>
        </w:rPr>
      </w:pPr>
    </w:p>
    <w:p>
      <w:pPr>
        <w:jc w:val="both"/>
        <w:ind w:left="580" w:right="100"/>
        <w:spacing w:after="0" w:line="248" w:lineRule="auto"/>
        <w:rPr>
          <w:sz w:val="20"/>
          <w:szCs w:val="20"/>
          <w:color w:val="auto"/>
        </w:rPr>
      </w:pPr>
      <w:r>
        <w:rPr>
          <w:rFonts w:ascii="Arial" w:cs="Arial" w:eastAsia="Arial" w:hAnsi="Arial"/>
          <w:sz w:val="18"/>
          <w:szCs w:val="18"/>
          <w:b w:val="1"/>
          <w:bCs w:val="1"/>
          <w:i w:val="1"/>
          <w:iCs w:val="1"/>
          <w:color w:val="auto"/>
        </w:rPr>
        <w:t>Item 4: Advisory, Non-binding Vote on the Compensation of Our Named Executive Officers</w:t>
      </w:r>
      <w:r>
        <w:rPr>
          <w:rFonts w:ascii="Arial" w:cs="Arial" w:eastAsia="Arial" w:hAnsi="Arial"/>
          <w:sz w:val="18"/>
          <w:szCs w:val="18"/>
          <w:color w:val="auto"/>
        </w:rPr>
        <w:t>. The affirmative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not less than a majority of the outstanding common stock entitled to vote and present, in person or by proxy, at the meeting is required.</w:t>
      </w:r>
    </w:p>
    <w:p>
      <w:pPr>
        <w:spacing w:after="0" w:line="88" w:lineRule="exact"/>
        <w:rPr>
          <w:sz w:val="20"/>
          <w:szCs w:val="20"/>
          <w:color w:val="auto"/>
        </w:rPr>
      </w:pPr>
    </w:p>
    <w:p>
      <w:pPr>
        <w:ind w:left="580"/>
        <w:spacing w:after="0"/>
        <w:tabs>
          <w:tab w:leader="none" w:pos="900" w:val="left"/>
          <w:tab w:leader="none" w:pos="3720" w:val="left"/>
        </w:tabs>
        <w:rPr>
          <w:sz w:val="20"/>
          <w:szCs w:val="20"/>
          <w:color w:val="auto"/>
        </w:rPr>
      </w:pPr>
      <w:r>
        <w:rPr>
          <w:rFonts w:ascii="Arial" w:cs="Arial" w:eastAsia="Arial" w:hAnsi="Arial"/>
          <w:sz w:val="18"/>
          <w:szCs w:val="18"/>
          <w:b w:val="1"/>
          <w:bCs w:val="1"/>
          <w:color w:val="666666"/>
        </w:rPr>
        <w:t>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7"/>
          <w:szCs w:val="17"/>
          <w:color w:val="CF0A2C"/>
        </w:rPr>
        <w:t>2023 Proxy Statement</w:t>
      </w:r>
    </w:p>
    <w:p>
      <w:pPr>
        <w:sectPr>
          <w:pgSz w:w="11900" w:h="16838" w:orient="portrait"/>
          <w:cols w:equalWidth="0" w:num="1">
            <w:col w:w="10660"/>
          </w:cols>
          <w:pgMar w:left="320" w:top="453" w:right="9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5628005</wp:posOffset>
            </wp:positionH>
            <wp:positionV relativeFrom="paragraph">
              <wp:posOffset>194310</wp:posOffset>
            </wp:positionV>
            <wp:extent cx="1146175" cy="149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46175" cy="149225"/>
                    </a:xfrm>
                    <a:prstGeom prst="rect">
                      <a:avLst/>
                    </a:prstGeom>
                    <a:noFill/>
                  </pic:spPr>
                </pic:pic>
              </a:graphicData>
            </a:graphic>
          </wp:anchor>
        </w:drawing>
      </w:r>
    </w:p>
    <w:p>
      <w:pPr>
        <w:spacing w:after="0" w:line="311"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FFFFFF"/>
        </w:rPr>
        <w:t>PROXY STATEMENT</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40"/>
        <w:spacing w:after="0" w:line="239"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For Item 1, because the election of each director requires a majority of votes cast, abstentions and broker non-votes will have no effect on the outcome of the vote. For Items 2, 3, and 4, because the affirmative vote of the holders of a majority of the shares present and entitled to vote is required for approval, abstentions will be counted as votes against this proposal, and there will be no broker non-votes.</w:t>
      </w:r>
    </w:p>
    <w:p>
      <w:pPr>
        <w:spacing w:after="0" w:line="156" w:lineRule="exact"/>
        <w:rPr>
          <w:sz w:val="20"/>
          <w:szCs w:val="20"/>
          <w:color w:val="auto"/>
        </w:rPr>
      </w:pPr>
    </w:p>
    <w:p>
      <w:pPr>
        <w:ind w:left="580" w:right="260"/>
        <w:spacing w:after="0" w:line="245" w:lineRule="auto"/>
        <w:rPr>
          <w:sz w:val="20"/>
          <w:szCs w:val="20"/>
          <w:color w:val="auto"/>
        </w:rPr>
      </w:pPr>
      <w:r>
        <w:rPr>
          <w:rFonts w:ascii="Arial" w:cs="Arial" w:eastAsia="Arial" w:hAnsi="Arial"/>
          <w:sz w:val="18"/>
          <w:szCs w:val="18"/>
          <w:color w:val="auto"/>
        </w:rPr>
        <w:t>If you hold Sabre shares in street name, you must provide your broker, bank, or other holder of record with instructions in order to vote these shares. If you do not provide these voting instructions, whether your shares can be voted by your bank, broker, or other nominee depends on the type of item being considered for a vote.</w:t>
      </w:r>
    </w:p>
    <w:p>
      <w:pPr>
        <w:ind w:left="780" w:hanging="200"/>
        <w:spacing w:after="0" w:line="181" w:lineRule="auto"/>
        <w:tabs>
          <w:tab w:leader="none" w:pos="780" w:val="left"/>
        </w:tabs>
        <w:numPr>
          <w:ilvl w:val="0"/>
          <w:numId w:val="13"/>
        </w:numPr>
        <w:rPr>
          <w:rFonts w:ascii="Arial" w:cs="Arial" w:eastAsia="Arial" w:hAnsi="Arial"/>
          <w:sz w:val="33"/>
          <w:szCs w:val="33"/>
          <w:color w:val="auto"/>
          <w:vertAlign w:val="subscript"/>
        </w:rPr>
      </w:pPr>
      <w:r>
        <w:rPr>
          <w:rFonts w:ascii="Arial" w:cs="Arial" w:eastAsia="Arial" w:hAnsi="Arial"/>
          <w:sz w:val="15"/>
          <w:szCs w:val="15"/>
          <w:b w:val="1"/>
          <w:bCs w:val="1"/>
          <w:i w:val="1"/>
          <w:iCs w:val="1"/>
          <w:color w:val="auto"/>
        </w:rPr>
        <w:t>Non-Discretionary Items</w:t>
      </w:r>
      <w:r>
        <w:rPr>
          <w:rFonts w:ascii="Arial" w:cs="Arial" w:eastAsia="Arial" w:hAnsi="Arial"/>
          <w:sz w:val="15"/>
          <w:szCs w:val="15"/>
          <w:color w:val="auto"/>
        </w:rPr>
        <w:t>. The election of directors, the approval of the 2023 Omnibus Plan, and the</w:t>
      </w:r>
    </w:p>
    <w:p>
      <w:pPr>
        <w:ind w:left="780" w:right="60"/>
        <w:spacing w:after="0" w:line="243" w:lineRule="auto"/>
        <w:rPr>
          <w:rFonts w:ascii="Arial" w:cs="Arial" w:eastAsia="Arial" w:hAnsi="Arial"/>
          <w:sz w:val="33"/>
          <w:szCs w:val="33"/>
          <w:color w:val="auto"/>
          <w:vertAlign w:val="subscript"/>
        </w:rPr>
      </w:pPr>
      <w:r>
        <w:rPr>
          <w:rFonts w:ascii="Arial" w:cs="Arial" w:eastAsia="Arial" w:hAnsi="Arial"/>
          <w:sz w:val="18"/>
          <w:szCs w:val="18"/>
          <w:color w:val="auto"/>
        </w:rPr>
        <w:t>advisory, non-binding vote on the compensation of our named executive officers are non-discretionary items and may NOT be voted on by your broker, bank, or other nominee absent specific voting instructions from you.</w:t>
      </w:r>
    </w:p>
    <w:p>
      <w:pPr>
        <w:spacing w:after="0" w:line="69" w:lineRule="exact"/>
        <w:rPr>
          <w:rFonts w:ascii="Arial" w:cs="Arial" w:eastAsia="Arial" w:hAnsi="Arial"/>
          <w:sz w:val="33"/>
          <w:szCs w:val="33"/>
          <w:color w:val="auto"/>
          <w:vertAlign w:val="subscript"/>
        </w:rPr>
      </w:pPr>
    </w:p>
    <w:p>
      <w:pPr>
        <w:ind w:left="780" w:right="60" w:hanging="200"/>
        <w:spacing w:after="0" w:line="181" w:lineRule="auto"/>
        <w:tabs>
          <w:tab w:leader="none" w:pos="780" w:val="left"/>
        </w:tabs>
        <w:numPr>
          <w:ilvl w:val="0"/>
          <w:numId w:val="13"/>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Discretionary Item</w:t>
      </w:r>
      <w:r>
        <w:rPr>
          <w:rFonts w:ascii="Arial" w:cs="Arial" w:eastAsia="Arial" w:hAnsi="Arial"/>
          <w:sz w:val="17"/>
          <w:szCs w:val="17"/>
          <w:color w:val="auto"/>
        </w:rPr>
        <w:t>. The ratification of Ernst &amp; Young LLP as Sabre’s independent registered public accounting firm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year ending December 31, 2023 is a discretionary item. Generally, brokers, banks, and other nominees that do not receive voting instructions may vote on this proposal in their discretion.</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This solicitation is being made by our Board of Directors. We will bear all costs of this proxy solicitation, including the cost of preparing, printing, and delivering materials, the cost of the proxy solicitation, and the expenses of brokers, fiduciaries, and other nominees who forward proxy materials to stockholders. In addition to mail and electronic means, our employees may solicit proxies by telephone or otherwise. In addition, we may enlist the help of banks, brokers, broker-dealers, and similar organizations in soliciting proxies from their customers (</w:t>
      </w:r>
      <w:r>
        <w:rPr>
          <w:rFonts w:ascii="Arial" w:cs="Arial" w:eastAsia="Arial" w:hAnsi="Arial"/>
          <w:sz w:val="18"/>
          <w:szCs w:val="18"/>
          <w:i w:val="1"/>
          <w:iCs w:val="1"/>
          <w:color w:val="auto"/>
        </w:rPr>
        <w:t>i.e.</w:t>
      </w:r>
      <w:r>
        <w:rPr>
          <w:rFonts w:ascii="Arial" w:cs="Arial" w:eastAsia="Arial" w:hAnsi="Arial"/>
          <w:sz w:val="18"/>
          <w:szCs w:val="18"/>
          <w:color w:val="auto"/>
        </w:rPr>
        <w:t>, beneficial stockholders). We have retained Alliance Advisors, LLC to aid in the solicitation at a cost of approximately $13,000 plus reimbursement of out-of-pocket expenses.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right="180"/>
        <w:spacing w:after="0" w:line="242" w:lineRule="auto"/>
        <w:rPr>
          <w:sz w:val="20"/>
          <w:szCs w:val="20"/>
          <w:color w:val="auto"/>
        </w:rPr>
      </w:pPr>
      <w:r>
        <w:rPr>
          <w:rFonts w:ascii="Arial" w:cs="Arial" w:eastAsia="Arial" w:hAnsi="Arial"/>
          <w:sz w:val="18"/>
          <w:szCs w:val="18"/>
          <w:color w:val="auto"/>
        </w:rPr>
        <w:t>The Board of Directors does not presently intend to bring any business before the Annual Meeting other than the proposals discussed in this proxy statement and specified in the Notice of Annual Meeting of Stockholders. If any other matters should properly come before the Annual Meeting, the persons designated in the proxy will vote on them according to their best judgment.</w:t>
      </w:r>
    </w:p>
    <w:p>
      <w:pPr>
        <w:spacing w:after="0" w:line="154" w:lineRule="exact"/>
        <w:rPr>
          <w:sz w:val="20"/>
          <w:szCs w:val="20"/>
          <w:color w:val="auto"/>
        </w:rPr>
      </w:pPr>
    </w:p>
    <w:p>
      <w:pPr>
        <w:jc w:val="both"/>
        <w:ind w:left="580" w:right="340"/>
        <w:spacing w:after="0" w:line="253" w:lineRule="auto"/>
        <w:rPr>
          <w:sz w:val="20"/>
          <w:szCs w:val="20"/>
          <w:color w:val="auto"/>
        </w:rPr>
      </w:pPr>
      <w:r>
        <w:rPr>
          <w:rFonts w:ascii="Arial" w:cs="Arial" w:eastAsia="Arial" w:hAnsi="Arial"/>
          <w:sz w:val="18"/>
          <w:szCs w:val="18"/>
          <w:b w:val="1"/>
          <w:bCs w:val="1"/>
          <w:color w:val="auto"/>
        </w:rPr>
        <w:t>Your vote is very important. Whether or not you plan to attend the Annual Meeting, please take the time to submit your proxy via the Internet, by telephone, or by returning your marked, signed, and dated proxy card so that your shares will be represented at the Annual Meeting.</w:t>
      </w:r>
    </w:p>
    <w:p>
      <w:pPr>
        <w:spacing w:after="0" w:line="76" w:lineRule="exact"/>
        <w:rPr>
          <w:sz w:val="20"/>
          <w:szCs w:val="20"/>
          <w:color w:val="auto"/>
        </w:rPr>
      </w:pPr>
    </w:p>
    <w:tbl>
      <w:tblPr>
        <w:tblLayout w:type="fixed"/>
        <w:tblInd w:w="63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666666"/>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-143510</wp:posOffset>
            </wp:positionV>
            <wp:extent cx="415925" cy="102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shd w:val="clear" w:color="auto" w:fill="666666"/>
        </w:rPr>
        <w:t>CORPORATE GOVERNANCE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CORPORATE GOVERNANCE</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jc w:val="both"/>
        <w:ind w:left="580" w:right="220"/>
        <w:spacing w:after="0" w:line="248" w:lineRule="auto"/>
        <w:rPr>
          <w:sz w:val="20"/>
          <w:szCs w:val="20"/>
          <w:color w:val="auto"/>
        </w:rPr>
      </w:pPr>
      <w:r>
        <w:rPr>
          <w:rFonts w:ascii="Arial" w:cs="Arial" w:eastAsia="Arial" w:hAnsi="Arial"/>
          <w:sz w:val="18"/>
          <w:szCs w:val="18"/>
          <w:color w:val="auto"/>
        </w:rPr>
        <w:t xml:space="preserve">The Board of Directors has adopted Corporate Governance Guidelines, which govern the Board of Directors’ structure and proceedings and contain its position on many governance issues. These Guidelines are available on the investor relations section of our website at </w:t>
      </w:r>
      <w:r>
        <w:rPr>
          <w:rFonts w:ascii="Arial" w:cs="Arial" w:eastAsia="Arial" w:hAnsi="Arial"/>
          <w:sz w:val="18"/>
          <w:szCs w:val="18"/>
          <w:u w:val="single" w:color="auto"/>
          <w:color w:val="auto"/>
        </w:rPr>
        <w:t>investors.sabre.com</w:t>
      </w:r>
      <w:r>
        <w:rPr>
          <w:rFonts w:ascii="Arial" w:cs="Arial" w:eastAsia="Arial" w:hAnsi="Arial"/>
          <w:sz w:val="18"/>
          <w:szCs w:val="18"/>
          <w:color w:val="auto"/>
        </w:rPr>
        <w:t>.</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40"/>
        <w:spacing w:after="0" w:line="242" w:lineRule="auto"/>
        <w:rPr>
          <w:sz w:val="20"/>
          <w:szCs w:val="20"/>
          <w:color w:val="auto"/>
        </w:rPr>
      </w:pPr>
      <w:r>
        <w:rPr>
          <w:rFonts w:ascii="Arial" w:cs="Arial" w:eastAsia="Arial" w:hAnsi="Arial"/>
          <w:sz w:val="18"/>
          <w:szCs w:val="18"/>
          <w:color w:val="auto"/>
        </w:rPr>
        <w:t>Our Corporate Governance Guidelines provide that our Board of Directors has the right to exercise its discretion to either separate or combine the offices of the Chair of the Board and the CEO. This decision is based upon the Board of Directors’ determination of what is in the best interests of Sabre and its stockholders, in light of the circumstances and taking into consideration succession planning, skills, and experience of the individuals filling those positions and other relevant factors.</w:t>
      </w:r>
    </w:p>
    <w:p>
      <w:pPr>
        <w:spacing w:after="0" w:line="154" w:lineRule="exact"/>
        <w:rPr>
          <w:sz w:val="20"/>
          <w:szCs w:val="20"/>
          <w:color w:val="auto"/>
        </w:rPr>
      </w:pPr>
    </w:p>
    <w:p>
      <w:pPr>
        <w:ind w:left="580" w:right="220"/>
        <w:spacing w:after="0" w:line="248" w:lineRule="auto"/>
        <w:rPr>
          <w:sz w:val="20"/>
          <w:szCs w:val="20"/>
          <w:color w:val="auto"/>
        </w:rPr>
      </w:pPr>
      <w:r>
        <w:rPr>
          <w:rFonts w:ascii="Arial" w:cs="Arial" w:eastAsia="Arial" w:hAnsi="Arial"/>
          <w:sz w:val="18"/>
          <w:szCs w:val="18"/>
          <w:color w:val="auto"/>
        </w:rPr>
        <w:t>The leadership structure as of the date of this proxy statement is based on the leadership provided by a Chair of the Board and CEO (Mr. Menke as of the date of this proxy statement), with this position being subject to oversight and review by Sabre’s Board of Directors.</w:t>
      </w:r>
    </w:p>
    <w:p>
      <w:pPr>
        <w:spacing w:after="0" w:line="150" w:lineRule="exact"/>
        <w:rPr>
          <w:sz w:val="20"/>
          <w:szCs w:val="20"/>
          <w:color w:val="auto"/>
        </w:rPr>
      </w:pPr>
    </w:p>
    <w:p>
      <w:pPr>
        <w:ind w:left="580" w:right="340"/>
        <w:spacing w:after="0" w:line="253" w:lineRule="auto"/>
        <w:rPr>
          <w:sz w:val="20"/>
          <w:szCs w:val="20"/>
          <w:color w:val="auto"/>
        </w:rPr>
      </w:pPr>
      <w:r>
        <w:rPr>
          <w:rFonts w:ascii="Arial" w:cs="Arial" w:eastAsia="Arial" w:hAnsi="Arial"/>
          <w:sz w:val="18"/>
          <w:szCs w:val="18"/>
          <w:color w:val="auto"/>
        </w:rPr>
        <w:t>In addition, the Board has elected Mr. Saretsky to the position of independent Lead Director. As set forth in our Corporate Governance Guidelines, responsibilities of the Lead Director include:</w:t>
      </w:r>
    </w:p>
    <w:p>
      <w:pPr>
        <w:spacing w:after="0" w:line="70" w:lineRule="exact"/>
        <w:rPr>
          <w:sz w:val="20"/>
          <w:szCs w:val="20"/>
          <w:color w:val="auto"/>
        </w:rPr>
      </w:pPr>
    </w:p>
    <w:p>
      <w:pPr>
        <w:ind w:left="780" w:right="280" w:hanging="200"/>
        <w:spacing w:after="0" w:line="186" w:lineRule="auto"/>
        <w:tabs>
          <w:tab w:leader="none" w:pos="780" w:val="left"/>
        </w:tabs>
        <w:numPr>
          <w:ilvl w:val="0"/>
          <w:numId w:val="14"/>
        </w:numPr>
        <w:rPr>
          <w:rFonts w:ascii="Arial" w:cs="Arial" w:eastAsia="Arial" w:hAnsi="Arial"/>
          <w:sz w:val="34"/>
          <w:szCs w:val="34"/>
          <w:color w:val="auto"/>
          <w:vertAlign w:val="subscript"/>
        </w:rPr>
      </w:pPr>
      <w:r>
        <w:rPr>
          <w:rFonts w:ascii="Arial" w:cs="Arial" w:eastAsia="Arial" w:hAnsi="Arial"/>
          <w:sz w:val="15"/>
          <w:szCs w:val="15"/>
          <w:color w:val="auto"/>
        </w:rPr>
        <w:t>Developing the agenda for and presiding over sessions of the independent directors, as well as providing feedback and perspective to the Chair of the Board and CEO regarding discussions at these sessions,</w:t>
      </w:r>
    </w:p>
    <w:p>
      <w:pPr>
        <w:spacing w:after="0" w:line="1"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14"/>
        </w:numPr>
        <w:rPr>
          <w:rFonts w:ascii="Arial" w:cs="Arial" w:eastAsia="Arial" w:hAnsi="Arial"/>
          <w:sz w:val="35"/>
          <w:szCs w:val="35"/>
          <w:color w:val="auto"/>
          <w:vertAlign w:val="subscript"/>
        </w:rPr>
      </w:pPr>
      <w:r>
        <w:rPr>
          <w:rFonts w:ascii="Arial" w:cs="Arial" w:eastAsia="Arial" w:hAnsi="Arial"/>
          <w:sz w:val="16"/>
          <w:szCs w:val="16"/>
          <w:color w:val="auto"/>
        </w:rPr>
        <w:t>Calling meetings of the independent directors, as appropriate,</w:t>
      </w:r>
    </w:p>
    <w:p>
      <w:pPr>
        <w:spacing w:after="0" w:line="143" w:lineRule="exact"/>
        <w:rPr>
          <w:rFonts w:ascii="Arial" w:cs="Arial" w:eastAsia="Arial" w:hAnsi="Arial"/>
          <w:sz w:val="35"/>
          <w:szCs w:val="35"/>
          <w:color w:val="auto"/>
          <w:vertAlign w:val="subscript"/>
        </w:rPr>
      </w:pPr>
    </w:p>
    <w:p>
      <w:pPr>
        <w:ind w:left="780" w:right="240" w:hanging="200"/>
        <w:spacing w:after="0" w:line="186" w:lineRule="auto"/>
        <w:tabs>
          <w:tab w:leader="none" w:pos="780" w:val="left"/>
        </w:tabs>
        <w:numPr>
          <w:ilvl w:val="0"/>
          <w:numId w:val="14"/>
        </w:numPr>
        <w:rPr>
          <w:rFonts w:ascii="Arial" w:cs="Arial" w:eastAsia="Arial" w:hAnsi="Arial"/>
          <w:sz w:val="34"/>
          <w:szCs w:val="34"/>
          <w:color w:val="auto"/>
          <w:vertAlign w:val="subscript"/>
        </w:rPr>
      </w:pPr>
      <w:r>
        <w:rPr>
          <w:rFonts w:ascii="Arial" w:cs="Arial" w:eastAsia="Arial" w:hAnsi="Arial"/>
          <w:sz w:val="15"/>
          <w:szCs w:val="15"/>
          <w:color w:val="auto"/>
        </w:rPr>
        <w:t>Coordinating the activities of the independent directors and serving as a liaison between the independent directors, as a group, and the Chair of the Board and CEO,</w:t>
      </w:r>
    </w:p>
    <w:p>
      <w:pPr>
        <w:spacing w:after="0" w:line="70" w:lineRule="exact"/>
        <w:rPr>
          <w:rFonts w:ascii="Arial" w:cs="Arial" w:eastAsia="Arial" w:hAnsi="Arial"/>
          <w:sz w:val="34"/>
          <w:szCs w:val="34"/>
          <w:color w:val="auto"/>
          <w:vertAlign w:val="subscript"/>
        </w:rPr>
      </w:pPr>
    </w:p>
    <w:p>
      <w:pPr>
        <w:ind w:left="780" w:right="300" w:hanging="200"/>
        <w:spacing w:after="0" w:line="186" w:lineRule="auto"/>
        <w:tabs>
          <w:tab w:leader="none" w:pos="780" w:val="left"/>
        </w:tabs>
        <w:numPr>
          <w:ilvl w:val="0"/>
          <w:numId w:val="14"/>
        </w:numPr>
        <w:rPr>
          <w:rFonts w:ascii="Arial" w:cs="Arial" w:eastAsia="Arial" w:hAnsi="Arial"/>
          <w:sz w:val="34"/>
          <w:szCs w:val="34"/>
          <w:color w:val="auto"/>
          <w:vertAlign w:val="subscript"/>
        </w:rPr>
      </w:pPr>
      <w:r>
        <w:rPr>
          <w:rFonts w:ascii="Arial" w:cs="Arial" w:eastAsia="Arial" w:hAnsi="Arial"/>
          <w:sz w:val="15"/>
          <w:szCs w:val="15"/>
          <w:color w:val="auto"/>
        </w:rPr>
        <w:t>Providing input, including input from the independent directors, on the agendas and schedules for Board meetings after conferring with the Chair,</w:t>
      </w:r>
    </w:p>
    <w:p>
      <w:pPr>
        <w:spacing w:after="0" w:line="1"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14"/>
        </w:numPr>
        <w:rPr>
          <w:rFonts w:ascii="Arial" w:cs="Arial" w:eastAsia="Arial" w:hAnsi="Arial"/>
          <w:sz w:val="35"/>
          <w:szCs w:val="35"/>
          <w:color w:val="auto"/>
          <w:vertAlign w:val="subscript"/>
        </w:rPr>
      </w:pPr>
      <w:r>
        <w:rPr>
          <w:rFonts w:ascii="Arial" w:cs="Arial" w:eastAsia="Arial" w:hAnsi="Arial"/>
          <w:sz w:val="16"/>
          <w:szCs w:val="16"/>
          <w:color w:val="auto"/>
        </w:rPr>
        <w:t>Speaking on behalf of the Board and chairing Board meetings when the Chair of the Board is unable to do so,</w:t>
      </w:r>
    </w:p>
    <w:p>
      <w:pPr>
        <w:spacing w:after="0" w:line="65" w:lineRule="exact"/>
        <w:rPr>
          <w:rFonts w:ascii="Arial" w:cs="Arial" w:eastAsia="Arial" w:hAnsi="Arial"/>
          <w:sz w:val="35"/>
          <w:szCs w:val="35"/>
          <w:color w:val="auto"/>
          <w:vertAlign w:val="subscript"/>
        </w:rPr>
      </w:pPr>
    </w:p>
    <w:p>
      <w:pPr>
        <w:ind w:left="780" w:hanging="200"/>
        <w:spacing w:after="0" w:line="184" w:lineRule="auto"/>
        <w:tabs>
          <w:tab w:leader="none" w:pos="780" w:val="left"/>
        </w:tabs>
        <w:numPr>
          <w:ilvl w:val="0"/>
          <w:numId w:val="14"/>
        </w:numPr>
        <w:rPr>
          <w:rFonts w:ascii="Arial" w:cs="Arial" w:eastAsia="Arial" w:hAnsi="Arial"/>
          <w:sz w:val="36"/>
          <w:szCs w:val="36"/>
          <w:color w:val="auto"/>
          <w:vertAlign w:val="subscript"/>
        </w:rPr>
      </w:pPr>
      <w:r>
        <w:rPr>
          <w:rFonts w:ascii="Arial" w:cs="Arial" w:eastAsia="Arial" w:hAnsi="Arial"/>
          <w:sz w:val="16"/>
          <w:szCs w:val="16"/>
          <w:color w:val="auto"/>
        </w:rPr>
        <w:t>Consulting with stockholders at management’s request,</w:t>
      </w:r>
    </w:p>
    <w:p>
      <w:pPr>
        <w:spacing w:after="0" w:line="143" w:lineRule="exact"/>
        <w:rPr>
          <w:rFonts w:ascii="Arial" w:cs="Arial" w:eastAsia="Arial" w:hAnsi="Arial"/>
          <w:sz w:val="36"/>
          <w:szCs w:val="36"/>
          <w:color w:val="auto"/>
          <w:vertAlign w:val="subscript"/>
        </w:rPr>
      </w:pPr>
    </w:p>
    <w:p>
      <w:pPr>
        <w:ind w:left="780" w:right="600" w:hanging="200"/>
        <w:spacing w:after="0"/>
        <w:tabs>
          <w:tab w:leader="none" w:pos="780" w:val="left"/>
        </w:tabs>
        <w:numPr>
          <w:ilvl w:val="0"/>
          <w:numId w:val="14"/>
        </w:numPr>
        <w:rPr>
          <w:rFonts w:ascii="Arial" w:cs="Arial" w:eastAsia="Arial" w:hAnsi="Arial"/>
          <w:sz w:val="34"/>
          <w:szCs w:val="34"/>
          <w:color w:val="auto"/>
          <w:vertAlign w:val="subscript"/>
        </w:rPr>
      </w:pPr>
      <w:r>
        <w:rPr>
          <w:rFonts w:ascii="Arial" w:cs="Arial" w:eastAsia="Arial" w:hAnsi="Arial"/>
          <w:sz w:val="15"/>
          <w:szCs w:val="15"/>
          <w:color w:val="auto"/>
        </w:rPr>
        <w:t>Communicating regularly with each director to be certain that each director’s views, competencies and priorities are understood, and</w:t>
      </w:r>
    </w:p>
    <w:p>
      <w:pPr>
        <w:spacing w:after="0" w:line="46"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14"/>
        </w:numPr>
        <w:rPr>
          <w:rFonts w:ascii="Arial" w:cs="Arial" w:eastAsia="Arial" w:hAnsi="Arial"/>
          <w:sz w:val="35"/>
          <w:szCs w:val="35"/>
          <w:color w:val="auto"/>
          <w:vertAlign w:val="subscript"/>
        </w:rPr>
      </w:pPr>
      <w:r>
        <w:rPr>
          <w:rFonts w:ascii="Arial" w:cs="Arial" w:eastAsia="Arial" w:hAnsi="Arial"/>
          <w:sz w:val="16"/>
          <w:szCs w:val="16"/>
          <w:color w:val="auto"/>
        </w:rPr>
        <w:t>Assuming such other responsibilities that the Board may designate from time to time.</w:t>
      </w:r>
    </w:p>
    <w:p>
      <w:pPr>
        <w:spacing w:after="0" w:line="230" w:lineRule="exact"/>
        <w:rPr>
          <w:sz w:val="20"/>
          <w:szCs w:val="20"/>
          <w:color w:val="auto"/>
        </w:rPr>
      </w:pPr>
    </w:p>
    <w:p>
      <w:pPr>
        <w:ind w:left="580" w:right="100"/>
        <w:spacing w:after="0" w:line="267" w:lineRule="auto"/>
        <w:rPr>
          <w:sz w:val="20"/>
          <w:szCs w:val="20"/>
          <w:color w:val="auto"/>
        </w:rPr>
      </w:pPr>
      <w:r>
        <w:rPr>
          <w:rFonts w:ascii="Arial" w:cs="Arial" w:eastAsia="Arial" w:hAnsi="Arial"/>
          <w:sz w:val="18"/>
          <w:szCs w:val="18"/>
          <w:color w:val="auto"/>
        </w:rPr>
        <w:t>The Board of Directors believes that Mr. Saretsky’s election as independent Lead Director enhances the strong independent oversight function of the Board of Directors.</w:t>
      </w:r>
    </w:p>
    <w:p>
      <w:pPr>
        <w:spacing w:after="0" w:line="133"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In March 2022, Mr. Peterson announced his retirement as Chair of the Board, effective April 28, 2022. Mr. Peterson’s retirement as Chair of the Board does not affect his position as a director of Sabre. With Mr. Peterson’s planned retirement as Chair of the Board, the Board of Directors considered the relative benefits of combining the Chair of the Board and CEO positions versus retaining separate roles with an independent chair. After considering the ongoing focus on the implementation of our technology transformation and other strategic initiatives, as well as the perspectives of independent directors and recent</w:t>
      </w:r>
    </w:p>
    <w:p>
      <w:pPr>
        <w:spacing w:after="0" w:line="97"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10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00"/>
          </w:cols>
          <w:pgMar w:left="320" w:top="453"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194310</wp:posOffset>
            </wp:positionV>
            <wp:extent cx="1530985" cy="149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FFFFFF"/>
        </w:rPr>
        <w:t>CORPORATE GOVERNANCE</w:t>
      </w:r>
    </w:p>
    <w:p>
      <w:pPr>
        <w:spacing w:after="0" w:line="239" w:lineRule="exact"/>
        <w:rPr>
          <w:sz w:val="20"/>
          <w:szCs w:val="20"/>
          <w:color w:val="auto"/>
        </w:rPr>
      </w:pPr>
    </w:p>
    <w:p>
      <w:pPr>
        <w:ind w:left="580" w:right="80"/>
        <w:spacing w:after="0" w:line="236" w:lineRule="auto"/>
        <w:rPr>
          <w:sz w:val="20"/>
          <w:szCs w:val="20"/>
          <w:color w:val="auto"/>
        </w:rPr>
      </w:pPr>
      <w:r>
        <w:rPr>
          <w:rFonts w:ascii="Arial" w:cs="Arial" w:eastAsia="Arial" w:hAnsi="Arial"/>
          <w:sz w:val="18"/>
          <w:szCs w:val="18"/>
          <w:color w:val="auto"/>
        </w:rPr>
        <w:t>governance trends, the Board of Directors unanimously elected Mr. Menke to serve as Chair of the Board effective as of April 28, 2022. Mr. Menke’s extensive travel technology sector experience, substantial leadership experience as a former executive officer of airline companies, as well as his vision for Sabre’s long-term strategy and relationships with our customers, investors, and other stakeholders, were important factors in the Board’s decision. The Board of Directors also considered the fact that Mr. Saretsky would serve as independent Lead Director. The Board of Directors further believes that this governance structure provides an effective balance between strong strategic leadership and oversight by independent directors.</w:t>
      </w:r>
    </w:p>
    <w:p>
      <w:pPr>
        <w:spacing w:after="0" w:line="158" w:lineRule="exact"/>
        <w:rPr>
          <w:sz w:val="20"/>
          <w:szCs w:val="20"/>
          <w:color w:val="auto"/>
        </w:rPr>
      </w:pPr>
    </w:p>
    <w:p>
      <w:pPr>
        <w:jc w:val="both"/>
        <w:ind w:left="580" w:right="280"/>
        <w:spacing w:after="0" w:line="248" w:lineRule="auto"/>
        <w:rPr>
          <w:sz w:val="20"/>
          <w:szCs w:val="20"/>
          <w:color w:val="auto"/>
        </w:rPr>
      </w:pPr>
      <w:r>
        <w:rPr>
          <w:rFonts w:ascii="Arial" w:cs="Arial" w:eastAsia="Arial" w:hAnsi="Arial"/>
          <w:sz w:val="18"/>
          <w:szCs w:val="18"/>
          <w:color w:val="auto"/>
        </w:rPr>
        <w:t>In March 2023, we announced that, effective April 27, 2023, Mr. Menke will transition his role as Chief Executive Officer to Kurt J. Ekert, current President of Sabre. Mr. Menke will continue in his role as Sabre’s Executive Chair of the Board, and Mr. Ekert will also retain his title of President.</w:t>
      </w:r>
    </w:p>
    <w:p>
      <w:pPr>
        <w:spacing w:after="0" w:line="150" w:lineRule="exact"/>
        <w:rPr>
          <w:sz w:val="20"/>
          <w:szCs w:val="20"/>
          <w:color w:val="auto"/>
        </w:rPr>
      </w:pPr>
    </w:p>
    <w:p>
      <w:pPr>
        <w:ind w:left="580" w:right="500"/>
        <w:spacing w:after="0" w:line="267" w:lineRule="auto"/>
        <w:rPr>
          <w:sz w:val="20"/>
          <w:szCs w:val="20"/>
          <w:color w:val="auto"/>
        </w:rPr>
      </w:pPr>
      <w:r>
        <w:rPr>
          <w:rFonts w:ascii="Arial" w:cs="Arial" w:eastAsia="Arial" w:hAnsi="Arial"/>
          <w:sz w:val="18"/>
          <w:szCs w:val="18"/>
          <w:color w:val="auto"/>
        </w:rPr>
        <w:t>The Board of Directors recognizes that, if circumstances change in the future, other leadership structures might also be appropriate, and it has the discretion to revisit this determination of Sabre’s leadership structure.</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Overview of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charts provide a snapshot of the Board’s composition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219710</wp:posOffset>
            </wp:positionV>
            <wp:extent cx="5016500" cy="3658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16500" cy="365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240" w:type="dxa"/>
        <w:tblCellMar>
          <w:top w:w="0" w:type="dxa"/>
          <w:left w:w="0" w:type="dxa"/>
          <w:bottom w:w="0" w:type="dxa"/>
          <w:right w:w="0" w:type="dxa"/>
        </w:tblCellMar>
      </w:tblPr>
      <w:tr>
        <w:trPr>
          <w:trHeight w:val="322"/>
        </w:trPr>
        <w:tc>
          <w:tcPr>
            <w:tcW w:w="402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-143510</wp:posOffset>
            </wp:positionV>
            <wp:extent cx="415925" cy="102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shd w:val="clear" w:color="auto" w:fill="666666"/>
        </w:rPr>
        <w:t>CORPORATE GOVERNANCE</w:t>
      </w:r>
    </w:p>
    <w:p>
      <w:pPr>
        <w:spacing w:after="0" w:line="239" w:lineRule="exact"/>
        <w:rPr>
          <w:sz w:val="20"/>
          <w:szCs w:val="20"/>
          <w:color w:val="auto"/>
        </w:rPr>
      </w:pPr>
    </w:p>
    <w:p>
      <w:pPr>
        <w:ind w:left="580" w:right="40"/>
        <w:spacing w:after="0" w:line="242" w:lineRule="auto"/>
        <w:rPr>
          <w:sz w:val="20"/>
          <w:szCs w:val="20"/>
          <w:color w:val="auto"/>
        </w:rPr>
      </w:pPr>
      <w:r>
        <w:rPr>
          <w:rFonts w:ascii="Arial" w:cs="Arial" w:eastAsia="Arial" w:hAnsi="Arial"/>
          <w:sz w:val="18"/>
          <w:szCs w:val="18"/>
          <w:color w:val="auto"/>
        </w:rPr>
        <w:t>The following matrix provides diversity information regarding the Board as of the date indicated, in accordance with Nasdaq’s rules and based on the voluntary self-identification of members of the Board. As indicated in the table below, the Board has at least four self-identified diverse directors, including four who self-identify as female and two who self-identify as underrepresented minorities.</w:t>
      </w:r>
    </w:p>
    <w:p>
      <w:pPr>
        <w:spacing w:after="0" w:line="180" w:lineRule="exact"/>
        <w:rPr>
          <w:sz w:val="20"/>
          <w:szCs w:val="20"/>
          <w:color w:val="auto"/>
        </w:rPr>
      </w:pPr>
    </w:p>
    <w:tbl>
      <w:tblPr>
        <w:tblLayout w:type="fixed"/>
        <w:tblInd w:w="590" w:type="dxa"/>
        <w:tblCellMar>
          <w:top w:w="0" w:type="dxa"/>
          <w:left w:w="0" w:type="dxa"/>
          <w:bottom w:w="0" w:type="dxa"/>
          <w:right w:w="0" w:type="dxa"/>
        </w:tblCellMar>
      </w:tblPr>
      <w:tr>
        <w:trPr>
          <w:trHeight w:val="210"/>
        </w:trPr>
        <w:tc>
          <w:tcPr>
            <w:tcW w:w="6940" w:type="dxa"/>
            <w:vAlign w:val="bottom"/>
            <w:tcBorders>
              <w:top w:val="single" w:sz="8" w:color="auto"/>
              <w:left w:val="single" w:sz="8" w:color="auto"/>
              <w:bottom w:val="single" w:sz="8" w:color="auto"/>
              <w:right w:val="single" w:sz="8" w:color="E5E5E5"/>
            </w:tcBorders>
            <w:gridSpan w:val="2"/>
            <w:shd w:val="clear" w:color="auto" w:fill="E5E5E5"/>
          </w:tcPr>
          <w:p>
            <w:pPr>
              <w:ind w:left="2760"/>
              <w:spacing w:after="0"/>
              <w:rPr>
                <w:sz w:val="20"/>
                <w:szCs w:val="20"/>
                <w:color w:val="auto"/>
              </w:rPr>
            </w:pPr>
            <w:r>
              <w:rPr>
                <w:rFonts w:ascii="Arial" w:cs="Arial" w:eastAsia="Arial" w:hAnsi="Arial"/>
                <w:sz w:val="18"/>
                <w:szCs w:val="18"/>
                <w:b w:val="1"/>
                <w:bCs w:val="1"/>
                <w:color w:val="auto"/>
              </w:rPr>
              <w:t>Board Diversity Matrix (as of March 16, 2023)</w:t>
            </w:r>
          </w:p>
        </w:tc>
        <w:tc>
          <w:tcPr>
            <w:tcW w:w="500" w:type="dxa"/>
            <w:vAlign w:val="bottom"/>
            <w:tcBorders>
              <w:top w:val="single" w:sz="8" w:color="auto"/>
              <w:bottom w:val="single" w:sz="8" w:color="auto"/>
              <w:right w:val="single" w:sz="8" w:color="E5E5E5"/>
            </w:tcBorders>
            <w:shd w:val="clear" w:color="auto" w:fill="E5E5E5"/>
          </w:tcPr>
          <w:p>
            <w:pPr>
              <w:spacing w:after="0"/>
              <w:rPr>
                <w:sz w:val="18"/>
                <w:szCs w:val="18"/>
                <w:color w:val="auto"/>
              </w:rPr>
            </w:pPr>
          </w:p>
        </w:tc>
        <w:tc>
          <w:tcPr>
            <w:tcW w:w="1040" w:type="dxa"/>
            <w:vAlign w:val="bottom"/>
            <w:tcBorders>
              <w:top w:val="single" w:sz="8" w:color="auto"/>
              <w:bottom w:val="single" w:sz="8" w:color="auto"/>
              <w:right w:val="single" w:sz="8" w:color="E5E5E5"/>
            </w:tcBorders>
            <w:shd w:val="clear" w:color="auto" w:fill="E5E5E5"/>
          </w:tcPr>
          <w:p>
            <w:pPr>
              <w:spacing w:after="0"/>
              <w:rPr>
                <w:sz w:val="18"/>
                <w:szCs w:val="18"/>
                <w:color w:val="auto"/>
              </w:rPr>
            </w:pPr>
          </w:p>
        </w:tc>
        <w:tc>
          <w:tcPr>
            <w:tcW w:w="820" w:type="dxa"/>
            <w:vAlign w:val="bottom"/>
            <w:tcBorders>
              <w:top w:val="single" w:sz="8" w:color="auto"/>
              <w:bottom w:val="single" w:sz="8" w:color="auto"/>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Total Number of Directors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center"/>
              <w:ind w:right="277"/>
              <w:spacing w:after="0"/>
              <w:rPr>
                <w:sz w:val="20"/>
                <w:szCs w:val="20"/>
                <w:color w:val="auto"/>
              </w:rPr>
            </w:pPr>
            <w:r>
              <w:rPr>
                <w:rFonts w:ascii="Arial" w:cs="Arial" w:eastAsia="Arial" w:hAnsi="Arial"/>
                <w:sz w:val="16"/>
                <w:szCs w:val="16"/>
                <w:color w:val="auto"/>
                <w:w w:val="89"/>
              </w:rPr>
              <w:t>11</w:t>
            </w: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6240" w:type="dxa"/>
            <w:vAlign w:val="bottom"/>
            <w:tcBorders>
              <w:left w:val="single" w:sz="8" w:color="auto"/>
              <w:right w:val="single" w:sz="8" w:color="auto"/>
            </w:tcBorders>
            <w:shd w:val="clear" w:color="auto" w:fill="E5E5E5"/>
          </w:tcPr>
          <w:p>
            <w:pPr>
              <w:spacing w:after="0"/>
              <w:rPr>
                <w:sz w:val="14"/>
                <w:szCs w:val="14"/>
                <w:color w:val="auto"/>
              </w:rPr>
            </w:pPr>
          </w:p>
        </w:tc>
        <w:tc>
          <w:tcPr>
            <w:tcW w:w="7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8"/>
                <w:szCs w:val="18"/>
                <w:b w:val="1"/>
                <w:bCs w:val="1"/>
                <w:color w:val="auto"/>
                <w:w w:val="99"/>
              </w:rPr>
              <w:t>Female</w:t>
            </w:r>
          </w:p>
        </w:tc>
        <w:tc>
          <w:tcPr>
            <w:tcW w:w="5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8"/>
                <w:szCs w:val="18"/>
                <w:b w:val="1"/>
                <w:bCs w:val="1"/>
                <w:color w:val="auto"/>
              </w:rPr>
              <w:t>Male</w:t>
            </w:r>
          </w:p>
        </w:tc>
        <w:tc>
          <w:tcPr>
            <w:tcW w:w="104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8"/>
                <w:szCs w:val="18"/>
                <w:b w:val="1"/>
                <w:bCs w:val="1"/>
                <w:color w:val="auto"/>
              </w:rPr>
              <w:t>Non-Binary</w:t>
            </w:r>
          </w:p>
        </w:tc>
        <w:tc>
          <w:tcPr>
            <w:tcW w:w="820" w:type="dxa"/>
            <w:vAlign w:val="bottom"/>
            <w:tcBorders>
              <w:right w:val="single" w:sz="8" w:color="auto"/>
            </w:tcBorders>
            <w:shd w:val="clear" w:color="auto" w:fill="E5E5E5"/>
          </w:tcPr>
          <w:p>
            <w:pPr>
              <w:jc w:val="center"/>
              <w:spacing w:after="0" w:line="169"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198"/>
        </w:trPr>
        <w:tc>
          <w:tcPr>
            <w:tcW w:w="6240" w:type="dxa"/>
            <w:vAlign w:val="bottom"/>
            <w:tcBorders>
              <w:left w:val="single" w:sz="8" w:color="auto"/>
              <w:right w:val="single" w:sz="8" w:color="auto"/>
            </w:tcBorders>
            <w:shd w:val="clear" w:color="auto" w:fill="E5E5E5"/>
          </w:tcPr>
          <w:p>
            <w:pPr>
              <w:spacing w:after="0"/>
              <w:rPr>
                <w:sz w:val="17"/>
                <w:szCs w:val="17"/>
                <w:color w:val="auto"/>
              </w:rPr>
            </w:pPr>
          </w:p>
        </w:tc>
        <w:tc>
          <w:tcPr>
            <w:tcW w:w="700" w:type="dxa"/>
            <w:vAlign w:val="bottom"/>
            <w:tcBorders>
              <w:right w:val="single" w:sz="8" w:color="auto"/>
            </w:tcBorders>
            <w:vMerge w:val="continue"/>
            <w:shd w:val="clear" w:color="auto" w:fill="E5E5E5"/>
          </w:tcPr>
          <w:p>
            <w:pPr>
              <w:spacing w:after="0"/>
              <w:rPr>
                <w:sz w:val="17"/>
                <w:szCs w:val="17"/>
                <w:color w:val="auto"/>
              </w:rPr>
            </w:pPr>
          </w:p>
        </w:tc>
        <w:tc>
          <w:tcPr>
            <w:tcW w:w="500" w:type="dxa"/>
            <w:vAlign w:val="bottom"/>
            <w:tcBorders>
              <w:right w:val="single" w:sz="8" w:color="auto"/>
            </w:tcBorders>
            <w:vMerge w:val="continue"/>
            <w:shd w:val="clear" w:color="auto" w:fill="E5E5E5"/>
          </w:tcPr>
          <w:p>
            <w:pPr>
              <w:spacing w:after="0"/>
              <w:rPr>
                <w:sz w:val="17"/>
                <w:szCs w:val="17"/>
                <w:color w:val="auto"/>
              </w:rPr>
            </w:pPr>
          </w:p>
        </w:tc>
        <w:tc>
          <w:tcPr>
            <w:tcW w:w="1040" w:type="dxa"/>
            <w:vAlign w:val="bottom"/>
            <w:tcBorders>
              <w:right w:val="single" w:sz="8" w:color="auto"/>
            </w:tcBorders>
            <w:vMerge w:val="continue"/>
            <w:shd w:val="clear" w:color="auto" w:fill="E5E5E5"/>
          </w:tcPr>
          <w:p>
            <w:pPr>
              <w:spacing w:after="0"/>
              <w:rPr>
                <w:sz w:val="17"/>
                <w:szCs w:val="17"/>
                <w:color w:val="auto"/>
              </w:rPr>
            </w:pPr>
          </w:p>
        </w:tc>
        <w:tc>
          <w:tcPr>
            <w:tcW w:w="820" w:type="dxa"/>
            <w:vAlign w:val="bottom"/>
            <w:tcBorders>
              <w:right w:val="single" w:sz="8" w:color="auto"/>
            </w:tcBorders>
            <w:shd w:val="clear" w:color="auto" w:fill="E5E5E5"/>
          </w:tcPr>
          <w:p>
            <w:pPr>
              <w:jc w:val="center"/>
              <w:spacing w:after="0" w:line="198" w:lineRule="exact"/>
              <w:rPr>
                <w:sz w:val="20"/>
                <w:szCs w:val="20"/>
                <w:color w:val="auto"/>
              </w:rPr>
            </w:pPr>
            <w:r>
              <w:rPr>
                <w:rFonts w:ascii="Arial" w:cs="Arial" w:eastAsia="Arial" w:hAnsi="Arial"/>
                <w:sz w:val="18"/>
                <w:szCs w:val="18"/>
                <w:b w:val="1"/>
                <w:bCs w:val="1"/>
                <w:color w:val="auto"/>
                <w:w w:val="99"/>
              </w:rPr>
              <w:t>Disclose</w:t>
            </w:r>
          </w:p>
        </w:tc>
        <w:tc>
          <w:tcPr>
            <w:tcW w:w="0" w:type="dxa"/>
            <w:vAlign w:val="bottom"/>
          </w:tcPr>
          <w:p>
            <w:pPr>
              <w:spacing w:after="0"/>
              <w:rPr>
                <w:sz w:val="1"/>
                <w:szCs w:val="1"/>
                <w:color w:val="auto"/>
              </w:rPr>
            </w:pPr>
          </w:p>
        </w:tc>
      </w:tr>
      <w:tr>
        <w:trPr>
          <w:trHeight w:val="219"/>
        </w:trPr>
        <w:tc>
          <w:tcPr>
            <w:tcW w:w="6240" w:type="dxa"/>
            <w:vAlign w:val="bottom"/>
            <w:tcBorders>
              <w:left w:val="single" w:sz="8" w:color="auto"/>
              <w:bottom w:val="single" w:sz="8" w:color="auto"/>
              <w:right w:val="single" w:sz="8" w:color="auto"/>
            </w:tcBorders>
            <w:shd w:val="clear" w:color="auto" w:fill="E5E5E5"/>
          </w:tcPr>
          <w:p>
            <w:pPr>
              <w:spacing w:after="0"/>
              <w:rPr>
                <w:sz w:val="19"/>
                <w:szCs w:val="19"/>
                <w:color w:val="auto"/>
              </w:rPr>
            </w:pPr>
          </w:p>
        </w:tc>
        <w:tc>
          <w:tcPr>
            <w:tcW w:w="700" w:type="dxa"/>
            <w:vAlign w:val="bottom"/>
            <w:tcBorders>
              <w:bottom w:val="single" w:sz="8" w:color="auto"/>
              <w:right w:val="single" w:sz="8" w:color="auto"/>
            </w:tcBorders>
            <w:shd w:val="clear" w:color="auto" w:fill="E5E5E5"/>
          </w:tcPr>
          <w:p>
            <w:pPr>
              <w:spacing w:after="0"/>
              <w:rPr>
                <w:sz w:val="19"/>
                <w:szCs w:val="19"/>
                <w:color w:val="auto"/>
              </w:rPr>
            </w:pPr>
          </w:p>
        </w:tc>
        <w:tc>
          <w:tcPr>
            <w:tcW w:w="500" w:type="dxa"/>
            <w:vAlign w:val="bottom"/>
            <w:tcBorders>
              <w:bottom w:val="single" w:sz="8" w:color="auto"/>
              <w:right w:val="single" w:sz="8" w:color="auto"/>
            </w:tcBorders>
            <w:shd w:val="clear" w:color="auto" w:fill="E5E5E5"/>
          </w:tcPr>
          <w:p>
            <w:pPr>
              <w:spacing w:after="0"/>
              <w:rPr>
                <w:sz w:val="19"/>
                <w:szCs w:val="19"/>
                <w:color w:val="auto"/>
              </w:rPr>
            </w:pPr>
          </w:p>
        </w:tc>
        <w:tc>
          <w:tcPr>
            <w:tcW w:w="1040" w:type="dxa"/>
            <w:vAlign w:val="bottom"/>
            <w:tcBorders>
              <w:bottom w:val="single" w:sz="8" w:color="auto"/>
              <w:right w:val="single" w:sz="8" w:color="auto"/>
            </w:tcBorders>
            <w:shd w:val="clear" w:color="auto" w:fill="E5E5E5"/>
          </w:tcPr>
          <w:p>
            <w:pPr>
              <w:spacing w:after="0"/>
              <w:rPr>
                <w:sz w:val="19"/>
                <w:szCs w:val="19"/>
                <w:color w:val="auto"/>
              </w:rPr>
            </w:pPr>
          </w:p>
        </w:tc>
        <w:tc>
          <w:tcPr>
            <w:tcW w:w="8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18"/>
        </w:trPr>
        <w:tc>
          <w:tcPr>
            <w:tcW w:w="6240" w:type="dxa"/>
            <w:vAlign w:val="bottom"/>
            <w:tcBorders>
              <w:left w:val="single" w:sz="8" w:color="auto"/>
              <w:right w:val="single" w:sz="8" w:color="E5E5E5"/>
            </w:tcBorders>
            <w:shd w:val="clear" w:color="auto" w:fill="E5E5E5"/>
          </w:tcPr>
          <w:p>
            <w:pPr>
              <w:ind w:left="140"/>
              <w:spacing w:after="0"/>
              <w:rPr>
                <w:sz w:val="20"/>
                <w:szCs w:val="20"/>
                <w:color w:val="auto"/>
              </w:rPr>
            </w:pPr>
            <w:r>
              <w:rPr>
                <w:rFonts w:ascii="Arial" w:cs="Arial" w:eastAsia="Arial" w:hAnsi="Arial"/>
                <w:sz w:val="16"/>
                <w:szCs w:val="16"/>
                <w:b w:val="1"/>
                <w:bCs w:val="1"/>
                <w:color w:val="auto"/>
              </w:rPr>
              <w:t>Part I: Gender Identity</w:t>
            </w:r>
          </w:p>
        </w:tc>
        <w:tc>
          <w:tcPr>
            <w:tcW w:w="700" w:type="dxa"/>
            <w:vAlign w:val="bottom"/>
            <w:tcBorders>
              <w:right w:val="single" w:sz="8" w:color="E5E5E5"/>
            </w:tcBorders>
            <w:shd w:val="clear" w:color="auto" w:fill="E5E5E5"/>
          </w:tcPr>
          <w:p>
            <w:pPr>
              <w:spacing w:after="0"/>
              <w:rPr>
                <w:sz w:val="18"/>
                <w:szCs w:val="18"/>
                <w:color w:val="auto"/>
              </w:rPr>
            </w:pPr>
          </w:p>
        </w:tc>
        <w:tc>
          <w:tcPr>
            <w:tcW w:w="500" w:type="dxa"/>
            <w:vAlign w:val="bottom"/>
            <w:tcBorders>
              <w:right w:val="single" w:sz="8" w:color="E5E5E5"/>
            </w:tcBorders>
            <w:shd w:val="clear" w:color="auto" w:fill="E5E5E5"/>
          </w:tcPr>
          <w:p>
            <w:pPr>
              <w:spacing w:after="0"/>
              <w:rPr>
                <w:sz w:val="18"/>
                <w:szCs w:val="18"/>
                <w:color w:val="auto"/>
              </w:rPr>
            </w:pPr>
          </w:p>
        </w:tc>
        <w:tc>
          <w:tcPr>
            <w:tcW w:w="1040" w:type="dxa"/>
            <w:vAlign w:val="bottom"/>
            <w:tcBorders>
              <w:right w:val="single" w:sz="8" w:color="E5E5E5"/>
            </w:tcBorders>
            <w:shd w:val="clear" w:color="auto" w:fill="E5E5E5"/>
          </w:tcPr>
          <w:p>
            <w:pPr>
              <w:spacing w:after="0"/>
              <w:rPr>
                <w:sz w:val="18"/>
                <w:szCs w:val="18"/>
                <w:color w:val="auto"/>
              </w:rPr>
            </w:pPr>
          </w:p>
        </w:tc>
        <w:tc>
          <w:tcPr>
            <w:tcW w:w="82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6240" w:type="dxa"/>
            <w:vAlign w:val="bottom"/>
            <w:tcBorders>
              <w:left w:val="single" w:sz="8" w:color="auto"/>
              <w:bottom w:val="single" w:sz="8" w:color="auto"/>
              <w:right w:val="single" w:sz="8" w:color="E5E5E5"/>
            </w:tcBorders>
            <w:shd w:val="clear" w:color="auto" w:fill="E5E5E5"/>
          </w:tcPr>
          <w:p>
            <w:pPr>
              <w:spacing w:after="0"/>
              <w:rPr>
                <w:sz w:val="7"/>
                <w:szCs w:val="7"/>
                <w:color w:val="auto"/>
              </w:rPr>
            </w:pPr>
          </w:p>
        </w:tc>
        <w:tc>
          <w:tcPr>
            <w:tcW w:w="700" w:type="dxa"/>
            <w:vAlign w:val="bottom"/>
            <w:tcBorders>
              <w:bottom w:val="single" w:sz="8" w:color="auto"/>
              <w:right w:val="single" w:sz="8" w:color="E5E5E5"/>
            </w:tcBorders>
            <w:shd w:val="clear" w:color="auto" w:fill="E5E5E5"/>
          </w:tcPr>
          <w:p>
            <w:pPr>
              <w:spacing w:after="0"/>
              <w:rPr>
                <w:sz w:val="7"/>
                <w:szCs w:val="7"/>
                <w:color w:val="auto"/>
              </w:rPr>
            </w:pPr>
          </w:p>
        </w:tc>
        <w:tc>
          <w:tcPr>
            <w:tcW w:w="500" w:type="dxa"/>
            <w:vAlign w:val="bottom"/>
            <w:tcBorders>
              <w:bottom w:val="single" w:sz="8" w:color="auto"/>
              <w:right w:val="single" w:sz="8" w:color="E5E5E5"/>
            </w:tcBorders>
            <w:shd w:val="clear" w:color="auto" w:fill="E5E5E5"/>
          </w:tcPr>
          <w:p>
            <w:pPr>
              <w:spacing w:after="0"/>
              <w:rPr>
                <w:sz w:val="7"/>
                <w:szCs w:val="7"/>
                <w:color w:val="auto"/>
              </w:rPr>
            </w:pPr>
          </w:p>
        </w:tc>
        <w:tc>
          <w:tcPr>
            <w:tcW w:w="1040" w:type="dxa"/>
            <w:vAlign w:val="bottom"/>
            <w:tcBorders>
              <w:bottom w:val="single" w:sz="8" w:color="auto"/>
              <w:right w:val="single" w:sz="8" w:color="E5E5E5"/>
            </w:tcBorders>
            <w:shd w:val="clear" w:color="auto" w:fill="E5E5E5"/>
          </w:tcPr>
          <w:p>
            <w:pPr>
              <w:spacing w:after="0"/>
              <w:rPr>
                <w:sz w:val="7"/>
                <w:szCs w:val="7"/>
                <w:color w:val="auto"/>
              </w:rPr>
            </w:pPr>
          </w:p>
        </w:tc>
        <w:tc>
          <w:tcPr>
            <w:tcW w:w="820" w:type="dxa"/>
            <w:vAlign w:val="bottom"/>
            <w:tcBorders>
              <w:bottom w:val="single" w:sz="8" w:color="auto"/>
              <w:right w:val="single" w:sz="8" w:color="auto"/>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Directors</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6240" w:type="dxa"/>
            <w:vAlign w:val="bottom"/>
            <w:tcBorders>
              <w:left w:val="single" w:sz="8" w:color="auto"/>
              <w:right w:val="single" w:sz="8" w:color="E5E5E5"/>
            </w:tcBorders>
            <w:shd w:val="clear" w:color="auto" w:fill="E5E5E5"/>
          </w:tcPr>
          <w:p>
            <w:pPr>
              <w:ind w:left="140"/>
              <w:spacing w:after="0"/>
              <w:rPr>
                <w:sz w:val="20"/>
                <w:szCs w:val="20"/>
                <w:color w:val="auto"/>
              </w:rPr>
            </w:pPr>
            <w:r>
              <w:rPr>
                <w:rFonts w:ascii="Arial" w:cs="Arial" w:eastAsia="Arial" w:hAnsi="Arial"/>
                <w:sz w:val="16"/>
                <w:szCs w:val="16"/>
                <w:b w:val="1"/>
                <w:bCs w:val="1"/>
                <w:color w:val="auto"/>
              </w:rPr>
              <w:t>Part II: Demographic Background</w:t>
            </w:r>
          </w:p>
        </w:tc>
        <w:tc>
          <w:tcPr>
            <w:tcW w:w="700" w:type="dxa"/>
            <w:vAlign w:val="bottom"/>
            <w:tcBorders>
              <w:right w:val="single" w:sz="8" w:color="E5E5E5"/>
            </w:tcBorders>
            <w:shd w:val="clear" w:color="auto" w:fill="E5E5E5"/>
          </w:tcPr>
          <w:p>
            <w:pPr>
              <w:spacing w:after="0"/>
              <w:rPr>
                <w:sz w:val="18"/>
                <w:szCs w:val="18"/>
                <w:color w:val="auto"/>
              </w:rPr>
            </w:pPr>
          </w:p>
        </w:tc>
        <w:tc>
          <w:tcPr>
            <w:tcW w:w="500" w:type="dxa"/>
            <w:vAlign w:val="bottom"/>
            <w:tcBorders>
              <w:right w:val="single" w:sz="8" w:color="E5E5E5"/>
            </w:tcBorders>
            <w:shd w:val="clear" w:color="auto" w:fill="E5E5E5"/>
          </w:tcPr>
          <w:p>
            <w:pPr>
              <w:spacing w:after="0"/>
              <w:rPr>
                <w:sz w:val="18"/>
                <w:szCs w:val="18"/>
                <w:color w:val="auto"/>
              </w:rPr>
            </w:pPr>
          </w:p>
        </w:tc>
        <w:tc>
          <w:tcPr>
            <w:tcW w:w="1040" w:type="dxa"/>
            <w:vAlign w:val="bottom"/>
            <w:tcBorders>
              <w:right w:val="single" w:sz="8" w:color="E5E5E5"/>
            </w:tcBorders>
            <w:shd w:val="clear" w:color="auto" w:fill="E5E5E5"/>
          </w:tcPr>
          <w:p>
            <w:pPr>
              <w:spacing w:after="0"/>
              <w:rPr>
                <w:sz w:val="18"/>
                <w:szCs w:val="18"/>
                <w:color w:val="auto"/>
              </w:rPr>
            </w:pPr>
          </w:p>
        </w:tc>
        <w:tc>
          <w:tcPr>
            <w:tcW w:w="82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6240" w:type="dxa"/>
            <w:vAlign w:val="bottom"/>
            <w:tcBorders>
              <w:left w:val="single" w:sz="8" w:color="auto"/>
              <w:bottom w:val="single" w:sz="8" w:color="auto"/>
              <w:right w:val="single" w:sz="8" w:color="E5E5E5"/>
            </w:tcBorders>
            <w:shd w:val="clear" w:color="auto" w:fill="E5E5E5"/>
          </w:tcPr>
          <w:p>
            <w:pPr>
              <w:spacing w:after="0"/>
              <w:rPr>
                <w:sz w:val="7"/>
                <w:szCs w:val="7"/>
                <w:color w:val="auto"/>
              </w:rPr>
            </w:pPr>
          </w:p>
        </w:tc>
        <w:tc>
          <w:tcPr>
            <w:tcW w:w="700" w:type="dxa"/>
            <w:vAlign w:val="bottom"/>
            <w:tcBorders>
              <w:bottom w:val="single" w:sz="8" w:color="auto"/>
              <w:right w:val="single" w:sz="8" w:color="E5E5E5"/>
            </w:tcBorders>
            <w:shd w:val="clear" w:color="auto" w:fill="E5E5E5"/>
          </w:tcPr>
          <w:p>
            <w:pPr>
              <w:spacing w:after="0"/>
              <w:rPr>
                <w:sz w:val="7"/>
                <w:szCs w:val="7"/>
                <w:color w:val="auto"/>
              </w:rPr>
            </w:pPr>
          </w:p>
        </w:tc>
        <w:tc>
          <w:tcPr>
            <w:tcW w:w="500" w:type="dxa"/>
            <w:vAlign w:val="bottom"/>
            <w:tcBorders>
              <w:bottom w:val="single" w:sz="8" w:color="auto"/>
              <w:right w:val="single" w:sz="8" w:color="E5E5E5"/>
            </w:tcBorders>
            <w:shd w:val="clear" w:color="auto" w:fill="E5E5E5"/>
          </w:tcPr>
          <w:p>
            <w:pPr>
              <w:spacing w:after="0"/>
              <w:rPr>
                <w:sz w:val="7"/>
                <w:szCs w:val="7"/>
                <w:color w:val="auto"/>
              </w:rPr>
            </w:pPr>
          </w:p>
        </w:tc>
        <w:tc>
          <w:tcPr>
            <w:tcW w:w="1040" w:type="dxa"/>
            <w:vAlign w:val="bottom"/>
            <w:tcBorders>
              <w:bottom w:val="single" w:sz="8" w:color="auto"/>
              <w:right w:val="single" w:sz="8" w:color="E5E5E5"/>
            </w:tcBorders>
            <w:shd w:val="clear" w:color="auto" w:fill="E5E5E5"/>
          </w:tcPr>
          <w:p>
            <w:pPr>
              <w:spacing w:after="0"/>
              <w:rPr>
                <w:sz w:val="7"/>
                <w:szCs w:val="7"/>
                <w:color w:val="auto"/>
              </w:rPr>
            </w:pPr>
          </w:p>
        </w:tc>
        <w:tc>
          <w:tcPr>
            <w:tcW w:w="820" w:type="dxa"/>
            <w:vAlign w:val="bottom"/>
            <w:tcBorders>
              <w:bottom w:val="single" w:sz="8" w:color="auto"/>
              <w:right w:val="single" w:sz="8" w:color="auto"/>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African American or Black</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Alaskan Native or Native American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Asian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Hispanic or Latinx</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Native Hawaiian or Pacific Islander</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White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Two or More Races or Ethnicities</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LGBTQ+</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center"/>
              <w:ind w:right="277"/>
              <w:spacing w:after="0"/>
              <w:rPr>
                <w:sz w:val="20"/>
                <w:szCs w:val="20"/>
                <w:color w:val="auto"/>
              </w:rPr>
            </w:pPr>
            <w:r>
              <w:rPr>
                <w:rFonts w:ascii="Arial" w:cs="Arial" w:eastAsia="Arial" w:hAnsi="Arial"/>
                <w:sz w:val="16"/>
                <w:szCs w:val="16"/>
                <w:color w:val="auto"/>
                <w:w w:val="89"/>
              </w:rPr>
              <w:t>0</w:t>
            </w: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Did Not Disclose Demographic Background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center"/>
              <w:ind w:right="277"/>
              <w:spacing w:after="0"/>
              <w:rPr>
                <w:sz w:val="20"/>
                <w:szCs w:val="20"/>
                <w:color w:val="auto"/>
              </w:rPr>
            </w:pPr>
            <w:r>
              <w:rPr>
                <w:rFonts w:ascii="Arial" w:cs="Arial" w:eastAsia="Arial" w:hAnsi="Arial"/>
                <w:sz w:val="16"/>
                <w:szCs w:val="16"/>
                <w:color w:val="auto"/>
                <w:w w:val="89"/>
              </w:rPr>
              <w:t>0</w:t>
            </w: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62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Board Composition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42" w:lineRule="auto"/>
        <w:rPr>
          <w:sz w:val="20"/>
          <w:szCs w:val="20"/>
          <w:color w:val="auto"/>
        </w:rPr>
      </w:pPr>
      <w:r>
        <w:rPr>
          <w:rFonts w:ascii="Arial" w:cs="Arial" w:eastAsia="Arial" w:hAnsi="Arial"/>
          <w:sz w:val="18"/>
          <w:szCs w:val="18"/>
          <w:color w:val="auto"/>
        </w:rPr>
        <w:t>As of the date of this proxy statement, our Board of Directors is comprised of eleven directors and will be comprised of twelve directors if Mr. Ekert is elected. Our Certificate of Incorporation provides that the number of directors on our Board of Directors shall be not less than five directors nor more than thirteen directors, as determined by the affirmative vote of the majority of the Board of Directors then in office.</w:t>
      </w:r>
    </w:p>
    <w:p>
      <w:pPr>
        <w:spacing w:after="0" w:line="154"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Our Board of Directors has determined that George Bravante, Jr., Hervé Couturier, Rachel Gonzalez, Gail Mandel, Phyllis Newhouse, Karl Peterson, Zane Rowe, Gregg Saretsky, John Scott, and Wendi Sturgis are independent as defined under the corporate governance rules of Nasdaq. The Board also determined that Gary Kusin, who retired from the Board of Directors in April 2022, was independent as defined under the corporate governance rules of Nasdaq during the period in 2022 in which he served as a director. In making these determinations, the Board of Directors considered the applicable legal standards and any relevant transactions, relationships, or arrangements. See “Certain Relationships and Related Party Transactions.”</w:t>
      </w:r>
    </w:p>
    <w:p>
      <w:pPr>
        <w:spacing w:after="0" w:line="97"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12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194310</wp:posOffset>
            </wp:positionV>
            <wp:extent cx="1530985" cy="149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8500"/>
        <w:spacing w:after="0"/>
        <w:rPr>
          <w:sz w:val="20"/>
          <w:szCs w:val="20"/>
          <w:color w:val="auto"/>
        </w:rPr>
      </w:pPr>
      <w:r>
        <w:rPr>
          <w:rFonts w:ascii="Arial" w:cs="Arial" w:eastAsia="Arial" w:hAnsi="Arial"/>
          <w:sz w:val="15"/>
          <w:szCs w:val="15"/>
          <w:b w:val="1"/>
          <w:bCs w:val="1"/>
          <w:color w:val="FFFFFF"/>
        </w:rPr>
        <w:t>CORPORATE GOVERNANCE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Director Nominee Criteria and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80"/>
        <w:spacing w:after="0" w:line="237" w:lineRule="auto"/>
        <w:rPr>
          <w:sz w:val="20"/>
          <w:szCs w:val="20"/>
          <w:color w:val="auto"/>
        </w:rPr>
      </w:pPr>
      <w:r>
        <w:rPr>
          <w:rFonts w:ascii="Arial" w:cs="Arial" w:eastAsia="Arial" w:hAnsi="Arial"/>
          <w:sz w:val="18"/>
          <w:szCs w:val="18"/>
          <w:color w:val="auto"/>
        </w:rPr>
        <w:t>The Board of Directors is responsible for approving candidates for membership to the Board of Directors. The Board of Directors has delegated the screening and recruitment process to the Governance and Nominating Committee, in consultation with our Chair of the Board and CEO. The Governance and Nominating Committee believes that the criteria for director nominees should support Sabre’s strategies and business, ensure effective governance, account for individual director attributes and the overall mix of those attributes, and support the successful recruitment of qualified candidates for the Board of Directors.</w:t>
      </w:r>
    </w:p>
    <w:p>
      <w:pPr>
        <w:spacing w:after="0" w:line="158" w:lineRule="exact"/>
        <w:rPr>
          <w:sz w:val="20"/>
          <w:szCs w:val="20"/>
          <w:color w:val="auto"/>
        </w:rPr>
      </w:pPr>
    </w:p>
    <w:p>
      <w:pPr>
        <w:ind w:left="580"/>
        <w:spacing w:after="0" w:line="248" w:lineRule="auto"/>
        <w:rPr>
          <w:sz w:val="20"/>
          <w:szCs w:val="20"/>
          <w:color w:val="auto"/>
        </w:rPr>
      </w:pPr>
      <w:r>
        <w:rPr>
          <w:rFonts w:ascii="Arial" w:cs="Arial" w:eastAsia="Arial" w:hAnsi="Arial"/>
          <w:sz w:val="18"/>
          <w:szCs w:val="18"/>
          <w:color w:val="auto"/>
        </w:rPr>
        <w:t>Qualified candidates for director are those who, in the judgment of the Governance and Nominating Committee, possess all of the general attributes and a sufficient mix of the specific attributes listed below to ensure effective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124460</wp:posOffset>
            </wp:positionV>
            <wp:extent cx="6405880" cy="133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05880" cy="133350"/>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p>
      <w:pPr>
        <w:spacing w:after="0" w:line="208"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FFFFFF"/>
        </w:rPr>
        <w:t>General Attributes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Leadership skills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Ethical character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Active participator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Relationship skills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Effectiveness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Independence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Financial literacy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Reflection of Sabre values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Specific Attributes</w:t>
      </w:r>
    </w:p>
    <w:p>
      <w:pPr>
        <w:spacing w:after="0" w:line="27" w:lineRule="exact"/>
        <w:rPr>
          <w:sz w:val="20"/>
          <w:szCs w:val="20"/>
          <w:color w:val="auto"/>
        </w:rPr>
      </w:pPr>
    </w:p>
    <w:p>
      <w:pPr>
        <w:ind w:left="160" w:right="620" w:hanging="164"/>
        <w:spacing w:after="0" w:line="207"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Leadership experience, including executive and board</w:t>
      </w:r>
      <w:r>
        <w:rPr>
          <w:rFonts w:ascii="Arial" w:cs="Arial" w:eastAsia="Arial" w:hAnsi="Arial"/>
          <w:sz w:val="23"/>
          <w:szCs w:val="23"/>
          <w:color w:val="auto"/>
        </w:rPr>
        <w:t xml:space="preserve"> </w:t>
      </w:r>
      <w:r>
        <w:rPr>
          <w:rFonts w:ascii="Arial" w:cs="Arial" w:eastAsia="Arial" w:hAnsi="Arial"/>
          <w:sz w:val="16"/>
          <w:szCs w:val="16"/>
          <w:color w:val="auto"/>
        </w:rPr>
        <w:t>experience</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or travel industry knowledge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Financial background</w:t>
      </w:r>
    </w:p>
    <w:p>
      <w:pPr>
        <w:spacing w:after="0" w:line="8" w:lineRule="exact"/>
        <w:rPr>
          <w:sz w:val="20"/>
          <w:szCs w:val="20"/>
          <w:color w:val="auto"/>
        </w:rPr>
      </w:pPr>
    </w:p>
    <w:p>
      <w:pPr>
        <w:ind w:left="160" w:right="300" w:hanging="164"/>
        <w:spacing w:after="0" w:line="207"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Diversity, including race, ethnicity, age, education, skill and</w:t>
      </w:r>
      <w:r>
        <w:rPr>
          <w:rFonts w:ascii="Arial" w:cs="Arial" w:eastAsia="Arial" w:hAnsi="Arial"/>
          <w:sz w:val="23"/>
          <w:szCs w:val="23"/>
          <w:color w:val="auto"/>
        </w:rPr>
        <w:t xml:space="preserve"> </w:t>
      </w:r>
      <w:r>
        <w:rPr>
          <w:rFonts w:ascii="Arial" w:cs="Arial" w:eastAsia="Arial" w:hAnsi="Arial"/>
          <w:sz w:val="16"/>
          <w:szCs w:val="16"/>
          <w:color w:val="auto"/>
        </w:rPr>
        <w:t>cultural background</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International experience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Marketing or sales background</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Other functional expertise</w:t>
      </w:r>
    </w:p>
    <w:p>
      <w:pPr>
        <w:spacing w:after="0" w:line="195"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right="20"/>
        <w:spacing w:after="0" w:line="242" w:lineRule="auto"/>
        <w:rPr>
          <w:sz w:val="20"/>
          <w:szCs w:val="20"/>
          <w:color w:val="auto"/>
        </w:rPr>
      </w:pPr>
      <w:r>
        <w:rPr>
          <w:rFonts w:ascii="Arial" w:cs="Arial" w:eastAsia="Arial" w:hAnsi="Arial"/>
          <w:sz w:val="18"/>
          <w:szCs w:val="18"/>
          <w:color w:val="auto"/>
        </w:rPr>
        <w:t>The Governance and Nominating Committee may receive recommendations for candidates for the Board of Directors from various sources, including our directors, management, and stockholders. In addition, the Governance and Nominating Committee may periodically retain a search firm to assist it in identifying and recruiting director candidates meeting the criteria specified by the Governance and Nominating Committee.</w:t>
      </w:r>
    </w:p>
    <w:p>
      <w:pPr>
        <w:spacing w:after="0" w:line="154" w:lineRule="exact"/>
        <w:rPr>
          <w:sz w:val="20"/>
          <w:szCs w:val="20"/>
          <w:color w:val="auto"/>
        </w:rPr>
      </w:pPr>
    </w:p>
    <w:p>
      <w:pPr>
        <w:ind w:left="580" w:right="300"/>
        <w:spacing w:after="0" w:line="242" w:lineRule="auto"/>
        <w:rPr>
          <w:sz w:val="20"/>
          <w:szCs w:val="20"/>
          <w:color w:val="auto"/>
        </w:rPr>
      </w:pPr>
      <w:r>
        <w:rPr>
          <w:rFonts w:ascii="Arial" w:cs="Arial" w:eastAsia="Arial" w:hAnsi="Arial"/>
          <w:sz w:val="18"/>
          <w:szCs w:val="18"/>
          <w:color w:val="auto"/>
        </w:rPr>
        <w:t>The Governance and Nominating Committee recommends nominees to the Board of Directors to fill any vacancies. As provided in our Certificate of Incorporation, the Board of Directors elects a new director when a vacancy occurs between annual meetings of stockholders. The Governance and Nominating Committee also recommends to the Board of Directors any new appointments and nominees for election as directors at our annual meetings of stockholders.</w:t>
      </w:r>
    </w:p>
    <w:p>
      <w:pPr>
        <w:spacing w:after="0" w:line="93"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shd w:val="clear" w:color="auto" w:fill="666666"/>
        </w:rPr>
        <w:t>CORPORATE GOVERNANCE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Attributes of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48" w:lineRule="auto"/>
        <w:rPr>
          <w:sz w:val="20"/>
          <w:szCs w:val="20"/>
          <w:color w:val="auto"/>
        </w:rPr>
      </w:pPr>
      <w:r>
        <w:rPr>
          <w:rFonts w:ascii="Arial" w:cs="Arial" w:eastAsia="Arial" w:hAnsi="Arial"/>
          <w:sz w:val="18"/>
          <w:szCs w:val="18"/>
          <w:color w:val="auto"/>
        </w:rPr>
        <w:t>The Governance and Nominating Committee believes that each of our directors serving as of the date of this proxy statement, as well as Mr. Ekert, possesses all of the general attributes described above. The following chart provides an overview of certain attributes that we believe are applicable to our directors serving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124460</wp:posOffset>
            </wp:positionV>
            <wp:extent cx="4082415" cy="2198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82415" cy="219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“Certain Information Regarding Nominees for Director” for additional information regarding director qualifications.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80"/>
        <w:spacing w:after="0" w:line="248" w:lineRule="auto"/>
        <w:rPr>
          <w:sz w:val="20"/>
          <w:szCs w:val="20"/>
          <w:color w:val="auto"/>
        </w:rPr>
      </w:pPr>
      <w:r>
        <w:rPr>
          <w:rFonts w:ascii="Arial" w:cs="Arial" w:eastAsia="Arial" w:hAnsi="Arial"/>
          <w:sz w:val="18"/>
          <w:szCs w:val="18"/>
          <w:color w:val="auto"/>
        </w:rPr>
        <w:t>The Governance and Nominating Committee believes that Board tenure is important, as we seek to achieve the appropriate balance in years of service. New directors provide fresh perspectives, while longer serving directors provide a deep knowledge of the company. Our Board as of the date of this proxy statement has an average tenure of 5 years.</w:t>
      </w:r>
    </w:p>
    <w:p>
      <w:pPr>
        <w:spacing w:after="0" w:line="150"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Our Corporate Governance Guidelines provide that directors will not stand for re-election after reaching age 74. This provision may be waived in individual cases by the Governance and Nominating Committee.</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Board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right="40"/>
        <w:spacing w:after="0" w:line="239" w:lineRule="auto"/>
        <w:rPr>
          <w:sz w:val="20"/>
          <w:szCs w:val="20"/>
          <w:color w:val="auto"/>
        </w:rPr>
      </w:pPr>
      <w:r>
        <w:rPr>
          <w:rFonts w:ascii="Arial" w:cs="Arial" w:eastAsia="Arial" w:hAnsi="Arial"/>
          <w:sz w:val="18"/>
          <w:szCs w:val="18"/>
          <w:color w:val="auto"/>
        </w:rPr>
        <w:t>The Governance and Nominating Committee oversees annual performance evaluations of the Board and its committees, and the Board and each committee conducts an annual evaluation. The Governance and Nominating Committee further assesses the individual contributions of directors recommended for re-election, as well as considers the overall composition of the Board and its committees, including whether the directors have an appropriate mix of the attributes described above in order to function effectively and taking into account any anticipated future needs of the Board.</w:t>
      </w:r>
    </w:p>
    <w:p>
      <w:pPr>
        <w:spacing w:after="0" w:line="95"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14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194310</wp:posOffset>
            </wp:positionV>
            <wp:extent cx="1530985" cy="149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8500"/>
        <w:spacing w:after="0"/>
        <w:rPr>
          <w:sz w:val="20"/>
          <w:szCs w:val="20"/>
          <w:color w:val="auto"/>
        </w:rPr>
      </w:pPr>
      <w:r>
        <w:rPr>
          <w:rFonts w:ascii="Arial" w:cs="Arial" w:eastAsia="Arial" w:hAnsi="Arial"/>
          <w:sz w:val="15"/>
          <w:szCs w:val="15"/>
          <w:b w:val="1"/>
          <w:bCs w:val="1"/>
          <w:color w:val="FFFFFF"/>
        </w:rPr>
        <w:t>CORPORATE GOVERNANCE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40"/>
        <w:spacing w:after="0" w:line="237" w:lineRule="auto"/>
        <w:rPr>
          <w:sz w:val="20"/>
          <w:szCs w:val="20"/>
          <w:color w:val="auto"/>
        </w:rPr>
      </w:pPr>
      <w:r>
        <w:rPr>
          <w:rFonts w:ascii="Arial" w:cs="Arial" w:eastAsia="Arial" w:hAnsi="Arial"/>
          <w:sz w:val="18"/>
          <w:szCs w:val="18"/>
          <w:color w:val="auto"/>
        </w:rPr>
        <w:t>Our Corporate Governance Guidelines provide that the Board is committed to having a Board that reflects diverse perspectives and believes it is important for the Governance and Nominating Committee to also consider diversity of race, ethnicity, gender, age, education, skill, and cultural background when evaluating candidates for nomination as new directors. While the Governance and Nominating Committee considers this diversity when reviewing nominees for director, the Governance and Nominating Committee has not established a formal policy regarding diversity in identifying director nominees.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Stockholder Nominations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The Governance and Nominating Committee considers nominees recommended by stockholders as candidates for election to the Board of Directors. As discussed under “Other Corporate Governance Practices and Matters,” our Bylaws provide for proxy access stockholder nominations of director candidates. Stockholders who wish to nominate directors under our proxy access Bylaw provisions or who wish to nominate directors who are not intended to be included in our proxy materials should refer to the information under “Other Information—Proxy Access Nominations and Annual Meeting Advance Notice Requirements.”</w:t>
      </w:r>
    </w:p>
    <w:p>
      <w:pPr>
        <w:spacing w:after="0" w:line="158" w:lineRule="exact"/>
        <w:rPr>
          <w:sz w:val="20"/>
          <w:szCs w:val="20"/>
          <w:color w:val="auto"/>
        </w:rPr>
      </w:pPr>
    </w:p>
    <w:p>
      <w:pPr>
        <w:ind w:left="580" w:right="60"/>
        <w:spacing w:after="0" w:line="242" w:lineRule="auto"/>
        <w:rPr>
          <w:sz w:val="20"/>
          <w:szCs w:val="20"/>
          <w:color w:val="auto"/>
        </w:rPr>
      </w:pPr>
      <w:r>
        <w:rPr>
          <w:rFonts w:ascii="Arial" w:cs="Arial" w:eastAsia="Arial" w:hAnsi="Arial"/>
          <w:sz w:val="18"/>
          <w:szCs w:val="18"/>
          <w:color w:val="auto"/>
        </w:rPr>
        <w:t>A nomination that does not comply with the requirements set forth in our Bylaws or Rule 14a-19, as applicable, will not be considered for presentation at the annual meeting, but may be considered by the Governance and Nominating Committee for any vacancies on the Board of Directors that arise between annual meetings in accordance with the process described in “Director Nominee Criteria and Process.”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Board Meetings and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right="140"/>
        <w:spacing w:after="0" w:line="267" w:lineRule="auto"/>
        <w:rPr>
          <w:sz w:val="20"/>
          <w:szCs w:val="20"/>
          <w:color w:val="auto"/>
        </w:rPr>
      </w:pPr>
      <w:r>
        <w:rPr>
          <w:rFonts w:ascii="Arial" w:cs="Arial" w:eastAsia="Arial" w:hAnsi="Arial"/>
          <w:sz w:val="18"/>
          <w:szCs w:val="18"/>
          <w:color w:val="auto"/>
        </w:rPr>
        <w:t>The Board of Directors met four times in 2022. All of the directors attended in excess of 75% of the total number of meetings of the Board of Directors and the committees on which they served.</w:t>
      </w:r>
    </w:p>
    <w:p>
      <w:pPr>
        <w:spacing w:after="0" w:line="133" w:lineRule="exact"/>
        <w:rPr>
          <w:sz w:val="20"/>
          <w:szCs w:val="20"/>
          <w:color w:val="auto"/>
        </w:rPr>
      </w:pPr>
    </w:p>
    <w:p>
      <w:pPr>
        <w:ind w:left="580" w:right="160"/>
        <w:spacing w:after="0" w:line="248" w:lineRule="auto"/>
        <w:rPr>
          <w:sz w:val="20"/>
          <w:szCs w:val="20"/>
          <w:color w:val="auto"/>
        </w:rPr>
      </w:pPr>
      <w:r>
        <w:rPr>
          <w:rFonts w:ascii="Arial" w:cs="Arial" w:eastAsia="Arial" w:hAnsi="Arial"/>
          <w:sz w:val="18"/>
          <w:szCs w:val="18"/>
          <w:color w:val="auto"/>
        </w:rPr>
        <w:t>Our Corporate Governance Guidelines provide that directors are expected to attend all or substantially all Board meetings and meetings of the committees of the Board on which they serve, as well as our annual meeting. Our 2022 Annual Meeting was attended by all of our directors then in office.</w:t>
      </w:r>
    </w:p>
    <w:p>
      <w:pPr>
        <w:spacing w:after="0" w:line="88"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shd w:val="clear" w:color="auto" w:fill="666666"/>
        </w:rPr>
        <w:t>CORPORATE GOVERNANCE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20"/>
        <w:spacing w:after="0" w:line="248" w:lineRule="auto"/>
        <w:rPr>
          <w:sz w:val="20"/>
          <w:szCs w:val="20"/>
          <w:color w:val="auto"/>
        </w:rPr>
      </w:pPr>
      <w:r>
        <w:rPr>
          <w:rFonts w:ascii="Arial" w:cs="Arial" w:eastAsia="Arial" w:hAnsi="Arial"/>
          <w:sz w:val="18"/>
          <w:szCs w:val="18"/>
          <w:color w:val="auto"/>
        </w:rPr>
        <w:t>The Board of Directors has established five standing committees to assist it in carrying out its responsibilities: the Audit Committee, the Compensation Committee, the Governance and Nominating Committee, the Technology Committee, and the Executive Committee. The table below provides membership for each committee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124460</wp:posOffset>
            </wp:positionV>
            <wp:extent cx="15875" cy="2159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75" cy="215900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124460</wp:posOffset>
            </wp:positionV>
            <wp:extent cx="15875" cy="2159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75" cy="215900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124460</wp:posOffset>
            </wp:positionV>
            <wp:extent cx="15875" cy="2159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75" cy="215900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124460</wp:posOffset>
            </wp:positionV>
            <wp:extent cx="15875" cy="21590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75" cy="215900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124460</wp:posOffset>
            </wp:positionV>
            <wp:extent cx="15875" cy="2159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875" cy="2159000"/>
                    </a:xfrm>
                    <a:prstGeom prst="rect">
                      <a:avLst/>
                    </a:prstGeom>
                    <a:noFill/>
                  </pic:spPr>
                </pic:pic>
              </a:graphicData>
            </a:graphic>
          </wp:anchor>
        </w:drawing>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3740" w:type="dxa"/>
            <w:vAlign w:val="bottom"/>
            <w:shd w:val="clear" w:color="auto" w:fill="666666"/>
          </w:tcPr>
          <w:p>
            <w:pPr>
              <w:spacing w:after="0"/>
              <w:rPr>
                <w:sz w:val="14"/>
                <w:szCs w:val="14"/>
                <w:color w:val="auto"/>
              </w:rPr>
            </w:pPr>
          </w:p>
        </w:tc>
        <w:tc>
          <w:tcPr>
            <w:tcW w:w="1020" w:type="dxa"/>
            <w:vAlign w:val="bottom"/>
            <w:shd w:val="clear" w:color="auto" w:fill="666666"/>
          </w:tcPr>
          <w:p>
            <w:pPr>
              <w:spacing w:after="0"/>
              <w:rPr>
                <w:sz w:val="14"/>
                <w:szCs w:val="14"/>
                <w:color w:val="auto"/>
              </w:rPr>
            </w:pPr>
          </w:p>
        </w:tc>
        <w:tc>
          <w:tcPr>
            <w:tcW w:w="1420" w:type="dxa"/>
            <w:vAlign w:val="bottom"/>
            <w:shd w:val="clear" w:color="auto" w:fill="666666"/>
          </w:tcPr>
          <w:p>
            <w:pPr>
              <w:spacing w:after="0"/>
              <w:rPr>
                <w:sz w:val="14"/>
                <w:szCs w:val="14"/>
                <w:color w:val="auto"/>
              </w:rPr>
            </w:pPr>
          </w:p>
        </w:tc>
        <w:tc>
          <w:tcPr>
            <w:tcW w:w="14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Governance</w:t>
            </w:r>
          </w:p>
        </w:tc>
        <w:tc>
          <w:tcPr>
            <w:tcW w:w="1320" w:type="dxa"/>
            <w:vAlign w:val="bottom"/>
            <w:shd w:val="clear" w:color="auto" w:fill="666666"/>
          </w:tcPr>
          <w:p>
            <w:pPr>
              <w:spacing w:after="0"/>
              <w:rPr>
                <w:sz w:val="14"/>
                <w:szCs w:val="14"/>
                <w:color w:val="auto"/>
              </w:rPr>
            </w:pPr>
          </w:p>
        </w:tc>
        <w:tc>
          <w:tcPr>
            <w:tcW w:w="1160" w:type="dxa"/>
            <w:vAlign w:val="bottom"/>
            <w:shd w:val="clear" w:color="auto" w:fill="666666"/>
          </w:tcPr>
          <w:p>
            <w:pPr>
              <w:spacing w:after="0"/>
              <w:rPr>
                <w:sz w:val="14"/>
                <w:szCs w:val="14"/>
                <w:color w:val="auto"/>
              </w:rPr>
            </w:pPr>
          </w:p>
        </w:tc>
      </w:tr>
      <w:tr>
        <w:trPr>
          <w:trHeight w:val="173"/>
        </w:trPr>
        <w:tc>
          <w:tcPr>
            <w:tcW w:w="3740" w:type="dxa"/>
            <w:vAlign w:val="bottom"/>
            <w:shd w:val="clear" w:color="auto" w:fill="666666"/>
          </w:tcPr>
          <w:p>
            <w:pPr>
              <w:spacing w:after="0"/>
              <w:rPr>
                <w:sz w:val="15"/>
                <w:szCs w:val="15"/>
                <w:color w:val="auto"/>
              </w:rPr>
            </w:pPr>
          </w:p>
        </w:tc>
        <w:tc>
          <w:tcPr>
            <w:tcW w:w="1020" w:type="dxa"/>
            <w:vAlign w:val="bottom"/>
            <w:shd w:val="clear" w:color="auto" w:fill="666666"/>
          </w:tcPr>
          <w:p>
            <w:pPr>
              <w:spacing w:after="0"/>
              <w:rPr>
                <w:sz w:val="15"/>
                <w:szCs w:val="15"/>
                <w:color w:val="auto"/>
              </w:rPr>
            </w:pPr>
          </w:p>
        </w:tc>
        <w:tc>
          <w:tcPr>
            <w:tcW w:w="1420" w:type="dxa"/>
            <w:vAlign w:val="bottom"/>
            <w:shd w:val="clear" w:color="auto" w:fill="666666"/>
          </w:tcPr>
          <w:p>
            <w:pPr>
              <w:spacing w:after="0"/>
              <w:rPr>
                <w:sz w:val="15"/>
                <w:szCs w:val="15"/>
                <w:color w:val="auto"/>
              </w:rPr>
            </w:pPr>
          </w:p>
        </w:tc>
        <w:tc>
          <w:tcPr>
            <w:tcW w:w="14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and</w:t>
            </w:r>
          </w:p>
        </w:tc>
        <w:tc>
          <w:tcPr>
            <w:tcW w:w="1320" w:type="dxa"/>
            <w:vAlign w:val="bottom"/>
            <w:shd w:val="clear" w:color="auto" w:fill="666666"/>
          </w:tcPr>
          <w:p>
            <w:pPr>
              <w:spacing w:after="0"/>
              <w:rPr>
                <w:sz w:val="15"/>
                <w:szCs w:val="15"/>
                <w:color w:val="auto"/>
              </w:rPr>
            </w:pPr>
          </w:p>
        </w:tc>
        <w:tc>
          <w:tcPr>
            <w:tcW w:w="1160" w:type="dxa"/>
            <w:vAlign w:val="bottom"/>
            <w:shd w:val="clear" w:color="auto" w:fill="666666"/>
          </w:tcPr>
          <w:p>
            <w:pPr>
              <w:spacing w:after="0"/>
              <w:rPr>
                <w:sz w:val="15"/>
                <w:szCs w:val="15"/>
                <w:color w:val="auto"/>
              </w:rPr>
            </w:pPr>
          </w:p>
        </w:tc>
      </w:tr>
      <w:tr>
        <w:trPr>
          <w:trHeight w:val="210"/>
        </w:trPr>
        <w:tc>
          <w:tcPr>
            <w:tcW w:w="3740" w:type="dxa"/>
            <w:vAlign w:val="bottom"/>
            <w:shd w:val="clear" w:color="auto" w:fill="666666"/>
          </w:tcPr>
          <w:p>
            <w:pPr>
              <w:ind w:left="80"/>
              <w:spacing w:after="0"/>
              <w:rPr>
                <w:sz w:val="20"/>
                <w:szCs w:val="20"/>
                <w:color w:val="auto"/>
              </w:rPr>
            </w:pPr>
            <w:r>
              <w:rPr>
                <w:rFonts w:ascii="Arial" w:cs="Arial" w:eastAsia="Arial" w:hAnsi="Arial"/>
                <w:sz w:val="15"/>
                <w:szCs w:val="15"/>
                <w:b w:val="1"/>
                <w:bCs w:val="1"/>
                <w:color w:val="FFFFFF"/>
              </w:rPr>
              <w:t>Director</w:t>
            </w: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Audit</w:t>
            </w:r>
          </w:p>
        </w:tc>
        <w:tc>
          <w:tcPr>
            <w:tcW w:w="14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1420" w:type="dxa"/>
            <w:vAlign w:val="bottom"/>
            <w:shd w:val="clear" w:color="auto" w:fill="666666"/>
          </w:tcPr>
          <w:p>
            <w:pPr>
              <w:ind w:left="220"/>
              <w:spacing w:after="0"/>
              <w:rPr>
                <w:sz w:val="20"/>
                <w:szCs w:val="20"/>
                <w:color w:val="auto"/>
              </w:rPr>
            </w:pPr>
            <w:r>
              <w:rPr>
                <w:rFonts w:ascii="Arial" w:cs="Arial" w:eastAsia="Arial" w:hAnsi="Arial"/>
                <w:sz w:val="15"/>
                <w:szCs w:val="15"/>
                <w:b w:val="1"/>
                <w:bCs w:val="1"/>
                <w:color w:val="FFFFFF"/>
              </w:rPr>
              <w:t>Nominating</w:t>
            </w:r>
          </w:p>
        </w:tc>
        <w:tc>
          <w:tcPr>
            <w:tcW w:w="13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Technology</w:t>
            </w:r>
          </w:p>
        </w:tc>
        <w:tc>
          <w:tcPr>
            <w:tcW w:w="116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Executive</w:t>
            </w:r>
          </w:p>
        </w:tc>
      </w:tr>
      <w:tr>
        <w:trPr>
          <w:trHeight w:val="260"/>
        </w:trPr>
        <w:tc>
          <w:tcPr>
            <w:tcW w:w="37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George Bravante, Jr.</w:t>
            </w:r>
          </w:p>
        </w:tc>
        <w:tc>
          <w:tcPr>
            <w:tcW w:w="1020" w:type="dxa"/>
            <w:vAlign w:val="bottom"/>
            <w:shd w:val="clear" w:color="auto" w:fill="E5E5E5"/>
          </w:tcPr>
          <w:p>
            <w:pPr>
              <w:jc w:val="center"/>
              <w:spacing w:after="0" w:line="259" w:lineRule="exact"/>
              <w:rPr>
                <w:sz w:val="20"/>
                <w:szCs w:val="20"/>
                <w:color w:val="auto"/>
              </w:rPr>
            </w:pPr>
            <w:r>
              <w:rPr>
                <w:rFonts w:ascii="Arial" w:cs="Arial" w:eastAsia="Arial" w:hAnsi="Arial"/>
                <w:sz w:val="16"/>
                <w:szCs w:val="16"/>
                <w:color w:val="CF0A2C"/>
                <w:w w:val="93"/>
              </w:rPr>
              <w:t>Chair</w:t>
            </w:r>
            <w:r>
              <w:rPr>
                <w:rFonts w:ascii="Arial" w:cs="Arial" w:eastAsia="Arial" w:hAnsi="Arial"/>
                <w:sz w:val="24"/>
                <w:szCs w:val="24"/>
                <w:color w:val="000000"/>
                <w:w w:val="93"/>
                <w:vertAlign w:val="superscript"/>
              </w:rPr>
              <w:t>(1)</w:t>
            </w:r>
          </w:p>
        </w:tc>
        <w:tc>
          <w:tcPr>
            <w:tcW w:w="1420" w:type="dxa"/>
            <w:vAlign w:val="bottom"/>
            <w:shd w:val="clear" w:color="auto" w:fill="E5E5E5"/>
          </w:tcPr>
          <w:p>
            <w:pPr>
              <w:spacing w:after="0"/>
              <w:rPr>
                <w:sz w:val="22"/>
                <w:szCs w:val="22"/>
                <w:color w:val="auto"/>
              </w:rPr>
            </w:pPr>
          </w:p>
        </w:tc>
        <w:tc>
          <w:tcPr>
            <w:tcW w:w="1420" w:type="dxa"/>
            <w:vAlign w:val="bottom"/>
            <w:shd w:val="clear" w:color="auto" w:fill="E5E5E5"/>
          </w:tcPr>
          <w:p>
            <w:pPr>
              <w:spacing w:after="0"/>
              <w:rPr>
                <w:sz w:val="22"/>
                <w:szCs w:val="22"/>
                <w:color w:val="auto"/>
              </w:rPr>
            </w:pPr>
          </w:p>
        </w:tc>
        <w:tc>
          <w:tcPr>
            <w:tcW w:w="1320" w:type="dxa"/>
            <w:vAlign w:val="bottom"/>
            <w:shd w:val="clear" w:color="auto" w:fill="E5E5E5"/>
          </w:tcPr>
          <w:p>
            <w:pPr>
              <w:spacing w:after="0"/>
              <w:rPr>
                <w:sz w:val="22"/>
                <w:szCs w:val="22"/>
                <w:color w:val="auto"/>
              </w:rPr>
            </w:pP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r>
      <w:tr>
        <w:trPr>
          <w:trHeight w:val="255"/>
        </w:trPr>
        <w:tc>
          <w:tcPr>
            <w:tcW w:w="3740" w:type="dxa"/>
            <w:vAlign w:val="bottom"/>
          </w:tcPr>
          <w:p>
            <w:pPr>
              <w:ind w:left="100"/>
              <w:spacing w:after="0"/>
              <w:rPr>
                <w:sz w:val="20"/>
                <w:szCs w:val="20"/>
                <w:color w:val="auto"/>
              </w:rPr>
            </w:pPr>
            <w:r>
              <w:rPr>
                <w:rFonts w:ascii="Arial" w:cs="Arial" w:eastAsia="Arial" w:hAnsi="Arial"/>
                <w:sz w:val="16"/>
                <w:szCs w:val="16"/>
                <w:color w:val="auto"/>
              </w:rPr>
              <w:t>Hervé Couturier</w:t>
            </w:r>
          </w:p>
        </w:tc>
        <w:tc>
          <w:tcPr>
            <w:tcW w:w="10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CF0A2C"/>
              </w:rPr>
              <w:t>Chair</w:t>
            </w:r>
          </w:p>
        </w:tc>
        <w:tc>
          <w:tcPr>
            <w:tcW w:w="1160" w:type="dxa"/>
            <w:vAlign w:val="bottom"/>
          </w:tcPr>
          <w:p>
            <w:pPr>
              <w:jc w:val="center"/>
              <w:spacing w:after="0"/>
              <w:rPr>
                <w:sz w:val="20"/>
                <w:szCs w:val="20"/>
                <w:color w:val="auto"/>
              </w:rPr>
            </w:pPr>
            <w:r>
              <w:rPr>
                <w:rFonts w:ascii="Arial" w:cs="Arial" w:eastAsia="Arial" w:hAnsi="Arial"/>
                <w:sz w:val="16"/>
                <w:szCs w:val="16"/>
                <w:color w:val="auto"/>
              </w:rPr>
              <w:t>Member</w:t>
            </w:r>
          </w:p>
        </w:tc>
      </w:tr>
      <w:tr>
        <w:trPr>
          <w:trHeight w:val="265"/>
        </w:trPr>
        <w:tc>
          <w:tcPr>
            <w:tcW w:w="3740" w:type="dxa"/>
            <w:vAlign w:val="bottom"/>
            <w:shd w:val="clear" w:color="auto" w:fill="E5E5E5"/>
          </w:tcPr>
          <w:p>
            <w:pPr>
              <w:ind w:left="100"/>
              <w:spacing w:after="0" w:line="265" w:lineRule="exact"/>
              <w:rPr>
                <w:sz w:val="20"/>
                <w:szCs w:val="20"/>
                <w:color w:val="auto"/>
              </w:rPr>
            </w:pPr>
            <w:r>
              <w:rPr>
                <w:rFonts w:ascii="Arial" w:cs="Arial" w:eastAsia="Arial" w:hAnsi="Arial"/>
                <w:sz w:val="16"/>
                <w:szCs w:val="16"/>
                <w:color w:val="auto"/>
              </w:rPr>
              <w:t>Rachel Gonzalez</w:t>
            </w:r>
            <w:r>
              <w:rPr>
                <w:rFonts w:ascii="Arial" w:cs="Arial" w:eastAsia="Arial" w:hAnsi="Arial"/>
                <w:sz w:val="24"/>
                <w:szCs w:val="24"/>
                <w:color w:val="auto"/>
                <w:vertAlign w:val="superscript"/>
              </w:rPr>
              <w:t>(2)</w:t>
            </w:r>
          </w:p>
        </w:tc>
        <w:tc>
          <w:tcPr>
            <w:tcW w:w="1020" w:type="dxa"/>
            <w:vAlign w:val="bottom"/>
            <w:shd w:val="clear" w:color="auto" w:fill="E5E5E5"/>
          </w:tcPr>
          <w:p>
            <w:pPr>
              <w:spacing w:after="0"/>
              <w:rPr>
                <w:sz w:val="23"/>
                <w:szCs w:val="23"/>
                <w:color w:val="auto"/>
              </w:rPr>
            </w:pPr>
          </w:p>
        </w:tc>
        <w:tc>
          <w:tcPr>
            <w:tcW w:w="1420" w:type="dxa"/>
            <w:vAlign w:val="bottom"/>
            <w:shd w:val="clear" w:color="auto" w:fill="E5E5E5"/>
          </w:tcPr>
          <w:p>
            <w:pPr>
              <w:spacing w:after="0"/>
              <w:rPr>
                <w:sz w:val="23"/>
                <w:szCs w:val="23"/>
                <w:color w:val="auto"/>
              </w:rPr>
            </w:pPr>
          </w:p>
        </w:tc>
        <w:tc>
          <w:tcPr>
            <w:tcW w:w="1420" w:type="dxa"/>
            <w:vAlign w:val="bottom"/>
            <w:shd w:val="clear" w:color="auto" w:fill="E5E5E5"/>
          </w:tcPr>
          <w:p>
            <w:pPr>
              <w:spacing w:after="0"/>
              <w:rPr>
                <w:sz w:val="23"/>
                <w:szCs w:val="23"/>
                <w:color w:val="auto"/>
              </w:rPr>
            </w:pPr>
          </w:p>
        </w:tc>
        <w:tc>
          <w:tcPr>
            <w:tcW w:w="132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r>
      <w:tr>
        <w:trPr>
          <w:trHeight w:val="260"/>
        </w:trPr>
        <w:tc>
          <w:tcPr>
            <w:tcW w:w="3740" w:type="dxa"/>
            <w:vAlign w:val="bottom"/>
          </w:tcPr>
          <w:p>
            <w:pPr>
              <w:ind w:left="100"/>
              <w:spacing w:after="0"/>
              <w:rPr>
                <w:sz w:val="20"/>
                <w:szCs w:val="20"/>
                <w:color w:val="auto"/>
              </w:rPr>
            </w:pPr>
            <w:r>
              <w:rPr>
                <w:rFonts w:ascii="Arial" w:cs="Arial" w:eastAsia="Arial" w:hAnsi="Arial"/>
                <w:sz w:val="16"/>
                <w:szCs w:val="16"/>
                <w:color w:val="auto"/>
              </w:rPr>
              <w:t>Gail Mandel</w:t>
            </w:r>
          </w:p>
        </w:tc>
        <w:tc>
          <w:tcPr>
            <w:tcW w:w="1020" w:type="dxa"/>
            <w:vAlign w:val="bottom"/>
          </w:tcPr>
          <w:p>
            <w:pPr>
              <w:jc w:val="center"/>
              <w:spacing w:after="0" w:line="259" w:lineRule="exact"/>
              <w:rPr>
                <w:sz w:val="20"/>
                <w:szCs w:val="20"/>
                <w:color w:val="auto"/>
              </w:rPr>
            </w:pPr>
            <w:r>
              <w:rPr>
                <w:rFonts w:ascii="Arial" w:cs="Arial" w:eastAsia="Arial" w:hAnsi="Arial"/>
                <w:sz w:val="16"/>
                <w:szCs w:val="16"/>
                <w:color w:val="auto"/>
                <w:w w:val="94"/>
              </w:rPr>
              <w:t>Member</w:t>
            </w:r>
            <w:r>
              <w:rPr>
                <w:rFonts w:ascii="Arial" w:cs="Arial" w:eastAsia="Arial" w:hAnsi="Arial"/>
                <w:sz w:val="24"/>
                <w:szCs w:val="24"/>
                <w:color w:val="auto"/>
                <w:w w:val="94"/>
                <w:vertAlign w:val="superscript"/>
              </w:rPr>
              <w:t>(1)</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160" w:type="dxa"/>
            <w:vAlign w:val="bottom"/>
          </w:tcPr>
          <w:p>
            <w:pPr>
              <w:spacing w:after="0"/>
              <w:rPr>
                <w:sz w:val="22"/>
                <w:szCs w:val="22"/>
                <w:color w:val="auto"/>
              </w:rPr>
            </w:pPr>
          </w:p>
        </w:tc>
      </w:tr>
      <w:tr>
        <w:trPr>
          <w:trHeight w:val="260"/>
        </w:trPr>
        <w:tc>
          <w:tcPr>
            <w:tcW w:w="37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Sean Menke</w:t>
            </w:r>
          </w:p>
        </w:tc>
        <w:tc>
          <w:tcPr>
            <w:tcW w:w="1020" w:type="dxa"/>
            <w:vAlign w:val="bottom"/>
            <w:shd w:val="clear" w:color="auto" w:fill="E5E5E5"/>
          </w:tcPr>
          <w:p>
            <w:pPr>
              <w:spacing w:after="0"/>
              <w:rPr>
                <w:sz w:val="22"/>
                <w:szCs w:val="22"/>
                <w:color w:val="auto"/>
              </w:rPr>
            </w:pPr>
          </w:p>
        </w:tc>
        <w:tc>
          <w:tcPr>
            <w:tcW w:w="1420" w:type="dxa"/>
            <w:vAlign w:val="bottom"/>
            <w:shd w:val="clear" w:color="auto" w:fill="E5E5E5"/>
          </w:tcPr>
          <w:p>
            <w:pPr>
              <w:spacing w:after="0"/>
              <w:rPr>
                <w:sz w:val="22"/>
                <w:szCs w:val="22"/>
                <w:color w:val="auto"/>
              </w:rPr>
            </w:pPr>
          </w:p>
        </w:tc>
        <w:tc>
          <w:tcPr>
            <w:tcW w:w="1420" w:type="dxa"/>
            <w:vAlign w:val="bottom"/>
            <w:shd w:val="clear" w:color="auto" w:fill="E5E5E5"/>
          </w:tcPr>
          <w:p>
            <w:pPr>
              <w:spacing w:after="0"/>
              <w:rPr>
                <w:sz w:val="22"/>
                <w:szCs w:val="22"/>
                <w:color w:val="auto"/>
              </w:rPr>
            </w:pP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CF0A2C"/>
                <w:w w:val="99"/>
              </w:rPr>
              <w:t>Chair</w:t>
            </w:r>
          </w:p>
        </w:tc>
      </w:tr>
      <w:tr>
        <w:trPr>
          <w:trHeight w:val="255"/>
        </w:trPr>
        <w:tc>
          <w:tcPr>
            <w:tcW w:w="3740" w:type="dxa"/>
            <w:vAlign w:val="bottom"/>
          </w:tcPr>
          <w:p>
            <w:pPr>
              <w:ind w:left="100"/>
              <w:spacing w:after="0"/>
              <w:rPr>
                <w:sz w:val="20"/>
                <w:szCs w:val="20"/>
                <w:color w:val="auto"/>
              </w:rPr>
            </w:pPr>
            <w:r>
              <w:rPr>
                <w:rFonts w:ascii="Arial" w:cs="Arial" w:eastAsia="Arial" w:hAnsi="Arial"/>
                <w:sz w:val="16"/>
                <w:szCs w:val="16"/>
                <w:color w:val="auto"/>
              </w:rPr>
              <w:t>Phyllis Newhouse</w:t>
            </w:r>
          </w:p>
        </w:tc>
        <w:tc>
          <w:tcPr>
            <w:tcW w:w="10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160" w:type="dxa"/>
            <w:vAlign w:val="bottom"/>
          </w:tcPr>
          <w:p>
            <w:pPr>
              <w:spacing w:after="0"/>
              <w:rPr>
                <w:sz w:val="22"/>
                <w:szCs w:val="22"/>
                <w:color w:val="auto"/>
              </w:rPr>
            </w:pPr>
          </w:p>
        </w:tc>
      </w:tr>
      <w:tr>
        <w:trPr>
          <w:trHeight w:val="265"/>
        </w:trPr>
        <w:tc>
          <w:tcPr>
            <w:tcW w:w="37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Karl Peterson</w:t>
            </w:r>
          </w:p>
        </w:tc>
        <w:tc>
          <w:tcPr>
            <w:tcW w:w="1020" w:type="dxa"/>
            <w:vAlign w:val="bottom"/>
            <w:shd w:val="clear" w:color="auto" w:fill="E5E5E5"/>
          </w:tcPr>
          <w:p>
            <w:pPr>
              <w:spacing w:after="0"/>
              <w:rPr>
                <w:sz w:val="23"/>
                <w:szCs w:val="23"/>
                <w:color w:val="auto"/>
              </w:rPr>
            </w:pP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c>
          <w:tcPr>
            <w:tcW w:w="132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r>
      <w:tr>
        <w:trPr>
          <w:trHeight w:val="255"/>
        </w:trPr>
        <w:tc>
          <w:tcPr>
            <w:tcW w:w="3740" w:type="dxa"/>
            <w:vAlign w:val="bottom"/>
          </w:tcPr>
          <w:p>
            <w:pPr>
              <w:ind w:left="100"/>
              <w:spacing w:after="0"/>
              <w:rPr>
                <w:sz w:val="20"/>
                <w:szCs w:val="20"/>
                <w:color w:val="auto"/>
              </w:rPr>
            </w:pPr>
            <w:r>
              <w:rPr>
                <w:rFonts w:ascii="Arial" w:cs="Arial" w:eastAsia="Arial" w:hAnsi="Arial"/>
                <w:sz w:val="16"/>
                <w:szCs w:val="16"/>
                <w:color w:val="auto"/>
              </w:rPr>
              <w:t>Zane Rowe</w:t>
            </w:r>
          </w:p>
        </w:tc>
        <w:tc>
          <w:tcPr>
            <w:tcW w:w="10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4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160" w:type="dxa"/>
            <w:vAlign w:val="bottom"/>
          </w:tcPr>
          <w:p>
            <w:pPr>
              <w:spacing w:after="0"/>
              <w:rPr>
                <w:sz w:val="22"/>
                <w:szCs w:val="22"/>
                <w:color w:val="auto"/>
              </w:rPr>
            </w:pPr>
          </w:p>
        </w:tc>
      </w:tr>
      <w:tr>
        <w:trPr>
          <w:trHeight w:val="265"/>
        </w:trPr>
        <w:tc>
          <w:tcPr>
            <w:tcW w:w="37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Gregg Saretsky</w:t>
            </w:r>
          </w:p>
        </w:tc>
        <w:tc>
          <w:tcPr>
            <w:tcW w:w="1020" w:type="dxa"/>
            <w:vAlign w:val="bottom"/>
            <w:shd w:val="clear" w:color="auto" w:fill="E5E5E5"/>
          </w:tcPr>
          <w:p>
            <w:pPr>
              <w:spacing w:after="0"/>
              <w:rPr>
                <w:sz w:val="23"/>
                <w:szCs w:val="23"/>
                <w:color w:val="auto"/>
              </w:rPr>
            </w:pPr>
          </w:p>
        </w:tc>
        <w:tc>
          <w:tcPr>
            <w:tcW w:w="1420" w:type="dxa"/>
            <w:vAlign w:val="bottom"/>
            <w:shd w:val="clear" w:color="auto" w:fill="E5E5E5"/>
          </w:tcPr>
          <w:p>
            <w:pPr>
              <w:spacing w:after="0"/>
              <w:rPr>
                <w:sz w:val="23"/>
                <w:szCs w:val="23"/>
                <w:color w:val="auto"/>
              </w:rPr>
            </w:pP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CF0A2C"/>
              </w:rPr>
              <w:t>Chair</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r>
      <w:tr>
        <w:trPr>
          <w:trHeight w:val="255"/>
        </w:trPr>
        <w:tc>
          <w:tcPr>
            <w:tcW w:w="3740" w:type="dxa"/>
            <w:vAlign w:val="bottom"/>
          </w:tcPr>
          <w:p>
            <w:pPr>
              <w:ind w:left="100"/>
              <w:spacing w:after="0"/>
              <w:rPr>
                <w:sz w:val="20"/>
                <w:szCs w:val="20"/>
                <w:color w:val="auto"/>
              </w:rPr>
            </w:pPr>
            <w:r>
              <w:rPr>
                <w:rFonts w:ascii="Arial" w:cs="Arial" w:eastAsia="Arial" w:hAnsi="Arial"/>
                <w:sz w:val="16"/>
                <w:szCs w:val="16"/>
                <w:color w:val="auto"/>
              </w:rPr>
              <w:t>John Scott</w:t>
            </w:r>
          </w:p>
        </w:tc>
        <w:tc>
          <w:tcPr>
            <w:tcW w:w="10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CF0A2C"/>
              </w:rPr>
              <w:t>Chair</w:t>
            </w:r>
          </w:p>
        </w:tc>
        <w:tc>
          <w:tcPr>
            <w:tcW w:w="1420" w:type="dxa"/>
            <w:vAlign w:val="bottom"/>
          </w:tcPr>
          <w:p>
            <w:pPr>
              <w:jc w:val="center"/>
              <w:spacing w:after="0"/>
              <w:rPr>
                <w:sz w:val="20"/>
                <w:szCs w:val="20"/>
                <w:color w:val="auto"/>
              </w:rPr>
            </w:pPr>
            <w:r>
              <w:rPr>
                <w:rFonts w:ascii="Arial" w:cs="Arial" w:eastAsia="Arial" w:hAnsi="Arial"/>
                <w:sz w:val="16"/>
                <w:szCs w:val="16"/>
                <w:color w:val="auto"/>
              </w:rPr>
              <w:t>Member</w:t>
            </w:r>
          </w:p>
        </w:tc>
        <w:tc>
          <w:tcPr>
            <w:tcW w:w="13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Member</w:t>
            </w:r>
          </w:p>
        </w:tc>
      </w:tr>
      <w:tr>
        <w:trPr>
          <w:trHeight w:val="265"/>
        </w:trPr>
        <w:tc>
          <w:tcPr>
            <w:tcW w:w="37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Wendi Sturgis</w:t>
            </w:r>
          </w:p>
        </w:tc>
        <w:tc>
          <w:tcPr>
            <w:tcW w:w="1020" w:type="dxa"/>
            <w:vAlign w:val="bottom"/>
            <w:shd w:val="clear" w:color="auto" w:fill="E5E5E5"/>
          </w:tcPr>
          <w:p>
            <w:pPr>
              <w:spacing w:after="0"/>
              <w:rPr>
                <w:sz w:val="23"/>
                <w:szCs w:val="23"/>
                <w:color w:val="auto"/>
              </w:rPr>
            </w:pPr>
          </w:p>
        </w:tc>
        <w:tc>
          <w:tcPr>
            <w:tcW w:w="1420" w:type="dxa"/>
            <w:vAlign w:val="bottom"/>
            <w:shd w:val="clear" w:color="auto" w:fill="E5E5E5"/>
          </w:tcPr>
          <w:p>
            <w:pPr>
              <w:spacing w:after="0"/>
              <w:rPr>
                <w:sz w:val="23"/>
                <w:szCs w:val="23"/>
                <w:color w:val="auto"/>
              </w:rPr>
            </w:pP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Member</w:t>
            </w:r>
          </w:p>
        </w:tc>
        <w:tc>
          <w:tcPr>
            <w:tcW w:w="1160" w:type="dxa"/>
            <w:vAlign w:val="bottom"/>
            <w:shd w:val="clear" w:color="auto" w:fill="E5E5E5"/>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41" w:lineRule="exact"/>
        <w:rPr>
          <w:sz w:val="20"/>
          <w:szCs w:val="20"/>
          <w:color w:val="auto"/>
        </w:rPr>
      </w:pPr>
    </w:p>
    <w:p>
      <w:pPr>
        <w:ind w:left="980" w:hanging="400"/>
        <w:spacing w:after="0"/>
        <w:tabs>
          <w:tab w:leader="none" w:pos="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Audit Committee financial expert.</w:t>
      </w:r>
    </w:p>
    <w:p>
      <w:pPr>
        <w:spacing w:after="0" w:line="14" w:lineRule="exact"/>
        <w:rPr>
          <w:rFonts w:ascii="Arial" w:cs="Arial" w:eastAsia="Arial" w:hAnsi="Arial"/>
          <w:sz w:val="15"/>
          <w:szCs w:val="15"/>
          <w:color w:val="auto"/>
        </w:rPr>
      </w:pPr>
    </w:p>
    <w:p>
      <w:pPr>
        <w:ind w:left="980" w:right="300" w:hanging="400"/>
        <w:spacing w:after="0" w:line="254" w:lineRule="auto"/>
        <w:tabs>
          <w:tab w:leader="none" w:pos="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Ms. Gonzalez is expected to be appointed to the Compensation Committee and the Governance and Nominating Committee following the 2023 Annual Meeting.</w:t>
      </w:r>
    </w:p>
    <w:p>
      <w:pPr>
        <w:spacing w:after="0" w:line="156" w:lineRule="exact"/>
        <w:rPr>
          <w:sz w:val="20"/>
          <w:szCs w:val="20"/>
          <w:color w:val="auto"/>
        </w:rPr>
      </w:pPr>
    </w:p>
    <w:p>
      <w:pPr>
        <w:ind w:left="580" w:right="180"/>
        <w:spacing w:after="0" w:line="267" w:lineRule="auto"/>
        <w:rPr>
          <w:sz w:val="20"/>
          <w:szCs w:val="20"/>
          <w:color w:val="auto"/>
        </w:rPr>
      </w:pPr>
      <w:r>
        <w:rPr>
          <w:rFonts w:ascii="Arial" w:cs="Arial" w:eastAsia="Arial" w:hAnsi="Arial"/>
          <w:sz w:val="18"/>
          <w:szCs w:val="18"/>
          <w:color w:val="auto"/>
        </w:rPr>
        <w:t xml:space="preserve">Each of the committees operates under its own written charter adopted by the Board of Directors, each of which is available on the investor relations section of our website at </w:t>
      </w:r>
      <w:r>
        <w:rPr>
          <w:rFonts w:ascii="Arial" w:cs="Arial" w:eastAsia="Arial" w:hAnsi="Arial"/>
          <w:sz w:val="18"/>
          <w:szCs w:val="18"/>
          <w:u w:val="single" w:color="auto"/>
          <w:color w:val="auto"/>
        </w:rPr>
        <w:t>investors.sabre.com</w:t>
      </w:r>
      <w:r>
        <w:rPr>
          <w:rFonts w:ascii="Arial" w:cs="Arial" w:eastAsia="Arial" w:hAnsi="Arial"/>
          <w:sz w:val="18"/>
          <w:szCs w:val="18"/>
          <w:color w:val="auto"/>
        </w:rPr>
        <w:t>.</w:t>
      </w:r>
    </w:p>
    <w:p>
      <w:pPr>
        <w:spacing w:after="0" w:line="133" w:lineRule="exact"/>
        <w:rPr>
          <w:sz w:val="20"/>
          <w:szCs w:val="20"/>
          <w:color w:val="auto"/>
        </w:rPr>
      </w:pPr>
    </w:p>
    <w:p>
      <w:pPr>
        <w:ind w:left="580" w:right="80"/>
        <w:spacing w:after="0" w:line="267" w:lineRule="auto"/>
        <w:rPr>
          <w:sz w:val="20"/>
          <w:szCs w:val="20"/>
          <w:color w:val="auto"/>
        </w:rPr>
      </w:pPr>
      <w:r>
        <w:rPr>
          <w:rFonts w:ascii="Arial" w:cs="Arial" w:eastAsia="Arial" w:hAnsi="Arial"/>
          <w:sz w:val="18"/>
          <w:szCs w:val="18"/>
          <w:color w:val="auto"/>
        </w:rPr>
        <w:t>Ad hoc committees may also be designated under the direction of our Board of Directors when necessary to address specific issues.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Audit Committee</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Audit Committee assists the Board of Directors in the oversight of, among other things, the following items:</w:t>
      </w:r>
    </w:p>
    <w:p>
      <w:pPr>
        <w:ind w:left="780" w:hanging="200"/>
        <w:spacing w:after="0" w:line="183" w:lineRule="auto"/>
        <w:tabs>
          <w:tab w:leader="none" w:pos="780" w:val="left"/>
        </w:tabs>
        <w:numPr>
          <w:ilvl w:val="0"/>
          <w:numId w:val="16"/>
        </w:numPr>
        <w:rPr>
          <w:rFonts w:ascii="Arial" w:cs="Arial" w:eastAsia="Arial" w:hAnsi="Arial"/>
          <w:sz w:val="39"/>
          <w:szCs w:val="39"/>
          <w:color w:val="auto"/>
          <w:vertAlign w:val="subscript"/>
        </w:rPr>
      </w:pPr>
      <w:r>
        <w:rPr>
          <w:rFonts w:ascii="Arial" w:cs="Arial" w:eastAsia="Arial" w:hAnsi="Arial"/>
          <w:sz w:val="17"/>
          <w:szCs w:val="17"/>
          <w:color w:val="auto"/>
        </w:rPr>
        <w:t>the integrity of Sabre’s financial statements and internal control system,</w:t>
      </w:r>
    </w:p>
    <w:p>
      <w:pPr>
        <w:spacing w:after="0" w:line="65" w:lineRule="exact"/>
        <w:rPr>
          <w:rFonts w:ascii="Arial" w:cs="Arial" w:eastAsia="Arial" w:hAnsi="Arial"/>
          <w:sz w:val="39"/>
          <w:szCs w:val="39"/>
          <w:color w:val="auto"/>
          <w:vertAlign w:val="subscript"/>
        </w:rPr>
      </w:pPr>
    </w:p>
    <w:p>
      <w:pPr>
        <w:ind w:left="780" w:hanging="200"/>
        <w:spacing w:after="0" w:line="184" w:lineRule="auto"/>
        <w:tabs>
          <w:tab w:leader="none" w:pos="780" w:val="left"/>
        </w:tabs>
        <w:numPr>
          <w:ilvl w:val="0"/>
          <w:numId w:val="16"/>
        </w:numPr>
        <w:rPr>
          <w:rFonts w:ascii="Arial" w:cs="Arial" w:eastAsia="Arial" w:hAnsi="Arial"/>
          <w:sz w:val="36"/>
          <w:szCs w:val="36"/>
          <w:color w:val="auto"/>
          <w:vertAlign w:val="subscript"/>
        </w:rPr>
      </w:pPr>
      <w:r>
        <w:rPr>
          <w:rFonts w:ascii="Arial" w:cs="Arial" w:eastAsia="Arial" w:hAnsi="Arial"/>
          <w:sz w:val="16"/>
          <w:szCs w:val="16"/>
          <w:color w:val="auto"/>
        </w:rPr>
        <w:t>the performance of Sabre’s internal audit function,</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16"/>
        </w:numPr>
        <w:rPr>
          <w:rFonts w:ascii="Arial" w:cs="Arial" w:eastAsia="Arial" w:hAnsi="Arial"/>
          <w:sz w:val="36"/>
          <w:szCs w:val="36"/>
          <w:color w:val="auto"/>
          <w:vertAlign w:val="subscript"/>
        </w:rPr>
      </w:pPr>
      <w:r>
        <w:rPr>
          <w:rFonts w:ascii="Arial" w:cs="Arial" w:eastAsia="Arial" w:hAnsi="Arial"/>
          <w:sz w:val="16"/>
          <w:szCs w:val="16"/>
          <w:color w:val="auto"/>
        </w:rPr>
        <w:t>the annual independent audit of Sabre’s financial statements,</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16"/>
        </w:numPr>
        <w:rPr>
          <w:rFonts w:ascii="Arial" w:cs="Arial" w:eastAsia="Arial" w:hAnsi="Arial"/>
          <w:sz w:val="36"/>
          <w:szCs w:val="36"/>
          <w:color w:val="auto"/>
          <w:vertAlign w:val="subscript"/>
        </w:rPr>
      </w:pPr>
      <w:r>
        <w:rPr>
          <w:rFonts w:ascii="Arial" w:cs="Arial" w:eastAsia="Arial" w:hAnsi="Arial"/>
          <w:sz w:val="16"/>
          <w:szCs w:val="16"/>
          <w:color w:val="auto"/>
        </w:rPr>
        <w:t>the engagement of the independent auditors and the evaluation of their qualifications, independence, and performance,</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16"/>
        </w:numPr>
        <w:rPr>
          <w:rFonts w:ascii="Arial" w:cs="Arial" w:eastAsia="Arial" w:hAnsi="Arial"/>
          <w:sz w:val="36"/>
          <w:szCs w:val="36"/>
          <w:color w:val="auto"/>
          <w:vertAlign w:val="subscript"/>
        </w:rPr>
      </w:pPr>
      <w:r>
        <w:rPr>
          <w:rFonts w:ascii="Arial" w:cs="Arial" w:eastAsia="Arial" w:hAnsi="Arial"/>
          <w:sz w:val="16"/>
          <w:szCs w:val="16"/>
          <w:color w:val="auto"/>
        </w:rPr>
        <w:t>compliance with legal, regulatory, or stock exchange requirements,</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16"/>
        </w:numPr>
        <w:rPr>
          <w:rFonts w:ascii="Arial" w:cs="Arial" w:eastAsia="Arial" w:hAnsi="Arial"/>
          <w:sz w:val="36"/>
          <w:szCs w:val="36"/>
          <w:color w:val="auto"/>
          <w:vertAlign w:val="subscript"/>
        </w:rPr>
      </w:pPr>
      <w:r>
        <w:rPr>
          <w:rFonts w:ascii="Arial" w:cs="Arial" w:eastAsia="Arial" w:hAnsi="Arial"/>
          <w:sz w:val="16"/>
          <w:szCs w:val="16"/>
          <w:color w:val="auto"/>
        </w:rPr>
        <w:t>the implementation and effectiveness of Sabre’s disclosure controls and procedures,</w:t>
      </w:r>
    </w:p>
    <w:p>
      <w:pPr>
        <w:spacing w:after="0" w:line="169"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16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194310</wp:posOffset>
            </wp:positionV>
            <wp:extent cx="1530985" cy="149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8500"/>
        <w:spacing w:after="0"/>
        <w:rPr>
          <w:sz w:val="20"/>
          <w:szCs w:val="20"/>
          <w:color w:val="auto"/>
        </w:rPr>
      </w:pPr>
      <w:r>
        <w:rPr>
          <w:rFonts w:ascii="Arial" w:cs="Arial" w:eastAsia="Arial" w:hAnsi="Arial"/>
          <w:sz w:val="15"/>
          <w:szCs w:val="15"/>
          <w:b w:val="1"/>
          <w:bCs w:val="1"/>
          <w:color w:val="FFFFFF"/>
        </w:rPr>
        <w:t>CORPORATE GOVERNANCE</w:t>
      </w:r>
    </w:p>
    <w:p>
      <w:pPr>
        <w:ind w:left="780" w:hanging="200"/>
        <w:spacing w:after="0" w:line="217" w:lineRule="auto"/>
        <w:tabs>
          <w:tab w:leader="none" w:pos="780" w:val="left"/>
        </w:tabs>
        <w:numPr>
          <w:ilvl w:val="0"/>
          <w:numId w:val="17"/>
        </w:numPr>
        <w:rPr>
          <w:rFonts w:ascii="Arial" w:cs="Arial" w:eastAsia="Arial" w:hAnsi="Arial"/>
          <w:sz w:val="46"/>
          <w:szCs w:val="46"/>
          <w:color w:val="auto"/>
          <w:vertAlign w:val="subscript"/>
        </w:rPr>
      </w:pPr>
      <w:r>
        <w:rPr>
          <w:rFonts w:ascii="Arial" w:cs="Arial" w:eastAsia="Arial" w:hAnsi="Arial"/>
          <w:sz w:val="18"/>
          <w:szCs w:val="18"/>
          <w:color w:val="auto"/>
        </w:rPr>
        <w:t>review of our cybersecurity and other information technology risks, controls, and procedures, and</w:t>
      </w:r>
    </w:p>
    <w:p>
      <w:pPr>
        <w:spacing w:after="0" w:line="143" w:lineRule="exact"/>
        <w:rPr>
          <w:rFonts w:ascii="Arial" w:cs="Arial" w:eastAsia="Arial" w:hAnsi="Arial"/>
          <w:sz w:val="46"/>
          <w:szCs w:val="46"/>
          <w:color w:val="auto"/>
          <w:vertAlign w:val="subscript"/>
        </w:rPr>
      </w:pPr>
    </w:p>
    <w:p>
      <w:pPr>
        <w:ind w:left="780" w:hanging="200"/>
        <w:spacing w:after="0" w:line="186" w:lineRule="auto"/>
        <w:tabs>
          <w:tab w:leader="none" w:pos="780" w:val="left"/>
        </w:tabs>
        <w:numPr>
          <w:ilvl w:val="0"/>
          <w:numId w:val="17"/>
        </w:numPr>
        <w:rPr>
          <w:rFonts w:ascii="Arial" w:cs="Arial" w:eastAsia="Arial" w:hAnsi="Arial"/>
          <w:sz w:val="34"/>
          <w:szCs w:val="34"/>
          <w:color w:val="auto"/>
          <w:vertAlign w:val="subscript"/>
        </w:rPr>
      </w:pPr>
      <w:r>
        <w:rPr>
          <w:rFonts w:ascii="Arial" w:cs="Arial" w:eastAsia="Arial" w:hAnsi="Arial"/>
          <w:sz w:val="15"/>
          <w:szCs w:val="15"/>
          <w:color w:val="auto"/>
        </w:rPr>
        <w:t>the evaluation of enterprise risk issues, including overseeing risks to Sabre related to the items listed above, and reviewing Sabre’s procedures with respect to risk management.</w:t>
      </w:r>
    </w:p>
    <w:p>
      <w:pPr>
        <w:spacing w:after="0" w:line="157"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The members of the Audit Committee are George Bravante, Jr. (Chair), Hervé Couturier, Gail Mandel, and Phyllis Newhouse. Each of these individuals is “independent,” as defined under Nasdaq rules and Rule 10A-3 of the Securities Exchange Act of 1934, as amended (the “Exchange Act”). Our Board of Directors has determined that each director appointed to the Audit Committee is financially literate and that Mr. Bravante and Ms. Mandel meet the criteria of the rules and regulations set forth by the SEC for an “audit committee financial expert.” The Audit Committee met eight times in 2022.</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Compensation Committee</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Compensation Committee assists the Board of Directors in the oversight of, among other things, the following items:</w:t>
      </w:r>
    </w:p>
    <w:p>
      <w:pPr>
        <w:ind w:left="780" w:hanging="200"/>
        <w:spacing w:after="0" w:line="183" w:lineRule="auto"/>
        <w:tabs>
          <w:tab w:leader="none" w:pos="780" w:val="left"/>
        </w:tabs>
        <w:numPr>
          <w:ilvl w:val="0"/>
          <w:numId w:val="18"/>
        </w:numPr>
        <w:rPr>
          <w:rFonts w:ascii="Arial" w:cs="Arial" w:eastAsia="Arial" w:hAnsi="Arial"/>
          <w:sz w:val="39"/>
          <w:szCs w:val="39"/>
          <w:color w:val="auto"/>
          <w:vertAlign w:val="subscript"/>
        </w:rPr>
      </w:pPr>
      <w:r>
        <w:rPr>
          <w:rFonts w:ascii="Arial" w:cs="Arial" w:eastAsia="Arial" w:hAnsi="Arial"/>
          <w:sz w:val="17"/>
          <w:szCs w:val="17"/>
          <w:color w:val="auto"/>
        </w:rPr>
        <w:t>the operation of our executive compensation program,</w:t>
      </w:r>
    </w:p>
    <w:p>
      <w:pPr>
        <w:spacing w:after="0" w:line="143" w:lineRule="exact"/>
        <w:rPr>
          <w:rFonts w:ascii="Arial" w:cs="Arial" w:eastAsia="Arial" w:hAnsi="Arial"/>
          <w:sz w:val="39"/>
          <w:szCs w:val="39"/>
          <w:color w:val="auto"/>
          <w:vertAlign w:val="subscript"/>
        </w:rPr>
      </w:pPr>
    </w:p>
    <w:p>
      <w:pPr>
        <w:ind w:left="780" w:right="100" w:hanging="200"/>
        <w:spacing w:after="0" w:line="185" w:lineRule="auto"/>
        <w:tabs>
          <w:tab w:leader="none" w:pos="780" w:val="left"/>
        </w:tabs>
        <w:numPr>
          <w:ilvl w:val="0"/>
          <w:numId w:val="18"/>
        </w:numPr>
        <w:rPr>
          <w:rFonts w:ascii="Arial" w:cs="Arial" w:eastAsia="Arial" w:hAnsi="Arial"/>
          <w:sz w:val="43"/>
          <w:szCs w:val="43"/>
          <w:color w:val="auto"/>
          <w:vertAlign w:val="subscript"/>
        </w:rPr>
      </w:pPr>
      <w:r>
        <w:rPr>
          <w:rFonts w:ascii="Arial" w:cs="Arial" w:eastAsia="Arial" w:hAnsi="Arial"/>
          <w:sz w:val="17"/>
          <w:szCs w:val="17"/>
          <w:color w:val="auto"/>
        </w:rPr>
        <w:t>the review and approval of the corporate goals and objectives relevant to the compensation of our CEO, the evaluation of his or her performance in light of those goals and objectives, and the determination and approval of his or her compensation based on that evaluation, competitive market data pertaining to compensation at companies determined by the Committee to be comparable, and such other factors as the Committee deems relevant,</w:t>
      </w:r>
    </w:p>
    <w:p>
      <w:pPr>
        <w:spacing w:after="0" w:line="69" w:lineRule="exact"/>
        <w:rPr>
          <w:rFonts w:ascii="Arial" w:cs="Arial" w:eastAsia="Arial" w:hAnsi="Arial"/>
          <w:sz w:val="43"/>
          <w:szCs w:val="43"/>
          <w:color w:val="auto"/>
          <w:vertAlign w:val="subscript"/>
        </w:rPr>
      </w:pPr>
    </w:p>
    <w:p>
      <w:pPr>
        <w:ind w:left="780" w:right="940" w:hanging="200"/>
        <w:spacing w:after="0" w:line="186" w:lineRule="auto"/>
        <w:tabs>
          <w:tab w:leader="none" w:pos="780" w:val="left"/>
        </w:tabs>
        <w:numPr>
          <w:ilvl w:val="0"/>
          <w:numId w:val="18"/>
        </w:numPr>
        <w:rPr>
          <w:rFonts w:ascii="Arial" w:cs="Arial" w:eastAsia="Arial" w:hAnsi="Arial"/>
          <w:sz w:val="34"/>
          <w:szCs w:val="34"/>
          <w:color w:val="auto"/>
          <w:vertAlign w:val="subscript"/>
        </w:rPr>
      </w:pPr>
      <w:r>
        <w:rPr>
          <w:rFonts w:ascii="Arial" w:cs="Arial" w:eastAsia="Arial" w:hAnsi="Arial"/>
          <w:sz w:val="15"/>
          <w:szCs w:val="15"/>
          <w:color w:val="auto"/>
        </w:rPr>
        <w:t>the establishment and annual review of any stock ownership guidelines applicable to our executive officers and management, and the non-employee members of the Board of Directors,</w:t>
      </w:r>
    </w:p>
    <w:p>
      <w:pPr>
        <w:spacing w:after="0" w:line="70" w:lineRule="exact"/>
        <w:rPr>
          <w:rFonts w:ascii="Arial" w:cs="Arial" w:eastAsia="Arial" w:hAnsi="Arial"/>
          <w:sz w:val="34"/>
          <w:szCs w:val="34"/>
          <w:color w:val="auto"/>
          <w:vertAlign w:val="subscript"/>
        </w:rPr>
      </w:pPr>
    </w:p>
    <w:p>
      <w:pPr>
        <w:ind w:left="780" w:right="400" w:hanging="200"/>
        <w:spacing w:after="0" w:line="186" w:lineRule="auto"/>
        <w:tabs>
          <w:tab w:leader="none" w:pos="780" w:val="left"/>
        </w:tabs>
        <w:numPr>
          <w:ilvl w:val="0"/>
          <w:numId w:val="18"/>
        </w:numPr>
        <w:rPr>
          <w:rFonts w:ascii="Arial" w:cs="Arial" w:eastAsia="Arial" w:hAnsi="Arial"/>
          <w:sz w:val="34"/>
          <w:szCs w:val="34"/>
          <w:color w:val="auto"/>
          <w:vertAlign w:val="subscript"/>
        </w:rPr>
      </w:pPr>
      <w:r>
        <w:rPr>
          <w:rFonts w:ascii="Arial" w:cs="Arial" w:eastAsia="Arial" w:hAnsi="Arial"/>
          <w:sz w:val="15"/>
          <w:szCs w:val="15"/>
          <w:color w:val="auto"/>
        </w:rPr>
        <w:t>the determination and approval of the compensation level (including base and incentive compensation) and direct and indirect benefits of our executive officers,</w:t>
      </w:r>
    </w:p>
    <w:p>
      <w:pPr>
        <w:spacing w:after="0" w:line="70" w:lineRule="exact"/>
        <w:rPr>
          <w:rFonts w:ascii="Arial" w:cs="Arial" w:eastAsia="Arial" w:hAnsi="Arial"/>
          <w:sz w:val="34"/>
          <w:szCs w:val="34"/>
          <w:color w:val="auto"/>
          <w:vertAlign w:val="subscript"/>
        </w:rPr>
      </w:pPr>
    </w:p>
    <w:p>
      <w:pPr>
        <w:ind w:left="780" w:right="460" w:hanging="200"/>
        <w:spacing w:after="0" w:line="186" w:lineRule="auto"/>
        <w:tabs>
          <w:tab w:leader="none" w:pos="780" w:val="left"/>
        </w:tabs>
        <w:numPr>
          <w:ilvl w:val="0"/>
          <w:numId w:val="18"/>
        </w:numPr>
        <w:rPr>
          <w:rFonts w:ascii="Arial" w:cs="Arial" w:eastAsia="Arial" w:hAnsi="Arial"/>
          <w:sz w:val="34"/>
          <w:szCs w:val="34"/>
          <w:color w:val="auto"/>
          <w:vertAlign w:val="subscript"/>
        </w:rPr>
      </w:pPr>
      <w:r>
        <w:rPr>
          <w:rFonts w:ascii="Arial" w:cs="Arial" w:eastAsia="Arial" w:hAnsi="Arial"/>
          <w:sz w:val="15"/>
          <w:szCs w:val="15"/>
          <w:color w:val="auto"/>
        </w:rPr>
        <w:t>any recommendation to the Board of Directors regarding the establishment and terms of incentive-compensation and equity-based plans, and the administration of these plans, and</w:t>
      </w:r>
    </w:p>
    <w:p>
      <w:pPr>
        <w:spacing w:after="0" w:line="70" w:lineRule="exact"/>
        <w:rPr>
          <w:rFonts w:ascii="Arial" w:cs="Arial" w:eastAsia="Arial" w:hAnsi="Arial"/>
          <w:sz w:val="34"/>
          <w:szCs w:val="34"/>
          <w:color w:val="auto"/>
          <w:vertAlign w:val="subscript"/>
        </w:rPr>
      </w:pPr>
    </w:p>
    <w:p>
      <w:pPr>
        <w:ind w:left="780" w:hanging="200"/>
        <w:spacing w:after="0" w:line="186" w:lineRule="auto"/>
        <w:tabs>
          <w:tab w:leader="none" w:pos="780" w:val="left"/>
        </w:tabs>
        <w:numPr>
          <w:ilvl w:val="0"/>
          <w:numId w:val="18"/>
        </w:numPr>
        <w:rPr>
          <w:rFonts w:ascii="Arial" w:cs="Arial" w:eastAsia="Arial" w:hAnsi="Arial"/>
          <w:sz w:val="34"/>
          <w:szCs w:val="34"/>
          <w:color w:val="auto"/>
          <w:vertAlign w:val="subscript"/>
        </w:rPr>
      </w:pPr>
      <w:r>
        <w:rPr>
          <w:rFonts w:ascii="Arial" w:cs="Arial" w:eastAsia="Arial" w:hAnsi="Arial"/>
          <w:sz w:val="15"/>
          <w:szCs w:val="15"/>
          <w:color w:val="auto"/>
        </w:rPr>
        <w:t>the evaluation and oversight risks to Sabre and its business implied by Sabre’s compensation program, taking into account Sabre’s business strategy.</w:t>
      </w:r>
    </w:p>
    <w:p>
      <w:pPr>
        <w:spacing w:after="0" w:line="157" w:lineRule="exact"/>
        <w:rPr>
          <w:sz w:val="20"/>
          <w:szCs w:val="20"/>
          <w:color w:val="auto"/>
        </w:rPr>
      </w:pPr>
    </w:p>
    <w:p>
      <w:pPr>
        <w:ind w:left="580" w:right="440"/>
        <w:spacing w:after="0" w:line="267" w:lineRule="auto"/>
        <w:rPr>
          <w:sz w:val="20"/>
          <w:szCs w:val="20"/>
          <w:color w:val="auto"/>
        </w:rPr>
      </w:pPr>
      <w:r>
        <w:rPr>
          <w:rFonts w:ascii="Arial" w:cs="Arial" w:eastAsia="Arial" w:hAnsi="Arial"/>
          <w:sz w:val="18"/>
          <w:szCs w:val="18"/>
          <w:color w:val="auto"/>
        </w:rPr>
        <w:t>The members of the Compensation Committee are John Scott (Chair), Karl Peterson, and Zane Rowe, each of whom is “independent,” as defined under Nasdaq rules. The Compensation Committee met six times in 2022.</w:t>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Committee Consultant</w:t>
      </w:r>
    </w:p>
    <w:p>
      <w:pPr>
        <w:spacing w:after="0" w:line="90"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The Compensation Committee’s charter provides that the Compensation Committee has the authority to retain advisors, including compensation consultants, to assist in its work. The Compensation Committee believes that a compensation consultant can provide important market information and perspectives that can help it determine compensation programs that align with the objectives of our compensation philosophy and policies. Pursuant to its charter, prior to selecting a compensation consultant the Compensation Committee considers factors relevant to the independence of the individual advisors, as well as the independence of the advisors’ organization.</w:t>
      </w:r>
    </w:p>
    <w:p>
      <w:pPr>
        <w:spacing w:after="0" w:line="97"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shd w:val="clear" w:color="auto" w:fill="666666"/>
        </w:rPr>
        <w:t>CORPORATE GOVERNANCE</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Compensation Committee has engaged Korn Ferry, a national compensation consulting firm, to assist it with</w:t>
      </w:r>
    </w:p>
    <w:p>
      <w:pPr>
        <w:ind w:left="580"/>
        <w:spacing w:after="0"/>
        <w:rPr>
          <w:sz w:val="20"/>
          <w:szCs w:val="20"/>
          <w:color w:val="auto"/>
        </w:rPr>
      </w:pPr>
      <w:r>
        <w:rPr>
          <w:rFonts w:ascii="Arial" w:cs="Arial" w:eastAsia="Arial" w:hAnsi="Arial"/>
          <w:sz w:val="18"/>
          <w:szCs w:val="18"/>
          <w:color w:val="auto"/>
        </w:rPr>
        <w:t>compensation matters. Although Korn Ferry provides services to Sabre, including executive search, leadership and talent</w:t>
      </w:r>
    </w:p>
    <w:p>
      <w:pPr>
        <w:ind w:left="580"/>
        <w:spacing w:after="0" w:line="229" w:lineRule="auto"/>
        <w:rPr>
          <w:sz w:val="20"/>
          <w:szCs w:val="20"/>
          <w:color w:val="auto"/>
        </w:rPr>
      </w:pPr>
      <w:r>
        <w:rPr>
          <w:rFonts w:ascii="Arial" w:cs="Arial" w:eastAsia="Arial" w:hAnsi="Arial"/>
          <w:sz w:val="18"/>
          <w:szCs w:val="18"/>
          <w:color w:val="auto"/>
        </w:rPr>
        <w:t>services, Korn Ferry has confirmed that, due to their limited nature, providing these services does not impact its</w:t>
      </w:r>
    </w:p>
    <w:p>
      <w:pPr>
        <w:ind w:left="580"/>
        <w:spacing w:after="0" w:line="229" w:lineRule="auto"/>
        <w:rPr>
          <w:sz w:val="20"/>
          <w:szCs w:val="20"/>
          <w:color w:val="auto"/>
        </w:rPr>
      </w:pPr>
      <w:r>
        <w:rPr>
          <w:rFonts w:ascii="Arial" w:cs="Arial" w:eastAsia="Arial" w:hAnsi="Arial"/>
          <w:sz w:val="18"/>
          <w:szCs w:val="18"/>
          <w:color w:val="auto"/>
        </w:rPr>
        <w:t>independence. The Compensation Committee has limited the amount of these services, and in 2022 they amounted to</w:t>
      </w:r>
    </w:p>
    <w:p>
      <w:pPr>
        <w:ind w:left="580"/>
        <w:spacing w:after="0" w:line="230" w:lineRule="auto"/>
        <w:rPr>
          <w:sz w:val="20"/>
          <w:szCs w:val="20"/>
          <w:color w:val="auto"/>
        </w:rPr>
      </w:pPr>
      <w:r>
        <w:rPr>
          <w:rFonts w:ascii="Arial" w:cs="Arial" w:eastAsia="Arial" w:hAnsi="Arial"/>
          <w:sz w:val="18"/>
          <w:szCs w:val="18"/>
          <w:color w:val="auto"/>
        </w:rPr>
        <w:t>$257,000. Korn Ferry reports directly to the Compensation Committee, and the Compensation Committee may replace Korn</w:t>
      </w:r>
    </w:p>
    <w:p>
      <w:pPr>
        <w:ind w:left="580"/>
        <w:spacing w:after="0" w:line="229" w:lineRule="auto"/>
        <w:rPr>
          <w:sz w:val="20"/>
          <w:szCs w:val="20"/>
          <w:color w:val="auto"/>
        </w:rPr>
      </w:pPr>
      <w:r>
        <w:rPr>
          <w:rFonts w:ascii="Arial" w:cs="Arial" w:eastAsia="Arial" w:hAnsi="Arial"/>
          <w:sz w:val="18"/>
          <w:szCs w:val="18"/>
          <w:color w:val="auto"/>
        </w:rPr>
        <w:t>Ferry or hire additional consultants at any time. One or more representatives of Korn Ferry attends Compensation Committee</w:t>
      </w:r>
    </w:p>
    <w:p>
      <w:pPr>
        <w:ind w:left="580"/>
        <w:spacing w:after="0" w:line="229" w:lineRule="auto"/>
        <w:rPr>
          <w:sz w:val="20"/>
          <w:szCs w:val="20"/>
          <w:color w:val="auto"/>
        </w:rPr>
      </w:pPr>
      <w:r>
        <w:rPr>
          <w:rFonts w:ascii="Arial" w:cs="Arial" w:eastAsia="Arial" w:hAnsi="Arial"/>
          <w:sz w:val="18"/>
          <w:szCs w:val="18"/>
          <w:color w:val="auto"/>
        </w:rPr>
        <w:t>meetings and communicates with the Chair of the Compensation Committee, as well as other Compensation Committee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members, between meetings from time to time.</w:t>
      </w:r>
    </w:p>
    <w:p>
      <w:pPr>
        <w:spacing w:after="0" w:line="171" w:lineRule="exact"/>
        <w:rPr>
          <w:sz w:val="20"/>
          <w:szCs w:val="20"/>
          <w:color w:val="auto"/>
        </w:rPr>
      </w:pPr>
    </w:p>
    <w:p>
      <w:pPr>
        <w:ind w:left="580" w:right="300"/>
        <w:spacing w:after="0" w:line="248" w:lineRule="auto"/>
        <w:rPr>
          <w:sz w:val="20"/>
          <w:szCs w:val="20"/>
          <w:color w:val="auto"/>
        </w:rPr>
      </w:pPr>
      <w:r>
        <w:rPr>
          <w:rFonts w:ascii="Arial" w:cs="Arial" w:eastAsia="Arial" w:hAnsi="Arial"/>
          <w:sz w:val="18"/>
          <w:szCs w:val="18"/>
          <w:color w:val="auto"/>
        </w:rPr>
        <w:t>The Compensation Committee has assessed the independence of Korn Ferry taking into account, among other things, the factors set forth in Exchange Act Rule 10C-1 and the listing standards of Nasdaq, and has concluded that no conflict of interest exists with respect to the work that Korn Ferry performs for the Compensation Committee.</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Compensation Policies and Practices Risk Assessment</w:t>
      </w:r>
    </w:p>
    <w:p>
      <w:pPr>
        <w:spacing w:after="0" w:line="90" w:lineRule="exact"/>
        <w:rPr>
          <w:sz w:val="20"/>
          <w:szCs w:val="20"/>
          <w:color w:val="auto"/>
        </w:rPr>
      </w:pPr>
    </w:p>
    <w:p>
      <w:pPr>
        <w:ind w:left="580" w:right="140"/>
        <w:spacing w:after="0" w:line="242" w:lineRule="auto"/>
        <w:rPr>
          <w:sz w:val="20"/>
          <w:szCs w:val="20"/>
          <w:color w:val="auto"/>
        </w:rPr>
      </w:pPr>
      <w:r>
        <w:rPr>
          <w:rFonts w:ascii="Arial" w:cs="Arial" w:eastAsia="Arial" w:hAnsi="Arial"/>
          <w:sz w:val="18"/>
          <w:szCs w:val="18"/>
          <w:color w:val="auto"/>
        </w:rPr>
        <w:t>At the request of the Compensation Committee, Korn Ferry assessed the risk profile of Sabre’s executive compensation programs and management assessed the risk profile of Sabre’s other compensation programs. Based on these reviews, management and the Compensation Committee have concluded that Sabre’s compensation policies and practices, taken as a whole, are not reasonably likely to have a material adverse impact on Sabre.</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Governance and Nominating Committee</w:t>
      </w:r>
    </w:p>
    <w:p>
      <w:pPr>
        <w:spacing w:after="0" w:line="88" w:lineRule="exact"/>
        <w:rPr>
          <w:sz w:val="20"/>
          <w:szCs w:val="20"/>
          <w:color w:val="auto"/>
        </w:rPr>
      </w:pPr>
    </w:p>
    <w:p>
      <w:pPr>
        <w:ind w:left="580" w:right="580"/>
        <w:spacing w:after="0" w:line="253" w:lineRule="auto"/>
        <w:rPr>
          <w:sz w:val="20"/>
          <w:szCs w:val="20"/>
          <w:color w:val="auto"/>
        </w:rPr>
      </w:pPr>
      <w:r>
        <w:rPr>
          <w:rFonts w:ascii="Arial" w:cs="Arial" w:eastAsia="Arial" w:hAnsi="Arial"/>
          <w:sz w:val="18"/>
          <w:szCs w:val="18"/>
          <w:color w:val="auto"/>
        </w:rPr>
        <w:t>The Governance and Nominating Committee assists the Board of Directors in the oversight of, among other things, the following items:</w:t>
      </w:r>
    </w:p>
    <w:p>
      <w:pPr>
        <w:spacing w:after="0" w:line="70" w:lineRule="exact"/>
        <w:rPr>
          <w:sz w:val="20"/>
          <w:szCs w:val="20"/>
          <w:color w:val="auto"/>
        </w:rPr>
      </w:pPr>
    </w:p>
    <w:p>
      <w:pPr>
        <w:ind w:left="780" w:right="40" w:hanging="200"/>
        <w:spacing w:after="0" w:line="181" w:lineRule="auto"/>
        <w:tabs>
          <w:tab w:leader="none" w:pos="780" w:val="left"/>
        </w:tabs>
        <w:numPr>
          <w:ilvl w:val="0"/>
          <w:numId w:val="19"/>
        </w:numPr>
        <w:rPr>
          <w:rFonts w:ascii="Arial" w:cs="Arial" w:eastAsia="Arial" w:hAnsi="Arial"/>
          <w:sz w:val="39"/>
          <w:szCs w:val="39"/>
          <w:color w:val="auto"/>
          <w:vertAlign w:val="subscript"/>
        </w:rPr>
      </w:pPr>
      <w:r>
        <w:rPr>
          <w:rFonts w:ascii="Arial" w:cs="Arial" w:eastAsia="Arial" w:hAnsi="Arial"/>
          <w:sz w:val="17"/>
          <w:szCs w:val="17"/>
          <w:color w:val="auto"/>
        </w:rPr>
        <w:t>the review of the performance of our Board of Directors and any recommendations to the Board of Directors regarding the selection of candidates, qualification and competency requirements for service on the Board of Directors, and the suitability of proposed nominees as directors,</w:t>
      </w:r>
    </w:p>
    <w:p>
      <w:pPr>
        <w:spacing w:after="0" w:line="2" w:lineRule="exact"/>
        <w:rPr>
          <w:rFonts w:ascii="Arial" w:cs="Arial" w:eastAsia="Arial" w:hAnsi="Arial"/>
          <w:sz w:val="39"/>
          <w:szCs w:val="39"/>
          <w:color w:val="auto"/>
          <w:vertAlign w:val="subscript"/>
        </w:rPr>
      </w:pPr>
    </w:p>
    <w:p>
      <w:pPr>
        <w:ind w:left="780" w:hanging="200"/>
        <w:spacing w:after="0" w:line="184" w:lineRule="auto"/>
        <w:tabs>
          <w:tab w:leader="none" w:pos="780" w:val="left"/>
        </w:tabs>
        <w:numPr>
          <w:ilvl w:val="0"/>
          <w:numId w:val="19"/>
        </w:numPr>
        <w:rPr>
          <w:rFonts w:ascii="Arial" w:cs="Arial" w:eastAsia="Arial" w:hAnsi="Arial"/>
          <w:sz w:val="35"/>
          <w:szCs w:val="35"/>
          <w:color w:val="auto"/>
          <w:vertAlign w:val="subscript"/>
        </w:rPr>
      </w:pPr>
      <w:r>
        <w:rPr>
          <w:rFonts w:ascii="Arial" w:cs="Arial" w:eastAsia="Arial" w:hAnsi="Arial"/>
          <w:sz w:val="16"/>
          <w:szCs w:val="16"/>
          <w:color w:val="auto"/>
        </w:rPr>
        <w:t>corporate governance principles applicable to Sabre,</w:t>
      </w:r>
    </w:p>
    <w:p>
      <w:pPr>
        <w:spacing w:after="0" w:line="65" w:lineRule="exact"/>
        <w:rPr>
          <w:rFonts w:ascii="Arial" w:cs="Arial" w:eastAsia="Arial" w:hAnsi="Arial"/>
          <w:sz w:val="35"/>
          <w:szCs w:val="35"/>
          <w:color w:val="auto"/>
          <w:vertAlign w:val="subscript"/>
        </w:rPr>
      </w:pPr>
    </w:p>
    <w:p>
      <w:pPr>
        <w:ind w:left="780" w:hanging="200"/>
        <w:spacing w:after="0" w:line="184" w:lineRule="auto"/>
        <w:tabs>
          <w:tab w:leader="none" w:pos="780" w:val="left"/>
        </w:tabs>
        <w:numPr>
          <w:ilvl w:val="0"/>
          <w:numId w:val="19"/>
        </w:numPr>
        <w:rPr>
          <w:rFonts w:ascii="Arial" w:cs="Arial" w:eastAsia="Arial" w:hAnsi="Arial"/>
          <w:sz w:val="36"/>
          <w:szCs w:val="36"/>
          <w:color w:val="auto"/>
          <w:vertAlign w:val="subscript"/>
        </w:rPr>
      </w:pPr>
      <w:r>
        <w:rPr>
          <w:rFonts w:ascii="Arial" w:cs="Arial" w:eastAsia="Arial" w:hAnsi="Arial"/>
          <w:sz w:val="16"/>
          <w:szCs w:val="16"/>
          <w:color w:val="auto"/>
        </w:rPr>
        <w:t>leadership of the annual review of the Board of Directors’ performance,</w:t>
      </w:r>
    </w:p>
    <w:p>
      <w:pPr>
        <w:spacing w:after="0" w:line="143" w:lineRule="exact"/>
        <w:rPr>
          <w:rFonts w:ascii="Arial" w:cs="Arial" w:eastAsia="Arial" w:hAnsi="Arial"/>
          <w:sz w:val="36"/>
          <w:szCs w:val="36"/>
          <w:color w:val="auto"/>
          <w:vertAlign w:val="subscript"/>
        </w:rPr>
      </w:pPr>
    </w:p>
    <w:p>
      <w:pPr>
        <w:ind w:left="780" w:right="80" w:hanging="200"/>
        <w:spacing w:after="0" w:line="186" w:lineRule="auto"/>
        <w:tabs>
          <w:tab w:leader="none" w:pos="780" w:val="left"/>
        </w:tabs>
        <w:numPr>
          <w:ilvl w:val="0"/>
          <w:numId w:val="19"/>
        </w:numPr>
        <w:rPr>
          <w:rFonts w:ascii="Arial" w:cs="Arial" w:eastAsia="Arial" w:hAnsi="Arial"/>
          <w:sz w:val="34"/>
          <w:szCs w:val="34"/>
          <w:color w:val="auto"/>
          <w:vertAlign w:val="subscript"/>
        </w:rPr>
      </w:pPr>
      <w:r>
        <w:rPr>
          <w:rFonts w:ascii="Arial" w:cs="Arial" w:eastAsia="Arial" w:hAnsi="Arial"/>
          <w:sz w:val="15"/>
          <w:szCs w:val="15"/>
          <w:color w:val="auto"/>
        </w:rPr>
        <w:t>risks to Sabre associated with corporate governance, including Board leadership structure, succession planning, and other related governance matters, and</w:t>
      </w:r>
    </w:p>
    <w:p>
      <w:pPr>
        <w:spacing w:after="0" w:line="1"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19"/>
        </w:numPr>
        <w:rPr>
          <w:rFonts w:ascii="Arial" w:cs="Arial" w:eastAsia="Arial" w:hAnsi="Arial"/>
          <w:sz w:val="35"/>
          <w:szCs w:val="35"/>
          <w:color w:val="auto"/>
          <w:vertAlign w:val="subscript"/>
        </w:rPr>
      </w:pPr>
      <w:r>
        <w:rPr>
          <w:rFonts w:ascii="Arial" w:cs="Arial" w:eastAsia="Arial" w:hAnsi="Arial"/>
          <w:sz w:val="16"/>
          <w:szCs w:val="16"/>
          <w:color w:val="auto"/>
        </w:rPr>
        <w:t>ESG matters applicable to Sabre.</w:t>
      </w:r>
    </w:p>
    <w:p>
      <w:pPr>
        <w:spacing w:after="0" w:line="230" w:lineRule="exact"/>
        <w:rPr>
          <w:sz w:val="20"/>
          <w:szCs w:val="20"/>
          <w:color w:val="auto"/>
        </w:rPr>
      </w:pPr>
    </w:p>
    <w:p>
      <w:pPr>
        <w:ind w:left="580" w:right="160"/>
        <w:spacing w:after="0" w:line="248" w:lineRule="auto"/>
        <w:rPr>
          <w:sz w:val="20"/>
          <w:szCs w:val="20"/>
          <w:color w:val="auto"/>
        </w:rPr>
      </w:pPr>
      <w:r>
        <w:rPr>
          <w:rFonts w:ascii="Arial" w:cs="Arial" w:eastAsia="Arial" w:hAnsi="Arial"/>
          <w:sz w:val="18"/>
          <w:szCs w:val="18"/>
          <w:color w:val="auto"/>
        </w:rPr>
        <w:t>The members of the Governance and Nominating Committee are Gregg Saretsky (Chair), Karl Peterson, John Scott, and Wendi Sturgis. Each of these individuals is “independent,” as defined under Nasdaq rules. The Governance and Nominating Committee met five times in 2022.</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Technology Committee</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Technology Committee assists the Board of Directors in the oversight of, among other things, the following items:</w:t>
      </w:r>
    </w:p>
    <w:p>
      <w:pPr>
        <w:spacing w:after="0" w:line="102" w:lineRule="exact"/>
        <w:rPr>
          <w:sz w:val="20"/>
          <w:szCs w:val="20"/>
          <w:color w:val="auto"/>
        </w:rPr>
      </w:pPr>
    </w:p>
    <w:p>
      <w:pPr>
        <w:ind w:left="780" w:hanging="200"/>
        <w:spacing w:after="0"/>
        <w:tabs>
          <w:tab w:leader="none" w:pos="780" w:val="left"/>
        </w:tabs>
        <w:numPr>
          <w:ilvl w:val="0"/>
          <w:numId w:val="20"/>
        </w:numPr>
        <w:rPr>
          <w:rFonts w:ascii="Arial" w:cs="Arial" w:eastAsia="Arial" w:hAnsi="Arial"/>
          <w:sz w:val="38"/>
          <w:szCs w:val="38"/>
          <w:color w:val="auto"/>
          <w:vertAlign w:val="subscript"/>
        </w:rPr>
      </w:pPr>
      <w:r>
        <w:rPr>
          <w:rFonts w:ascii="Arial" w:cs="Arial" w:eastAsia="Arial" w:hAnsi="Arial"/>
          <w:sz w:val="16"/>
          <w:szCs w:val="16"/>
          <w:color w:val="auto"/>
        </w:rPr>
        <w:t>the appraisal of major technology-related projects and recommendations to our Board of Directors regarding our technology strategies,</w:t>
      </w:r>
    </w:p>
    <w:p>
      <w:pPr>
        <w:spacing w:after="0" w:line="95"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18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194310</wp:posOffset>
            </wp:positionV>
            <wp:extent cx="1530985" cy="149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8500"/>
        <w:spacing w:after="0"/>
        <w:rPr>
          <w:sz w:val="20"/>
          <w:szCs w:val="20"/>
          <w:color w:val="auto"/>
        </w:rPr>
      </w:pPr>
      <w:r>
        <w:rPr>
          <w:rFonts w:ascii="Arial" w:cs="Arial" w:eastAsia="Arial" w:hAnsi="Arial"/>
          <w:sz w:val="15"/>
          <w:szCs w:val="15"/>
          <w:b w:val="1"/>
          <w:bCs w:val="1"/>
          <w:color w:val="FFFFFF"/>
        </w:rPr>
        <w:t>CORPORATE GOVERNANCE</w:t>
      </w:r>
    </w:p>
    <w:p>
      <w:pPr>
        <w:spacing w:after="0" w:line="239" w:lineRule="exact"/>
        <w:rPr>
          <w:sz w:val="20"/>
          <w:szCs w:val="20"/>
          <w:color w:val="auto"/>
        </w:rPr>
      </w:pPr>
    </w:p>
    <w:p>
      <w:pPr>
        <w:ind w:left="780" w:right="180" w:hanging="200"/>
        <w:spacing w:after="0"/>
        <w:tabs>
          <w:tab w:leader="none" w:pos="780" w:val="left"/>
        </w:tabs>
        <w:numPr>
          <w:ilvl w:val="0"/>
          <w:numId w:val="21"/>
        </w:numPr>
        <w:rPr>
          <w:rFonts w:ascii="Arial" w:cs="Arial" w:eastAsia="Arial" w:hAnsi="Arial"/>
          <w:sz w:val="38"/>
          <w:szCs w:val="38"/>
          <w:color w:val="auto"/>
          <w:vertAlign w:val="subscript"/>
        </w:rPr>
      </w:pPr>
      <w:r>
        <w:rPr>
          <w:rFonts w:ascii="Arial" w:cs="Arial" w:eastAsia="Arial" w:hAnsi="Arial"/>
          <w:sz w:val="16"/>
          <w:szCs w:val="16"/>
          <w:color w:val="auto"/>
        </w:rPr>
        <w:t>the review of the quality and effectiveness of Sabre’s information technology security, data privacy, and disaster recovery capabilities,</w:t>
      </w:r>
    </w:p>
    <w:p>
      <w:pPr>
        <w:spacing w:after="0" w:line="69" w:lineRule="exact"/>
        <w:rPr>
          <w:rFonts w:ascii="Arial" w:cs="Arial" w:eastAsia="Arial" w:hAnsi="Arial"/>
          <w:sz w:val="38"/>
          <w:szCs w:val="38"/>
          <w:color w:val="auto"/>
          <w:vertAlign w:val="subscript"/>
        </w:rPr>
      </w:pPr>
    </w:p>
    <w:p>
      <w:pPr>
        <w:ind w:left="780" w:hanging="200"/>
        <w:spacing w:after="0" w:line="186" w:lineRule="auto"/>
        <w:tabs>
          <w:tab w:leader="none" w:pos="780" w:val="left"/>
        </w:tabs>
        <w:numPr>
          <w:ilvl w:val="0"/>
          <w:numId w:val="21"/>
        </w:numPr>
        <w:rPr>
          <w:rFonts w:ascii="Arial" w:cs="Arial" w:eastAsia="Arial" w:hAnsi="Arial"/>
          <w:sz w:val="34"/>
          <w:szCs w:val="34"/>
          <w:color w:val="auto"/>
          <w:vertAlign w:val="subscript"/>
        </w:rPr>
      </w:pPr>
      <w:r>
        <w:rPr>
          <w:rFonts w:ascii="Arial" w:cs="Arial" w:eastAsia="Arial" w:hAnsi="Arial"/>
          <w:sz w:val="15"/>
          <w:szCs w:val="15"/>
          <w:color w:val="auto"/>
        </w:rPr>
        <w:t>the provision of advice to our senior technology management team with respect to existing trends in information technology and new technologies, applications, and systems, and</w:t>
      </w:r>
    </w:p>
    <w:p>
      <w:pPr>
        <w:spacing w:after="0" w:line="70" w:lineRule="exact"/>
        <w:rPr>
          <w:rFonts w:ascii="Arial" w:cs="Arial" w:eastAsia="Arial" w:hAnsi="Arial"/>
          <w:sz w:val="34"/>
          <w:szCs w:val="34"/>
          <w:color w:val="auto"/>
          <w:vertAlign w:val="subscript"/>
        </w:rPr>
      </w:pPr>
    </w:p>
    <w:p>
      <w:pPr>
        <w:ind w:left="780" w:right="260" w:hanging="200"/>
        <w:spacing w:after="0" w:line="186" w:lineRule="auto"/>
        <w:tabs>
          <w:tab w:leader="none" w:pos="780" w:val="left"/>
        </w:tabs>
        <w:numPr>
          <w:ilvl w:val="0"/>
          <w:numId w:val="21"/>
        </w:numPr>
        <w:rPr>
          <w:rFonts w:ascii="Arial" w:cs="Arial" w:eastAsia="Arial" w:hAnsi="Arial"/>
          <w:sz w:val="34"/>
          <w:szCs w:val="34"/>
          <w:color w:val="auto"/>
          <w:vertAlign w:val="subscript"/>
        </w:rPr>
      </w:pPr>
      <w:r>
        <w:rPr>
          <w:rFonts w:ascii="Arial" w:cs="Arial" w:eastAsia="Arial" w:hAnsi="Arial"/>
          <w:sz w:val="15"/>
          <w:szCs w:val="15"/>
          <w:color w:val="auto"/>
        </w:rPr>
        <w:t>in coordination with the Audit Committee, risks related to the quality and effectiveness of Sabre’s information technology security, data privacy, and disaster recovery capabilities.</w:t>
      </w:r>
    </w:p>
    <w:p>
      <w:pPr>
        <w:spacing w:after="0" w:line="157"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The members of the Technology Committee are Hervé Couturier (Chair), Gail Mandel, Sean Menke, Phyllis Newhouse, Zane Rowe, Gregg Saretsky, and Wendi Sturgis. The Technology Committee met four times in 2022.</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Executive Committee</w:t>
      </w:r>
    </w:p>
    <w:p>
      <w:pPr>
        <w:spacing w:after="0" w:line="88" w:lineRule="exact"/>
        <w:rPr>
          <w:sz w:val="20"/>
          <w:szCs w:val="20"/>
          <w:color w:val="auto"/>
        </w:rPr>
      </w:pPr>
    </w:p>
    <w:p>
      <w:pPr>
        <w:ind w:left="580" w:right="40"/>
        <w:spacing w:after="0" w:line="248" w:lineRule="auto"/>
        <w:rPr>
          <w:sz w:val="20"/>
          <w:szCs w:val="20"/>
          <w:color w:val="auto"/>
        </w:rPr>
      </w:pPr>
      <w:r>
        <w:rPr>
          <w:rFonts w:ascii="Arial" w:cs="Arial" w:eastAsia="Arial" w:hAnsi="Arial"/>
          <w:sz w:val="18"/>
          <w:szCs w:val="18"/>
          <w:color w:val="auto"/>
        </w:rPr>
        <w:t>The Executive Committee’s principal function is to exercise, when necessary between meetings of the Board of Directors, certain of the Board of Directors’ powers and authority in the management of our business and affairs, and to act on behalf of the Board of Directors.</w:t>
      </w:r>
    </w:p>
    <w:p>
      <w:pPr>
        <w:spacing w:after="0" w:line="150" w:lineRule="exact"/>
        <w:rPr>
          <w:sz w:val="20"/>
          <w:szCs w:val="20"/>
          <w:color w:val="auto"/>
        </w:rPr>
      </w:pPr>
    </w:p>
    <w:p>
      <w:pPr>
        <w:ind w:left="580" w:right="140"/>
        <w:spacing w:after="0" w:line="267" w:lineRule="auto"/>
        <w:rPr>
          <w:sz w:val="20"/>
          <w:szCs w:val="20"/>
          <w:color w:val="auto"/>
        </w:rPr>
      </w:pPr>
      <w:r>
        <w:rPr>
          <w:rFonts w:ascii="Arial" w:cs="Arial" w:eastAsia="Arial" w:hAnsi="Arial"/>
          <w:sz w:val="18"/>
          <w:szCs w:val="18"/>
          <w:color w:val="auto"/>
        </w:rPr>
        <w:t>The members of the Executive Committee are Sean Menke (Chair), George Bravante, Jr., Hervé Couturier, Gregg Saretsky, and John Scott. The Executive Committee did not meet in 2022.</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jc w:val="both"/>
        <w:ind w:left="580" w:right="80"/>
        <w:spacing w:after="0" w:line="248" w:lineRule="auto"/>
        <w:rPr>
          <w:sz w:val="20"/>
          <w:szCs w:val="20"/>
          <w:color w:val="auto"/>
        </w:rPr>
      </w:pPr>
      <w:r>
        <w:rPr>
          <w:rFonts w:ascii="Arial" w:cs="Arial" w:eastAsia="Arial" w:hAnsi="Arial"/>
          <w:sz w:val="18"/>
          <w:szCs w:val="18"/>
          <w:color w:val="auto"/>
        </w:rPr>
        <w:t>As of the date of this proxy statement, none of our executive officers serves, or in the past year has served, as a member of the Board of Directors or compensation committee of any entity that has one or more executive officers serving on our Board of Directors or Compensation Committee.</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Other Corporate Governance Practices and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Proxy Access</w:t>
      </w:r>
    </w:p>
    <w:p>
      <w:pPr>
        <w:spacing w:after="0" w:line="88" w:lineRule="exact"/>
        <w:rPr>
          <w:sz w:val="20"/>
          <w:szCs w:val="20"/>
          <w:color w:val="auto"/>
        </w:rPr>
      </w:pPr>
    </w:p>
    <w:p>
      <w:pPr>
        <w:ind w:left="580" w:right="120"/>
        <w:spacing w:after="0" w:line="239" w:lineRule="auto"/>
        <w:rPr>
          <w:sz w:val="20"/>
          <w:szCs w:val="20"/>
          <w:color w:val="auto"/>
        </w:rPr>
      </w:pPr>
      <w:r>
        <w:rPr>
          <w:rFonts w:ascii="Arial" w:cs="Arial" w:eastAsia="Arial" w:hAnsi="Arial"/>
          <w:sz w:val="18"/>
          <w:szCs w:val="18"/>
          <w:color w:val="auto"/>
        </w:rPr>
        <w:t>In 2020, the Board of Directors amended our Bylaws to implement proxy access. The proxy access provisions in our Bylaws generally permit a stockholder or group of up to 20 stockholders owning 3% or more of our outstanding common stock continuously for at least three years to nominate and include in our proxy materials director nominees constituting up to the greater of 20% of the Board of Directors or two individuals, provided that such stockholders and nominees satisfy the requirements specified in the Bylaws.</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Simple Majority Voting Provisions</w:t>
      </w:r>
    </w:p>
    <w:p>
      <w:pPr>
        <w:spacing w:after="0" w:line="88" w:lineRule="exact"/>
        <w:rPr>
          <w:sz w:val="20"/>
          <w:szCs w:val="20"/>
          <w:color w:val="auto"/>
        </w:rPr>
      </w:pPr>
    </w:p>
    <w:p>
      <w:pPr>
        <w:ind w:left="580" w:right="360"/>
        <w:spacing w:after="0" w:line="248" w:lineRule="auto"/>
        <w:rPr>
          <w:sz w:val="20"/>
          <w:szCs w:val="20"/>
          <w:color w:val="auto"/>
        </w:rPr>
      </w:pPr>
      <w:r>
        <w:rPr>
          <w:rFonts w:ascii="Arial" w:cs="Arial" w:eastAsia="Arial" w:hAnsi="Arial"/>
          <w:sz w:val="18"/>
          <w:szCs w:val="18"/>
          <w:color w:val="auto"/>
        </w:rPr>
        <w:t>In 2019, stockholders approved an amendment to our Certificate of Incorporation that eliminated the supermajority voting provisions contained in our Certificate of Incorporation in favor of simple majority voting requirements contained in our Certificate of Incorporation.</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Annual Election of Directors</w:t>
      </w:r>
    </w:p>
    <w:p>
      <w:pPr>
        <w:spacing w:after="0" w:line="88" w:lineRule="exact"/>
        <w:rPr>
          <w:sz w:val="20"/>
          <w:szCs w:val="20"/>
          <w:color w:val="auto"/>
        </w:rPr>
      </w:pPr>
    </w:p>
    <w:p>
      <w:pPr>
        <w:ind w:left="580" w:right="80"/>
        <w:spacing w:after="0" w:line="239" w:lineRule="auto"/>
        <w:rPr>
          <w:sz w:val="20"/>
          <w:szCs w:val="20"/>
          <w:color w:val="auto"/>
        </w:rPr>
      </w:pPr>
      <w:r>
        <w:rPr>
          <w:rFonts w:ascii="Arial" w:cs="Arial" w:eastAsia="Arial" w:hAnsi="Arial"/>
          <w:sz w:val="18"/>
          <w:szCs w:val="18"/>
          <w:color w:val="auto"/>
        </w:rPr>
        <w:t>In 2018, stockholders approved amendments to our Certificate of Incorporation to provide that directors will be elected on an annual basis instead of for staggered terms of three years each. Under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amendment, as of the 2021 Annual Meeting, all directors are elected annually.</w:t>
      </w:r>
    </w:p>
    <w:p>
      <w:pPr>
        <w:spacing w:after="0" w:line="110"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20"/>
          </w:cols>
          <w:pgMar w:left="320" w:top="453" w:right="9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shd w:val="clear" w:color="auto" w:fill="666666"/>
        </w:rPr>
        <w:t>CORPORATE GOVERNANCE</w:t>
      </w: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Majority Voting for Directors in Uncontested Elections</w:t>
      </w:r>
    </w:p>
    <w:p>
      <w:pPr>
        <w:spacing w:after="0" w:line="88" w:lineRule="exact"/>
        <w:rPr>
          <w:sz w:val="20"/>
          <w:szCs w:val="20"/>
          <w:color w:val="auto"/>
        </w:rPr>
      </w:pPr>
    </w:p>
    <w:p>
      <w:pPr>
        <w:ind w:left="580" w:right="120"/>
        <w:spacing w:after="0" w:line="248" w:lineRule="auto"/>
        <w:rPr>
          <w:sz w:val="20"/>
          <w:szCs w:val="20"/>
          <w:color w:val="auto"/>
        </w:rPr>
      </w:pPr>
      <w:r>
        <w:rPr>
          <w:rFonts w:ascii="Arial" w:cs="Arial" w:eastAsia="Arial" w:hAnsi="Arial"/>
          <w:sz w:val="18"/>
          <w:szCs w:val="18"/>
          <w:color w:val="auto"/>
        </w:rPr>
        <w:t>In 2017, the Board of Directors and our stockholders approved an amendment to our Certificate of Incorporation to facilitate the implementation of a majority vote standard in uncontested director elections. As a result, our Bylaws now provide for a majority vote standard in these elections.</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Communicating with Directors</w:t>
      </w:r>
    </w:p>
    <w:p>
      <w:pPr>
        <w:spacing w:after="0" w:line="88" w:lineRule="exact"/>
        <w:rPr>
          <w:sz w:val="20"/>
          <w:szCs w:val="20"/>
          <w:color w:val="auto"/>
        </w:rPr>
      </w:pPr>
    </w:p>
    <w:p>
      <w:pPr>
        <w:ind w:left="580" w:right="100"/>
        <w:spacing w:after="0" w:line="248" w:lineRule="auto"/>
        <w:rPr>
          <w:sz w:val="20"/>
          <w:szCs w:val="20"/>
          <w:color w:val="auto"/>
        </w:rPr>
      </w:pPr>
      <w:r>
        <w:rPr>
          <w:rFonts w:ascii="Arial" w:cs="Arial" w:eastAsia="Arial" w:hAnsi="Arial"/>
          <w:sz w:val="18"/>
          <w:szCs w:val="18"/>
          <w:color w:val="auto"/>
        </w:rPr>
        <w:t xml:space="preserve">Stockholders and other interested parties may communicate with our Board of Directors by writing to the Board of Directors, c/o Corporate Secretary, Sabre Corporation, 3150 Sabre Drive, Southlake, Texas 76092. You may also find information on communicating with the Board of Directors on the investor relations section of our website at </w:t>
      </w:r>
      <w:r>
        <w:rPr>
          <w:rFonts w:ascii="Arial" w:cs="Arial" w:eastAsia="Arial" w:hAnsi="Arial"/>
          <w:sz w:val="18"/>
          <w:szCs w:val="18"/>
          <w:u w:val="single" w:color="auto"/>
          <w:color w:val="auto"/>
        </w:rPr>
        <w:t>investors.sabre.com</w:t>
      </w:r>
      <w:r>
        <w:rPr>
          <w:rFonts w:ascii="Arial" w:cs="Arial" w:eastAsia="Arial" w:hAnsi="Arial"/>
          <w:sz w:val="18"/>
          <w:szCs w:val="18"/>
          <w:color w:val="auto"/>
        </w:rPr>
        <w:t>.</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Code of Business Ethics</w:t>
      </w:r>
    </w:p>
    <w:p>
      <w:pPr>
        <w:spacing w:after="0" w:line="88" w:lineRule="exact"/>
        <w:rPr>
          <w:sz w:val="20"/>
          <w:szCs w:val="20"/>
          <w:color w:val="auto"/>
        </w:rPr>
      </w:pPr>
    </w:p>
    <w:p>
      <w:pPr>
        <w:ind w:left="580"/>
        <w:spacing w:after="0" w:line="242" w:lineRule="auto"/>
        <w:rPr>
          <w:sz w:val="20"/>
          <w:szCs w:val="20"/>
          <w:color w:val="auto"/>
        </w:rPr>
      </w:pPr>
      <w:r>
        <w:rPr>
          <w:rFonts w:ascii="Arial" w:cs="Arial" w:eastAsia="Arial" w:hAnsi="Arial"/>
          <w:sz w:val="18"/>
          <w:szCs w:val="18"/>
          <w:color w:val="auto"/>
        </w:rPr>
        <w:t xml:space="preserve">We have adopted a Code of Business Ethics, which is the code of conduct applicable to all of our directors, officers, and employees. The Code of Business Ethics is available on the investor relations section of our website at </w:t>
      </w:r>
      <w:r>
        <w:rPr>
          <w:rFonts w:ascii="Arial" w:cs="Arial" w:eastAsia="Arial" w:hAnsi="Arial"/>
          <w:sz w:val="18"/>
          <w:szCs w:val="18"/>
          <w:u w:val="single" w:color="auto"/>
          <w:color w:val="auto"/>
        </w:rPr>
        <w:t>investors.sabre.com</w:t>
      </w:r>
      <w:r>
        <w:rPr>
          <w:rFonts w:ascii="Arial" w:cs="Arial" w:eastAsia="Arial" w:hAnsi="Arial"/>
          <w:sz w:val="18"/>
          <w:szCs w:val="18"/>
          <w:color w:val="auto"/>
        </w:rPr>
        <w:t>. Any change or amendment to the Code of Business Ethics, and any waivers of the Code of Business Ethics for our directors, CEO or senior financial officers, will be available on our website at the above location.</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Board and Management Roles in Risk Oversight</w:t>
      </w:r>
    </w:p>
    <w:p>
      <w:pPr>
        <w:spacing w:after="0" w:line="88"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Our Board of Directors has the primary responsibility for risk oversight of Sabre as a whole. The Audit Committee is responsible for overseeing risks associated with financial and accounting matters, including compliance with legal and regulatory requirements and internal control over financial reporting. In addition, the Audit Committee has oversight responsibility relating to the evaluation of enterprise risk issues, as well as for reviewing Sabre’s procedures with respect to risk management. The Audit Committee further has oversight authority to review our plans to mitigate cybersecurity risks. We maintain an enterprise risk management program, which includes periodic assessments of various significant strategic risks, including possible emerging risks. These assessments occur on at least on an annual basis. These assessments are shared with our Disclosure Committee and the Audit Committee, with quarterly updates provided to the Audit Committee regarding management’s approach to address the top risks identified. We also maintain a dedicated compliance function which reports to our Chief Legal Officer and which provides quarterly reports to the Audit Committee.</w:t>
      </w:r>
    </w:p>
    <w:p>
      <w:pPr>
        <w:spacing w:after="0" w:line="158" w:lineRule="exact"/>
        <w:rPr>
          <w:sz w:val="20"/>
          <w:szCs w:val="20"/>
          <w:color w:val="auto"/>
        </w:rPr>
      </w:pPr>
    </w:p>
    <w:p>
      <w:pPr>
        <w:ind w:left="580" w:right="20"/>
        <w:spacing w:after="0" w:line="236" w:lineRule="auto"/>
        <w:rPr>
          <w:sz w:val="20"/>
          <w:szCs w:val="20"/>
          <w:color w:val="auto"/>
        </w:rPr>
      </w:pPr>
      <w:r>
        <w:rPr>
          <w:rFonts w:ascii="Arial" w:cs="Arial" w:eastAsia="Arial" w:hAnsi="Arial"/>
          <w:sz w:val="18"/>
          <w:szCs w:val="18"/>
          <w:color w:val="auto"/>
        </w:rPr>
        <w:t>The Board of Directors has also charged the Compensation Committee with evaluating Sabre’s compensation program, taking into account Sabre’s business strategy and risks to Sabre and its business implied by the compensation program. See “Compensation Policies and Practices Risk Assessment.” The Governance and Nominating Committee oversees risks associated with corporate governance, including Board leadership structure, succession planning, and other matters, as well as overseeing risks related to ESG matters. The Technology Committee, in coordination with the Audit Committee, is responsible for periodically reviewing, appraising, and discussing with management the quality and effectiveness of Sabre’s information technology security, data privacy, and disaster recovery capabilities.</w:t>
      </w:r>
    </w:p>
    <w:p>
      <w:pPr>
        <w:spacing w:after="0" w:line="158" w:lineRule="exact"/>
        <w:rPr>
          <w:sz w:val="20"/>
          <w:szCs w:val="20"/>
          <w:color w:val="auto"/>
        </w:rPr>
      </w:pPr>
    </w:p>
    <w:p>
      <w:pPr>
        <w:ind w:left="580" w:right="280"/>
        <w:spacing w:after="0" w:line="248" w:lineRule="auto"/>
        <w:rPr>
          <w:sz w:val="20"/>
          <w:szCs w:val="20"/>
          <w:color w:val="auto"/>
        </w:rPr>
      </w:pPr>
      <w:r>
        <w:rPr>
          <w:rFonts w:ascii="Arial" w:cs="Arial" w:eastAsia="Arial" w:hAnsi="Arial"/>
          <w:sz w:val="18"/>
          <w:szCs w:val="18"/>
          <w:color w:val="auto"/>
        </w:rPr>
        <w:t>We believe that the leadership structure of the Board of Directors is designed to support effective oversight of our risk management processes described above by providing independent leadership at the Board committee level, with ultimate oversight by the full Board of Directors as led by the Chair of the Board.</w:t>
      </w:r>
    </w:p>
    <w:p>
      <w:pPr>
        <w:spacing w:after="0" w:line="8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20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580"/>
          </w:cols>
          <w:pgMar w:left="320" w:top="45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194310</wp:posOffset>
            </wp:positionV>
            <wp:extent cx="1530985" cy="149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FFFFFF"/>
        </w:rPr>
        <w:t>CORPORATE GOVERNANCE</w:t>
      </w: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ESG Matters Oversight</w:t>
      </w:r>
    </w:p>
    <w:p>
      <w:pPr>
        <w:spacing w:after="0" w:line="88" w:lineRule="exact"/>
        <w:rPr>
          <w:sz w:val="20"/>
          <w:szCs w:val="20"/>
          <w:color w:val="auto"/>
        </w:rPr>
      </w:pPr>
    </w:p>
    <w:p>
      <w:pPr>
        <w:ind w:left="580" w:right="400"/>
        <w:spacing w:after="0" w:line="242" w:lineRule="auto"/>
        <w:rPr>
          <w:sz w:val="20"/>
          <w:szCs w:val="20"/>
          <w:color w:val="auto"/>
        </w:rPr>
      </w:pPr>
      <w:r>
        <w:rPr>
          <w:rFonts w:ascii="Arial" w:cs="Arial" w:eastAsia="Arial" w:hAnsi="Arial"/>
          <w:sz w:val="18"/>
          <w:szCs w:val="18"/>
          <w:color w:val="auto"/>
        </w:rPr>
        <w:t>The Board of Directors has charged the Governance and Nominating Committee with responsibility for overseeing our strategy, initiatives, and engagement with investors and other key stakeholders related to ESG matters, other than those specifically related to the operation and structure of our compensation program (which is the primary responsibility of the Compensation Committee).</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Whistleblower Procedures</w:t>
      </w:r>
    </w:p>
    <w:p>
      <w:pPr>
        <w:spacing w:after="0" w:line="88" w:lineRule="exact"/>
        <w:rPr>
          <w:sz w:val="20"/>
          <w:szCs w:val="20"/>
          <w:color w:val="auto"/>
        </w:rPr>
      </w:pPr>
    </w:p>
    <w:p>
      <w:pPr>
        <w:ind w:left="580" w:right="140"/>
        <w:spacing w:after="0" w:line="242" w:lineRule="auto"/>
        <w:rPr>
          <w:sz w:val="20"/>
          <w:szCs w:val="20"/>
          <w:color w:val="auto"/>
        </w:rPr>
      </w:pPr>
      <w:r>
        <w:rPr>
          <w:rFonts w:ascii="Arial" w:cs="Arial" w:eastAsia="Arial" w:hAnsi="Arial"/>
          <w:sz w:val="18"/>
          <w:szCs w:val="18"/>
          <w:color w:val="auto"/>
        </w:rPr>
        <w:t>The Audit Committee has established procedures for receiving, recording, and addressing any complaints we receive regarding accounting, internal accounting controls, or auditing matters, and for the confidential and anonymous submission, by our employees or others, of any concerns about our accounting or auditing practices. We also maintain a toll-free Sabre Hotline telephone line and a website, each allowing our employees and others to voice their concerns anonymously.</w:t>
      </w:r>
    </w:p>
    <w:p>
      <w:pPr>
        <w:spacing w:after="0" w:line="93"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rPr>
        <w:t>PROPOSAL 1: ELECTION OF DIRECTORS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PROPOSAL 1: ELECTION OF DIRECTORS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00"/>
        <w:spacing w:after="0" w:line="267" w:lineRule="auto"/>
        <w:rPr>
          <w:sz w:val="20"/>
          <w:szCs w:val="20"/>
          <w:color w:val="auto"/>
        </w:rPr>
      </w:pPr>
      <w:r>
        <w:rPr>
          <w:rFonts w:ascii="Arial" w:cs="Arial" w:eastAsia="Arial" w:hAnsi="Arial"/>
          <w:sz w:val="18"/>
          <w:szCs w:val="18"/>
          <w:color w:val="auto"/>
        </w:rPr>
        <w:t>Our business and affairs are managed under the direction of our Board of Directors. Our Certificate of Incorporation provides that our Board of Directors shall consist of at least five directors but no more than thirteen directors.</w:t>
      </w:r>
    </w:p>
    <w:p>
      <w:pPr>
        <w:spacing w:after="0" w:line="133" w:lineRule="exact"/>
        <w:rPr>
          <w:sz w:val="20"/>
          <w:szCs w:val="20"/>
          <w:color w:val="auto"/>
        </w:rPr>
      </w:pPr>
    </w:p>
    <w:p>
      <w:pPr>
        <w:ind w:left="580"/>
        <w:spacing w:after="0" w:line="236" w:lineRule="auto"/>
        <w:rPr>
          <w:sz w:val="20"/>
          <w:szCs w:val="20"/>
          <w:color w:val="auto"/>
        </w:rPr>
      </w:pPr>
      <w:r>
        <w:rPr>
          <w:rFonts w:ascii="Arial" w:cs="Arial" w:eastAsia="Arial" w:hAnsi="Arial"/>
          <w:sz w:val="18"/>
          <w:szCs w:val="18"/>
          <w:color w:val="auto"/>
        </w:rPr>
        <w:t>As of the date of this proxy statement, the Board of Directors consists of eleven members. The Board of Directors, upon the recommendation of the Governance and Nominating Committee, has recommended Kurt Ekert for election to the Board of Directors. If Mr. Ekert is elected, the Board of Directors will consist of twelve directors. The twelve nominees for director set forth on the following pages are proposed to be elected at this year’s Annual Meeting to serve for a term to expire at the 2024 Annual Meeting and until their successors are elected and have been qualified. Should any nominee become unable to serve, proxies may be voted for another person designated by management. All nominees have advised us that they will serve if elected.</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Certain Information Regarding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40"/>
        <w:spacing w:after="0" w:line="237" w:lineRule="auto"/>
        <w:rPr>
          <w:sz w:val="20"/>
          <w:szCs w:val="20"/>
          <w:color w:val="auto"/>
        </w:rPr>
      </w:pPr>
      <w:r>
        <w:rPr>
          <w:rFonts w:ascii="Arial" w:cs="Arial" w:eastAsia="Arial" w:hAnsi="Arial"/>
          <w:sz w:val="18"/>
          <w:szCs w:val="18"/>
          <w:color w:val="auto"/>
        </w:rPr>
        <w:t>The names of the nominees, their ages as of March 16, 2023, the year they first became directors, their principal occupations during at least the past five years, information regarding director qualifications, and certain other biographical information are set forth below. Information is also provided on public company boards with a class of securities registered pursuant to Section 12 of the Exchange Act or subject to the requirements of Section 15(d) of the Exchange Act or registered under the Investment Company Act of 1940 on which they have served on since January 1, 2018. All of the nominees, other than Mr. Ekert, are current directors standing for reelection.</w:t>
      </w:r>
    </w:p>
    <w:p>
      <w:pPr>
        <w:spacing w:after="0" w:line="97"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22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194310</wp:posOffset>
            </wp:positionV>
            <wp:extent cx="2112010" cy="149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311" w:lineRule="exact"/>
        <w:rPr>
          <w:sz w:val="20"/>
          <w:szCs w:val="20"/>
          <w:color w:val="auto"/>
        </w:rPr>
      </w:pPr>
    </w:p>
    <w:p>
      <w:pPr>
        <w:jc w:val="right"/>
        <w:ind w:right="80"/>
        <w:spacing w:after="0"/>
        <w:rPr>
          <w:sz w:val="20"/>
          <w:szCs w:val="20"/>
          <w:color w:val="auto"/>
        </w:rPr>
      </w:pPr>
      <w:r>
        <w:rPr>
          <w:rFonts w:ascii="Arial" w:cs="Arial" w:eastAsia="Arial" w:hAnsi="Arial"/>
          <w:sz w:val="15"/>
          <w:szCs w:val="15"/>
          <w:b w:val="1"/>
          <w:bCs w:val="1"/>
          <w:color w:val="FFFFFF"/>
        </w:rPr>
        <w:t>PROPOSAL 1: ELECTION OF DIRECTORS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For a One-Year Term Expiring at the 2024 Annual Meeting of Stockholders</w:t>
      </w:r>
    </w:p>
    <w:p>
      <w:pPr>
        <w:sectPr>
          <w:pgSz w:w="11900" w:h="16838" w:orient="portrait"/>
          <w:cols w:equalWidth="0" w:num="1">
            <w:col w:w="10620"/>
          </w:cols>
          <w:pgMar w:left="320" w:top="453" w:right="959" w:bottom="1440" w:gutter="0" w:footer="0" w:header="0"/>
        </w:sect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GEORGE R. BRAVANTE,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-147955</wp:posOffset>
            </wp:positionV>
            <wp:extent cx="1609090" cy="25196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09090"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64,</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December 2014</w:t>
      </w:r>
    </w:p>
    <w:p>
      <w:pPr>
        <w:spacing w:after="0" w:line="161" w:lineRule="exact"/>
        <w:rPr>
          <w:sz w:val="20"/>
          <w:szCs w:val="20"/>
          <w:color w:val="auto"/>
        </w:rPr>
      </w:pPr>
    </w:p>
    <w:p>
      <w:pPr>
        <w:ind w:left="640"/>
        <w:spacing w:after="0" w:line="233" w:lineRule="auto"/>
        <w:rPr>
          <w:sz w:val="20"/>
          <w:szCs w:val="20"/>
          <w:color w:val="auto"/>
        </w:rPr>
      </w:pPr>
      <w:r>
        <w:rPr>
          <w:rFonts w:ascii="Arial" w:cs="Arial" w:eastAsia="Arial" w:hAnsi="Arial"/>
          <w:sz w:val="14"/>
          <w:szCs w:val="14"/>
          <w:i w:val="1"/>
          <w:iCs w:val="1"/>
          <w:color w:val="auto"/>
        </w:rPr>
        <w:t>Co-founder of Bravante-Curci Investors, LP, Owner of Bravante Produce, and CEO of Pacific Agricultural Realty, LP</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 (chair)</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Mr. Bravante is the co-founder and the managing member of the general partner of Bravante-Curci Investors, LP, an investment firm focusing on real estate investments in California. He has held this position since 1996. Since 2005, he has also been the owner of Bravante Produce, a grower, packer and shipper of premium California table grapes and citrus. In addition, since 2012 he has served as the CEO of Pacific Agricultural Realty, LP, a private equity fund investing in agricultural assets in California. Previously, he served as chairman of the board of ExpressJet Holdings, Inc. from 2005 to 2010 and was a member of its board from 2004 to 2010. From 1994 to 1996, Mr. Bravante was President and Chief Operating Officer of Colony Advisors, Inc., a real estate asset management company, and prior to that he was President and Chief Operating Officer of America Real Estate Group, Inc., where he led strategic management, restructuring and disposition of assets. Prior to that, he served as Chief Financial Officer of RMB Realty, where he was extensively involved with all aspects of numerous commercial real estate transactions, and as Manager at Ernst &amp; Whinney (now Ernst &amp; Young LLP). He serves as a director of KBS Growth &amp; Income REIT, Inc., a real estate investment trust.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B.A. in Accounting, University of South Carolina</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believe that Mr. Bravante should serve on our Board of Directors because of his travel industry experience, including his service as chairman of the board of ExpressJet Holdings, Inc., as well as his investment experience and financial and strategic business knowledge, including his executive experience as a CEO and CFO and his background in public accounting. He has been designated as an Audit Committee financial expert.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KBS Growth &amp; Income REIT, Inc. (2016 to present)</w:t>
      </w:r>
    </w:p>
    <w:p>
      <w:pPr>
        <w:spacing w:after="0" w:line="196" w:lineRule="exact"/>
        <w:rPr>
          <w:sz w:val="20"/>
          <w:szCs w:val="20"/>
          <w:color w:val="auto"/>
        </w:rPr>
      </w:pPr>
    </w:p>
    <w:p>
      <w:pPr>
        <w:sectPr>
          <w:pgSz w:w="11900" w:h="16838" w:orient="portrait"/>
          <w:cols w:equalWidth="0" w:num="2">
            <w:col w:w="2700" w:space="520"/>
            <w:col w:w="7400"/>
          </w:cols>
          <w:pgMar w:left="320" w:top="453" w:right="959" w:bottom="1440" w:gutter="0" w:footer="0" w:header="0"/>
          <w:type w:val="continuous"/>
        </w:sect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20"/>
          </w:cols>
          <w:pgMar w:left="320" w:top="453" w:right="9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jc w:val="right"/>
        <w:ind w:right="6980"/>
        <w:spacing w:after="0"/>
        <w:rPr>
          <w:sz w:val="20"/>
          <w:szCs w:val="20"/>
          <w:color w:val="auto"/>
        </w:rPr>
      </w:pPr>
      <w:r>
        <w:rPr>
          <w:rFonts w:ascii="Arial" w:cs="Arial" w:eastAsia="Arial" w:hAnsi="Arial"/>
          <w:sz w:val="15"/>
          <w:szCs w:val="15"/>
          <w:b w:val="1"/>
          <w:bCs w:val="1"/>
          <w:color w:val="FFFFFF"/>
        </w:rPr>
        <w:t>PROPOSAL 1: ELECTION OF DIRECTORS</w:t>
      </w:r>
    </w:p>
    <w:p>
      <w:pPr>
        <w:sectPr>
          <w:pgSz w:w="11900" w:h="16838" w:orient="portrait"/>
          <w:cols w:equalWidth="0" w:num="1">
            <w:col w:w="10660"/>
          </w:cols>
          <w:pgMar w:left="320" w:top="453" w:right="919" w:bottom="1440" w:gutter="0" w:footer="0" w:header="0"/>
        </w:sect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HERVÉ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-147955</wp:posOffset>
            </wp:positionV>
            <wp:extent cx="1609090" cy="2339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09090"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64,</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December 2017</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President, Kerney Partners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 (chair)</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Mr. Couturier is a private investor and product strategy consultant. Mr. Couturier currently serves as President of Kerney Partners, a consulting firm. From 2012 to 2016, he was Executive Vice President, R&amp;D, at Amadeus, an airline reservation systems provider. From 2007 to 2012, he was Executive Vice President of SAP AG’s Technology Group and Head of Research. He also serves as a board member for various private software companies, including Infovista Inc. and Kyriba Corp., and has held management positions at a number of IT companies including Business Objects, the worldwide leader of business intelligence solutions, now part of SAP, S1 Corporation, a provider of payment software for financial institutions, now part of ACI Worldwide, and XRT, a leading European treasury management software company, now part of the Sage Group PLC. He began his career at IBM in 1982, where he held various engineering and business positions until 1997.</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Engineering degree, École Centrale Paris</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M.S., École Centrale Paris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Mr. Couturier has significant experience in the areas of solutions strategy, product strategy, product development and business management at software-based companies, as well as domain experience in the travel, banking and manufacturing segments, including executive experience at a travel distribution company. In addition, he has deep knowledge and understanding regarding managing in complex mainframe and cloud environments, as well as cybersecurity experience. We believe this international and industry expertise provides valuable insights for our Board of Directors and management, including as Sabre continues to execute its technology transformation.</w:t>
      </w:r>
    </w:p>
    <w:p>
      <w:pPr>
        <w:spacing w:after="0" w:line="200" w:lineRule="exact"/>
        <w:rPr>
          <w:sz w:val="20"/>
          <w:szCs w:val="20"/>
          <w:color w:val="auto"/>
        </w:rPr>
      </w:pPr>
    </w:p>
    <w:p>
      <w:pPr>
        <w:sectPr>
          <w:pgSz w:w="11900" w:h="16838" w:orient="portrait"/>
          <w:cols w:equalWidth="0" w:num="2">
            <w:col w:w="2620" w:space="600"/>
            <w:col w:w="7440"/>
          </w:cols>
          <w:pgMar w:left="320" w:top="453" w:right="919" w:bottom="1440" w:gutter="0" w:footer="0" w:header="0"/>
          <w:type w:val="continuous"/>
        </w:sectPr>
      </w:pPr>
    </w:p>
    <w:p>
      <w:pPr>
        <w:spacing w:after="0" w:line="4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24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484505</wp:posOffset>
            </wp:positionV>
            <wp:extent cx="1609090" cy="2038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09090"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94615</wp:posOffset>
            </wp:positionV>
            <wp:extent cx="1609090" cy="1970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09090" cy="197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52</w:t>
      </w:r>
    </w:p>
    <w:p>
      <w:pPr>
        <w:spacing w:after="0" w:line="175" w:lineRule="exact"/>
        <w:rPr>
          <w:sz w:val="20"/>
          <w:szCs w:val="20"/>
          <w:color w:val="auto"/>
        </w:rPr>
      </w:pPr>
    </w:p>
    <w:p>
      <w:pPr>
        <w:jc w:val="right"/>
        <w:ind w:right="40"/>
        <w:spacing w:after="0"/>
        <w:rPr>
          <w:sz w:val="20"/>
          <w:szCs w:val="20"/>
          <w:color w:val="auto"/>
        </w:rPr>
      </w:pPr>
      <w:r>
        <w:rPr>
          <w:rFonts w:ascii="Arial" w:cs="Arial" w:eastAsia="Arial" w:hAnsi="Arial"/>
          <w:sz w:val="14"/>
          <w:szCs w:val="14"/>
          <w:i w:val="1"/>
          <w:iCs w:val="1"/>
          <w:color w:val="auto"/>
        </w:rPr>
        <w:t>President, Sabre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-635000</wp:posOffset>
            </wp:positionV>
            <wp:extent cx="7185025" cy="520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-124460</wp:posOffset>
            </wp:positionV>
            <wp:extent cx="2112010" cy="149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Ekert has served as President of Sabre since January 2022. Mr. Ekert has been elected as Chief Executive Officer and President of Sabre, effective as of April 27, 2023. Prior to joining Sabre, Mr. Ekert served as President and Chief Executive Officer of Carlson Worldwide Travel (CWT) from 2016 to 2021. Sabre has an agreement with CWT pursuant to which Sabre provides CWT with access to its GDS and pays incentive fees to CWT, and CWT purchases certain products from Sabre. From 2010 to 2015, he served as Executive Vice President and Chief Commercial Officer of Travelport Worldwide Ltd., a distribution services provider for the global travel industry, and from 2006 to 2010, he served as Chief Operating Officer of Gulliver’s Travel Associates (GTA), a division of Travelport. From 2002 to 2006, he served in executive roles of increasing responsibility at Cendant (at then Cendant subsidiaries Travelport and Orbitz Worldwide). Prior to joining Cendant, Mr. Ekert’s experience in the travel industry included a number of senior finance roles at Continental Airlines. He also served four years as an active duty officer in the US Army. Mr. Ekert serves as a director of Passur Aerospace, Inc., a business intelligence company, and a director of ZYTLYN. He previously was Chairman of the US Department of Commerce Travel &amp; Tourism Advisory Board, as well as a director for each of eNett, Carlson Travel Inc., the World Travel &amp; Tourism Council, and the UNGA Global Partnership to End Violence Against Children.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ind w:right="2500"/>
        <w:spacing w:after="0" w:line="263"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in Economics, Wharton School, University of Pennsylvania</w:t>
      </w:r>
      <w:r>
        <w:rPr>
          <w:rFonts w:ascii="Arial" w:cs="Arial" w:eastAsia="Arial" w:hAnsi="Arial"/>
          <w:sz w:val="23"/>
          <w:szCs w:val="23"/>
          <w:color w:val="auto"/>
        </w:rPr>
        <w:t xml:space="preserve"> •</w:t>
      </w:r>
      <w:r>
        <w:rPr>
          <w:rFonts w:ascii="Arial" w:cs="Arial" w:eastAsia="Arial" w:hAnsi="Arial"/>
          <w:sz w:val="16"/>
          <w:szCs w:val="16"/>
          <w:color w:val="auto"/>
        </w:rPr>
        <w:t xml:space="preserve">    M.B.A., University of South Carolina</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Mr. Ekert has deep experience in the travel industry, including executive experience at a travel distribution company, a travel management company and an online travel agency. In addition, he has leadership experience through his private company board experience and his service as an active duty officer in the United States Army. We believe this industry expertise and leadership provide critical insights for our Board of Directors and management.</w:t>
      </w:r>
    </w:p>
    <w:p>
      <w:pPr>
        <w:spacing w:after="0" w:line="200" w:lineRule="exact"/>
        <w:rPr>
          <w:sz w:val="20"/>
          <w:szCs w:val="20"/>
          <w:color w:val="auto"/>
        </w:rPr>
      </w:pPr>
    </w:p>
    <w:p>
      <w:pPr>
        <w:spacing w:after="0" w:line="218" w:lineRule="exact"/>
        <w:rPr>
          <w:sz w:val="20"/>
          <w:szCs w:val="20"/>
          <w:color w:val="auto"/>
        </w:rPr>
      </w:pPr>
    </w:p>
    <w:tbl>
      <w:tblPr>
        <w:tblLayout w:type="fixed"/>
        <w:tblInd w:w="300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-143510</wp:posOffset>
            </wp:positionV>
            <wp:extent cx="415925" cy="102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2">
            <w:col w:w="2500" w:space="720"/>
            <w:col w:w="7440"/>
          </w:cols>
          <w:pgMar w:left="320" w:top="453" w:right="9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jc w:val="right"/>
        <w:ind w:right="6960"/>
        <w:spacing w:after="0"/>
        <w:rPr>
          <w:sz w:val="20"/>
          <w:szCs w:val="20"/>
          <w:color w:val="auto"/>
        </w:rPr>
      </w:pPr>
      <w:r>
        <w:rPr>
          <w:rFonts w:ascii="Arial" w:cs="Arial" w:eastAsia="Arial" w:hAnsi="Arial"/>
          <w:sz w:val="15"/>
          <w:szCs w:val="15"/>
          <w:b w:val="1"/>
          <w:bCs w:val="1"/>
          <w:color w:val="FFFFFF"/>
        </w:rPr>
        <w:t>PROPOSAL 1: ELECTION OF DIRECTORS</w:t>
      </w:r>
    </w:p>
    <w:p>
      <w:pPr>
        <w:sectPr>
          <w:pgSz w:w="11900" w:h="16838" w:orient="portrait"/>
          <w:cols w:equalWidth="0" w:num="1">
            <w:col w:w="10640"/>
          </w:cols>
          <w:pgMar w:left="320" w:top="453" w:right="939" w:bottom="1440" w:gutter="0" w:footer="0" w:header="0"/>
        </w:sect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RACHEL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-147955</wp:posOffset>
            </wp:positionV>
            <wp:extent cx="1609090" cy="2567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09090" cy="256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53,</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October 2022</w:t>
      </w:r>
    </w:p>
    <w:p>
      <w:pPr>
        <w:spacing w:after="0" w:line="161" w:lineRule="exact"/>
        <w:rPr>
          <w:sz w:val="20"/>
          <w:szCs w:val="20"/>
          <w:color w:val="auto"/>
        </w:rPr>
      </w:pPr>
    </w:p>
    <w:p>
      <w:pPr>
        <w:ind w:left="640"/>
        <w:spacing w:after="0" w:line="238" w:lineRule="auto"/>
        <w:rPr>
          <w:sz w:val="20"/>
          <w:szCs w:val="20"/>
          <w:color w:val="auto"/>
        </w:rPr>
      </w:pPr>
      <w:r>
        <w:rPr>
          <w:rFonts w:ascii="Arial" w:cs="Arial" w:eastAsia="Arial" w:hAnsi="Arial"/>
          <w:sz w:val="14"/>
          <w:szCs w:val="14"/>
          <w:i w:val="1"/>
          <w:iCs w:val="1"/>
          <w:color w:val="auto"/>
        </w:rPr>
        <w:t>Former General Counsel, Executive Vice President, Law &amp; Corporate Affairs, Starbucks Corporation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Ms. Gonzalez is the former Executive Vice President, Law &amp; Corporate Affairs and General Counsel of Starbucks Corporation, serving in the role from 2018 to 2022. While at Starbucks, she actively shaped, influenced and executed the company’s revenue, earnings and growth ambitions; she supported Starbucks’ response to the COVID global health pandemic. Beginning April 1, 2023, Ms. Gonzalez will serve as General Counsel of GE Vernova, GE’s portfolio of energy businesses. Prior to Starbucks, Ms. Gonzalez served as Chief Administrative Officer at Sabre Corporation, where she was responsible for human resources, corporate communications, legal strategy, regulatory affairs, corporate compliance and government affairs. She joined Sabre in 2014 as Executive Vice President and General Counsel. Her key accomplishments at Sabre include supporting the restructuring of resources to provide an appropriate foundation for growth, as well as guiding the Company through significant antitrust matters. Before Sabre, Ms. Gonzalez served as Executive Vice President, General Counsel and Corporate Secretary with Dean Foods, Senior Vice President and Group Counsel with Affiliated Computer Services, and Partner with law firm Morgan, Lewis &amp; Bockius. She currently serves on the board of Electronic Arts Inc. and advisory board of PODER25, a sub-organization of the Hispanic National Bar Association, and as an observer to the board of Vacasa, Inc.</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in Comparative Literature, University of California, Berkeley</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J.D., Boalt Hall School of Law, University of California, Berkeley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Ms. Gonzalez has an extensive legal and regulatory background, including her experience serving as a public company General Counsel experience and her role in shaping companies’ responses to cybersecurity matters. In addition, her executive leadership experience, including in the travel and technology industry, and public company board service are significant assets to our Board of Directors.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Identifies as Female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Identifies as Hispanic/Latino</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Electronic Arts Inc. (2021 to present)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 directorships since 2018:</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Dana, Inc. (2017 to 2022)</w:t>
      </w:r>
    </w:p>
    <w:p>
      <w:pPr>
        <w:spacing w:after="0" w:line="159" w:lineRule="exact"/>
        <w:rPr>
          <w:sz w:val="20"/>
          <w:szCs w:val="20"/>
          <w:color w:val="auto"/>
        </w:rPr>
      </w:pPr>
    </w:p>
    <w:p>
      <w:pPr>
        <w:sectPr>
          <w:pgSz w:w="11900" w:h="16838" w:orient="portrait"/>
          <w:cols w:equalWidth="0" w:num="2">
            <w:col w:w="2880" w:space="340"/>
            <w:col w:w="7420"/>
          </w:cols>
          <w:pgMar w:left="320" w:top="453" w:right="939" w:bottom="1440" w:gutter="0" w:footer="0" w:header="0"/>
          <w:type w:val="continuous"/>
        </w:sect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26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484505</wp:posOffset>
            </wp:positionV>
            <wp:extent cx="1609090" cy="203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09090"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GAIL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94615</wp:posOffset>
            </wp:positionV>
            <wp:extent cx="1609090" cy="2166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09090" cy="216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54,</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April 2020</w:t>
      </w:r>
    </w:p>
    <w:p>
      <w:pPr>
        <w:spacing w:after="0" w:line="173" w:lineRule="exact"/>
        <w:rPr>
          <w:sz w:val="20"/>
          <w:szCs w:val="20"/>
          <w:color w:val="auto"/>
        </w:rPr>
      </w:pPr>
    </w:p>
    <w:p>
      <w:pPr>
        <w:ind w:left="640"/>
        <w:spacing w:after="0" w:line="253" w:lineRule="auto"/>
        <w:rPr>
          <w:sz w:val="20"/>
          <w:szCs w:val="20"/>
          <w:color w:val="auto"/>
        </w:rPr>
      </w:pPr>
      <w:r>
        <w:rPr>
          <w:rFonts w:ascii="Arial" w:cs="Arial" w:eastAsia="Arial" w:hAnsi="Arial"/>
          <w:sz w:val="14"/>
          <w:szCs w:val="14"/>
          <w:i w:val="1"/>
          <w:iCs w:val="1"/>
          <w:color w:val="auto"/>
        </w:rPr>
        <w:t>Managing Director, Focused Point Ventures,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-635000</wp:posOffset>
            </wp:positionV>
            <wp:extent cx="7185025" cy="520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-124460</wp:posOffset>
            </wp:positionV>
            <wp:extent cx="2112010" cy="149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Ms. Mandel has served as Managing Director of Focused Point Ventures, LLC, a business advisory and consulting services organization, since 2019. In addition, she currently serves as a Director for Dave &amp; Buster’s Entertainment, Inc., a leading owner and operator of high-volume entertainment and dining venues as well as the Chairman of the Board and Chair of the Audit Committee of PureStar, a private equity backed provider of laundry services and linen management to the hospitality industry. From 2014 to 2018, she served as President and Chief Executive Officer of Wyndham Destination Network, an operating division of Wyndham Worldwide, a provider of professionally managed, unique vacation accommodations. Ms. Mandel served as Chief Operating Officer and Chief Financial Officer, Wyndham Exchange &amp; Rentals (later known as Wyndham Destination Network), from March 2014 to November 2014 and Chief Financial Officer, Wyndham Exchange &amp; Rentals, from January 2010 to March 2014. From August 2006 to January 2010, Ms. Mandel was Senior Vice President, Financial Planning &amp; Analysis, for Wyndham Worldwide. From February 1999 to August 2006, Ms. Mandel was Division CFO/Controller, Cendant Hospitality/Travel Services, and from October 1997 to February 1999, Ms. Mandel was Controller, Cendant Mobility. Ms. Mandel received her CPA license (currently inactive) from the State of New York in 1993.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B.B.A. in Public Accounting, summa cum laude, Pace University</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Global Leaders Program, The Wharton School, University of Pennsylvania</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Ms. Mandel has extensive leadership experience, as well as mergers and acquisition and financing experience, in the hospitality and travel industry; this background allows her to provide key insights to our Board of Directors as it oversees the development and implementation of our strategy. In addition, she has significant experience in finance and technology implementation, which provides an important contribution to our Board of Directors. She has been designated as an Audit Committee financial expert.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gridSpan w:val="2"/>
          </w:tcPr>
          <w:p>
            <w:pPr>
              <w:spacing w:after="0"/>
              <w:rPr>
                <w:sz w:val="20"/>
                <w:szCs w:val="20"/>
                <w:color w:val="auto"/>
              </w:rPr>
            </w:pPr>
            <w:r>
              <w:rPr>
                <w:rFonts w:ascii="Arial" w:cs="Arial" w:eastAsia="Arial" w:hAnsi="Arial"/>
                <w:sz w:val="16"/>
                <w:szCs w:val="16"/>
                <w:b w:val="1"/>
                <w:bCs w:val="1"/>
                <w:color w:val="auto"/>
              </w:rPr>
              <w:t>Diversity:</w:t>
            </w:r>
          </w:p>
        </w:tc>
        <w:tc>
          <w:tcPr>
            <w:tcW w:w="340" w:type="dxa"/>
            <w:vAlign w:val="bottom"/>
          </w:tcPr>
          <w:p>
            <w:pPr>
              <w:spacing w:after="0"/>
              <w:rPr>
                <w:sz w:val="16"/>
                <w:szCs w:val="16"/>
                <w:color w:val="auto"/>
              </w:rPr>
            </w:pPr>
          </w:p>
        </w:tc>
      </w:tr>
      <w:tr>
        <w:trPr>
          <w:trHeight w:val="305"/>
        </w:trPr>
        <w:tc>
          <w:tcPr>
            <w:tcW w:w="180" w:type="dxa"/>
            <w:vAlign w:val="bottom"/>
          </w:tcPr>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w:t>
            </w:r>
          </w:p>
        </w:tc>
        <w:tc>
          <w:tcPr>
            <w:tcW w:w="6860" w:type="dxa"/>
            <w:vAlign w:val="bottom"/>
          </w:tcPr>
          <w:p>
            <w:pPr>
              <w:ind w:left="60"/>
              <w:spacing w:after="0"/>
              <w:rPr>
                <w:sz w:val="20"/>
                <w:szCs w:val="20"/>
                <w:color w:val="auto"/>
              </w:rPr>
            </w:pPr>
            <w:r>
              <w:rPr>
                <w:rFonts w:ascii="Arial" w:cs="Arial" w:eastAsia="Arial" w:hAnsi="Arial"/>
                <w:sz w:val="16"/>
                <w:szCs w:val="16"/>
                <w:color w:val="auto"/>
              </w:rPr>
              <w:t>  Identifies as Female</w:t>
            </w:r>
          </w:p>
        </w:tc>
        <w:tc>
          <w:tcPr>
            <w:tcW w:w="340" w:type="dxa"/>
            <w:vAlign w:val="bottom"/>
          </w:tcPr>
          <w:p>
            <w:pPr>
              <w:spacing w:after="0"/>
              <w:rPr>
                <w:sz w:val="24"/>
                <w:szCs w:val="24"/>
                <w:color w:val="auto"/>
              </w:rPr>
            </w:pPr>
          </w:p>
        </w:tc>
      </w:tr>
      <w:tr>
        <w:trPr>
          <w:trHeight w:val="264"/>
        </w:trPr>
        <w:tc>
          <w:tcPr>
            <w:tcW w:w="7040" w:type="dxa"/>
            <w:vAlign w:val="bottom"/>
            <w:gridSpan w:val="2"/>
          </w:tcPr>
          <w:p>
            <w:pPr>
              <w:spacing w:after="0"/>
              <w:rPr>
                <w:sz w:val="20"/>
                <w:szCs w:val="20"/>
                <w:color w:val="auto"/>
              </w:rPr>
            </w:pPr>
            <w:r>
              <w:rPr>
                <w:rFonts w:ascii="Arial" w:cs="Arial" w:eastAsia="Arial" w:hAnsi="Arial"/>
                <w:sz w:val="16"/>
                <w:szCs w:val="16"/>
                <w:b w:val="1"/>
                <w:bCs w:val="1"/>
                <w:color w:val="auto"/>
              </w:rPr>
              <w:t>Other current public company directorships:</w:t>
            </w:r>
          </w:p>
        </w:tc>
        <w:tc>
          <w:tcPr>
            <w:tcW w:w="340" w:type="dxa"/>
            <w:vAlign w:val="bottom"/>
          </w:tcPr>
          <w:p>
            <w:pPr>
              <w:spacing w:after="0"/>
              <w:rPr>
                <w:sz w:val="22"/>
                <w:szCs w:val="22"/>
                <w:color w:val="auto"/>
              </w:rPr>
            </w:pPr>
          </w:p>
        </w:tc>
      </w:tr>
      <w:tr>
        <w:trPr>
          <w:trHeight w:val="305"/>
        </w:trPr>
        <w:tc>
          <w:tcPr>
            <w:tcW w:w="180" w:type="dxa"/>
            <w:vAlign w:val="bottom"/>
          </w:tcPr>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w:t>
            </w:r>
          </w:p>
        </w:tc>
        <w:tc>
          <w:tcPr>
            <w:tcW w:w="6860" w:type="dxa"/>
            <w:vAlign w:val="bottom"/>
          </w:tcPr>
          <w:p>
            <w:pPr>
              <w:ind w:left="60"/>
              <w:spacing w:after="0"/>
              <w:rPr>
                <w:sz w:val="20"/>
                <w:szCs w:val="20"/>
                <w:color w:val="auto"/>
              </w:rPr>
            </w:pPr>
            <w:r>
              <w:rPr>
                <w:rFonts w:ascii="Arial" w:cs="Arial" w:eastAsia="Arial" w:hAnsi="Arial"/>
                <w:sz w:val="16"/>
                <w:szCs w:val="16"/>
                <w:color w:val="auto"/>
              </w:rPr>
              <w:t>  Dave &amp; Buster’s Entertainment, Inc. (2022 to present)</w:t>
            </w:r>
          </w:p>
        </w:tc>
        <w:tc>
          <w:tcPr>
            <w:tcW w:w="340" w:type="dxa"/>
            <w:vAlign w:val="bottom"/>
          </w:tcPr>
          <w:p>
            <w:pPr>
              <w:spacing w:after="0"/>
              <w:rPr>
                <w:sz w:val="24"/>
                <w:szCs w:val="24"/>
                <w:color w:val="auto"/>
              </w:rPr>
            </w:pPr>
          </w:p>
        </w:tc>
      </w:tr>
      <w:tr>
        <w:trPr>
          <w:trHeight w:val="437"/>
        </w:trPr>
        <w:tc>
          <w:tcPr>
            <w:tcW w:w="180" w:type="dxa"/>
            <w:vAlign w:val="bottom"/>
          </w:tcPr>
          <w:p>
            <w:pPr>
              <w:spacing w:after="0"/>
              <w:rPr>
                <w:sz w:val="24"/>
                <w:szCs w:val="24"/>
                <w:color w:val="auto"/>
              </w:rPr>
            </w:pPr>
          </w:p>
        </w:tc>
        <w:tc>
          <w:tcPr>
            <w:tcW w:w="6860" w:type="dxa"/>
            <w:vAlign w:val="bottom"/>
          </w:tcPr>
          <w:p>
            <w:pPr>
              <w:ind w:left="2820"/>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-143510</wp:posOffset>
            </wp:positionV>
            <wp:extent cx="415925" cy="1022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2">
            <w:col w:w="2760" w:space="460"/>
            <w:col w:w="7420"/>
          </w:cols>
          <w:pgMar w:left="320" w:top="453" w:right="9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jc w:val="right"/>
        <w:ind w:right="6940"/>
        <w:spacing w:after="0"/>
        <w:rPr>
          <w:sz w:val="20"/>
          <w:szCs w:val="20"/>
          <w:color w:val="auto"/>
        </w:rPr>
      </w:pPr>
      <w:r>
        <w:rPr>
          <w:rFonts w:ascii="Arial" w:cs="Arial" w:eastAsia="Arial" w:hAnsi="Arial"/>
          <w:sz w:val="15"/>
          <w:szCs w:val="15"/>
          <w:b w:val="1"/>
          <w:bCs w:val="1"/>
          <w:color w:val="FFFFFF"/>
        </w:rPr>
        <w:t>PROPOSAL 1: ELECTION OF DIRECTORS</w:t>
      </w:r>
    </w:p>
    <w:p>
      <w:pPr>
        <w:sectPr>
          <w:pgSz w:w="11900" w:h="16838" w:orient="portrait"/>
          <w:cols w:equalWidth="0" w:num="1">
            <w:col w:w="10620"/>
          </w:cols>
          <w:pgMar w:left="320" w:top="453" w:right="959" w:bottom="1440" w:gutter="0" w:footer="0" w:header="0"/>
        </w:sect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-147955</wp:posOffset>
            </wp:positionV>
            <wp:extent cx="1609090" cy="23787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09090" cy="237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54,</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December 2016</w:t>
      </w:r>
    </w:p>
    <w:p>
      <w:pPr>
        <w:spacing w:after="0" w:line="161" w:lineRule="exact"/>
        <w:rPr>
          <w:sz w:val="20"/>
          <w:szCs w:val="20"/>
          <w:color w:val="auto"/>
        </w:rPr>
      </w:pPr>
    </w:p>
    <w:p>
      <w:pPr>
        <w:ind w:left="640"/>
        <w:spacing w:after="0" w:line="253" w:lineRule="auto"/>
        <w:rPr>
          <w:sz w:val="20"/>
          <w:szCs w:val="20"/>
          <w:color w:val="auto"/>
        </w:rPr>
      </w:pPr>
      <w:r>
        <w:rPr>
          <w:rFonts w:ascii="Arial" w:cs="Arial" w:eastAsia="Arial" w:hAnsi="Arial"/>
          <w:sz w:val="14"/>
          <w:szCs w:val="14"/>
          <w:i w:val="1"/>
          <w:iCs w:val="1"/>
          <w:color w:val="auto"/>
        </w:rPr>
        <w:t>Chair of the Board and CEO, Sabre Corporation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Committee (chair)</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Menke has served as CEO of Sabre since December 2016 and served as its President from December 2016 through January 2, 2022. He was elected Chair of the Board effective April 28, 2022. Effective as of April 27, 2023, Mr. Menke will transition to be solely Executive Chair of the Board of Directors. Mr. Menke previously served as Sabre’s Executive Vice President and President of Travel Network. Before joining Sabre in October 2015, Mr. Menke served as Executive Vice 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He serves as a director of Waste Management, Inc., a provider of comprehensive waste management environmental services.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in Economics, Ohio State University</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in Aviation, Ohio State University</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M.B.A., University of Denver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Mr. Menke’s career in the airline business has spanned more than 20 years in executive leadership roles, as well as in senior level marketing, operations, customer experience, strategy, planning, sales, distribution, and revenue management roles. In addition, he has extensive travel technology sector experience, including through his current position and his prior role as President of Travel Network of Sabre, which not only provides insights into the strategic matters related to Sabre but also experience in overseeing complex cybersecurity matters. Furthermore, he has significant experience as a public company director, providing him with key oversight experience related to ESG matters. These attributes make him a valuable asset to our management and our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Waste Management, Inc. (2021 to present)</w:t>
      </w:r>
    </w:p>
    <w:p>
      <w:pPr>
        <w:spacing w:after="0" w:line="134" w:lineRule="exact"/>
        <w:rPr>
          <w:sz w:val="20"/>
          <w:szCs w:val="20"/>
          <w:color w:val="auto"/>
        </w:rPr>
      </w:pPr>
    </w:p>
    <w:p>
      <w:pPr>
        <w:sectPr>
          <w:pgSz w:w="11900" w:h="16838" w:orient="portrait"/>
          <w:cols w:equalWidth="0" w:num="2">
            <w:col w:w="2840" w:space="380"/>
            <w:col w:w="7400"/>
          </w:cols>
          <w:pgMar w:left="320" w:top="453" w:right="959" w:bottom="1440" w:gutter="0" w:footer="0" w:header="0"/>
          <w:type w:val="continuous"/>
        </w:sect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28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20"/>
          </w:cols>
          <w:pgMar w:left="320" w:top="453" w:right="9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484505</wp:posOffset>
            </wp:positionV>
            <wp:extent cx="1609090" cy="2038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09090"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PHYLLIS 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102235</wp:posOffset>
            </wp:positionV>
            <wp:extent cx="1609090" cy="2166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09090" cy="216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spacing w:after="0"/>
        <w:rPr>
          <w:sz w:val="20"/>
          <w:szCs w:val="20"/>
          <w:color w:val="auto"/>
        </w:rPr>
      </w:pPr>
      <w:r>
        <w:rPr>
          <w:rFonts w:ascii="Arial" w:cs="Arial" w:eastAsia="Arial" w:hAnsi="Arial"/>
          <w:sz w:val="14"/>
          <w:szCs w:val="14"/>
          <w:i w:val="1"/>
          <w:iCs w:val="1"/>
          <w:color w:val="auto"/>
        </w:rPr>
        <w:t>60,</w:t>
      </w: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April 2021</w:t>
      </w:r>
    </w:p>
    <w:p>
      <w:pPr>
        <w:spacing w:after="0" w:line="161" w:lineRule="exact"/>
        <w:rPr>
          <w:sz w:val="20"/>
          <w:szCs w:val="20"/>
          <w:color w:val="auto"/>
        </w:rPr>
      </w:pPr>
    </w:p>
    <w:p>
      <w:pPr>
        <w:ind w:left="640"/>
        <w:spacing w:after="0" w:line="253" w:lineRule="auto"/>
        <w:rPr>
          <w:sz w:val="20"/>
          <w:szCs w:val="20"/>
          <w:color w:val="auto"/>
        </w:rPr>
      </w:pPr>
      <w:r>
        <w:rPr>
          <w:rFonts w:ascii="Arial" w:cs="Arial" w:eastAsia="Arial" w:hAnsi="Arial"/>
          <w:sz w:val="14"/>
          <w:szCs w:val="14"/>
          <w:i w:val="1"/>
          <w:iCs w:val="1"/>
          <w:color w:val="auto"/>
        </w:rPr>
        <w:t>Founder and CEO, Xtreme Solutions,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-635000</wp:posOffset>
            </wp:positionV>
            <wp:extent cx="7185025" cy="520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-124460</wp:posOffset>
            </wp:positionV>
            <wp:extent cx="2112010" cy="149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Audit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Ms. Newhouse has served as Chief Executive Officer of Xtreme Solutions, Inc. since 2002. Xtreme Solutions, Inc. is a leading information technology and cybersecurity firm that specializes in ethical hacking, training, and providing cyber solutions consultancy to the federal and private sectors. She served in the United States Army, where she focused on national security, including working with several information security task forces teams. In 2019, Ms. Newhouse founded ShoulderUp, a nonprofit dedicated to connecting and supporting women in their entrepreneurial journeys. From 2020 to December 2021, she served as CEO and a director of Athena Technology Acquisition Corp. (“Athena”), a special purpose acquisition corporation (“SPAC”), and since December 2021 has served as a director of Heliogen, Inc., which conducted a business combination with Athena. She serves as CEO and a director of ShoulderUp Technology Acquisition Corp., a SPAC. Ms. Newhouse currently serves on the board of the Technology Association of Georgia, is a member of the Business Executives for National Security and of the Women Presidents’ Organization, and serves on the Board of Directors of Girls Inc.</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B.A. in Liberal Arts Science, Saint Leo College</w:t>
      </w:r>
    </w:p>
    <w:p>
      <w:pPr>
        <w:spacing w:after="0" w:line="8" w:lineRule="exact"/>
        <w:rPr>
          <w:sz w:val="20"/>
          <w:szCs w:val="20"/>
          <w:color w:val="auto"/>
        </w:rPr>
      </w:pPr>
    </w:p>
    <w:p>
      <w:pPr>
        <w:ind w:left="320" w:right="160" w:hanging="329"/>
        <w:spacing w:after="0" w:line="207"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Graduate of the Institute of Entrepreneurial Leadership program sponsored by John F. Kennedy</w:t>
      </w:r>
      <w:r>
        <w:rPr>
          <w:rFonts w:ascii="Arial" w:cs="Arial" w:eastAsia="Arial" w:hAnsi="Arial"/>
          <w:sz w:val="23"/>
          <w:szCs w:val="23"/>
          <w:color w:val="auto"/>
        </w:rPr>
        <w:t xml:space="preserve"> </w:t>
      </w:r>
      <w:r>
        <w:rPr>
          <w:rFonts w:ascii="Arial" w:cs="Arial" w:eastAsia="Arial" w:hAnsi="Arial"/>
          <w:sz w:val="16"/>
          <w:szCs w:val="16"/>
          <w:color w:val="auto"/>
        </w:rPr>
        <w:t>University</w:t>
      </w:r>
    </w:p>
    <w:p>
      <w:pPr>
        <w:spacing w:after="0" w:line="1" w:lineRule="exact"/>
        <w:rPr>
          <w:sz w:val="20"/>
          <w:szCs w:val="20"/>
          <w:color w:val="auto"/>
        </w:rPr>
      </w:pPr>
    </w:p>
    <w:p>
      <w:pPr>
        <w:ind w:right="2680"/>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Honorary Doctor of Philosophy, CICA International University</w:t>
      </w:r>
      <w:r>
        <w:rPr>
          <w:rFonts w:ascii="Arial" w:cs="Arial" w:eastAsia="Arial" w:hAnsi="Arial"/>
          <w:sz w:val="23"/>
          <w:szCs w:val="23"/>
          <w:color w:val="auto"/>
        </w:rPr>
        <w:t xml:space="preserve"> </w:t>
      </w:r>
      <w:r>
        <w:rPr>
          <w:rFonts w:ascii="Arial" w:cs="Arial" w:eastAsia="Arial" w:hAnsi="Arial"/>
          <w:sz w:val="16"/>
          <w:szCs w:val="16"/>
          <w:b w:val="1"/>
          <w:bCs w:val="1"/>
          <w:color w:val="auto"/>
        </w:rPr>
        <w:t>Director qualifications:</w:t>
      </w:r>
    </w:p>
    <w:p>
      <w:pPr>
        <w:ind w:right="140"/>
        <w:spacing w:after="0" w:line="246" w:lineRule="auto"/>
        <w:rPr>
          <w:sz w:val="20"/>
          <w:szCs w:val="20"/>
          <w:color w:val="auto"/>
        </w:rPr>
      </w:pPr>
      <w:r>
        <w:rPr>
          <w:rFonts w:ascii="Arial" w:cs="Arial" w:eastAsia="Arial" w:hAnsi="Arial"/>
          <w:sz w:val="16"/>
          <w:szCs w:val="16"/>
          <w:color w:val="auto"/>
        </w:rPr>
        <w:t>Ms. Newhouse has deep experience in the cybersecurity and information technology fields as the CEO of a cybersecurity firm and as a former United States Army noncommissioned officer that focused on national security. She also has a significant focus on entrepreneurship, including through the founding of her firm and a nonprofit dedicated to connecting and supporting women on their entrepreneurial journeys. We believe these characteristics serve an important role on our Board of Directors.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Identifies as Female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Identifies as Black or African American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Heliogen, Inc. (December 2021 to present)</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ShoulderUp Technology Acquisition Corp. (2021 to present) (SPAC)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 directorships since 2018:</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Athena Technology Acquisition Corp. (2020 to December 2021) (SPAC)</w:t>
      </w:r>
    </w:p>
    <w:p>
      <w:pPr>
        <w:spacing w:after="0" w:line="369" w:lineRule="exact"/>
        <w:rPr>
          <w:sz w:val="20"/>
          <w:szCs w:val="20"/>
          <w:color w:val="auto"/>
        </w:rPr>
      </w:pPr>
    </w:p>
    <w:tbl>
      <w:tblPr>
        <w:tblLayout w:type="fixed"/>
        <w:tblInd w:w="300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-143510</wp:posOffset>
            </wp:positionV>
            <wp:extent cx="415925" cy="1022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2">
            <w:col w:w="2960" w:space="260"/>
            <w:col w:w="7440"/>
          </w:cols>
          <w:pgMar w:left="320" w:top="453" w:right="9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jc w:val="right"/>
        <w:ind w:right="6980"/>
        <w:spacing w:after="0"/>
        <w:rPr>
          <w:sz w:val="20"/>
          <w:szCs w:val="20"/>
          <w:color w:val="auto"/>
        </w:rPr>
      </w:pPr>
      <w:r>
        <w:rPr>
          <w:rFonts w:ascii="Arial" w:cs="Arial" w:eastAsia="Arial" w:hAnsi="Arial"/>
          <w:sz w:val="15"/>
          <w:szCs w:val="15"/>
          <w:b w:val="1"/>
          <w:bCs w:val="1"/>
          <w:color w:val="FFFFFF"/>
        </w:rPr>
        <w:t>PROPOSAL 1: ELECTION OF DIRECTORS</w:t>
      </w:r>
    </w:p>
    <w:p>
      <w:pPr>
        <w:sectPr>
          <w:pgSz w:w="11900" w:h="16838" w:orient="portrait"/>
          <w:cols w:equalWidth="0" w:num="1">
            <w:col w:w="10660"/>
          </w:cols>
          <w:pgMar w:left="320" w:top="453" w:right="919" w:bottom="1440" w:gutter="0" w:footer="0" w:header="0"/>
        </w:sect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KARL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-147955</wp:posOffset>
            </wp:positionV>
            <wp:extent cx="1609090" cy="23945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0909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52,</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2007</w:t>
      </w:r>
    </w:p>
    <w:p>
      <w:pPr>
        <w:spacing w:after="0" w:line="161" w:lineRule="exact"/>
        <w:rPr>
          <w:sz w:val="20"/>
          <w:szCs w:val="20"/>
          <w:color w:val="auto"/>
        </w:rPr>
      </w:pPr>
    </w:p>
    <w:p>
      <w:pPr>
        <w:ind w:left="640"/>
        <w:spacing w:after="0" w:line="291" w:lineRule="auto"/>
        <w:rPr>
          <w:sz w:val="20"/>
          <w:szCs w:val="20"/>
          <w:color w:val="auto"/>
        </w:rPr>
      </w:pPr>
      <w:r>
        <w:rPr>
          <w:rFonts w:ascii="Arial" w:cs="Arial" w:eastAsia="Arial" w:hAnsi="Arial"/>
          <w:sz w:val="13"/>
          <w:szCs w:val="13"/>
          <w:i w:val="1"/>
          <w:iCs w:val="1"/>
          <w:color w:val="auto"/>
        </w:rPr>
        <w:t>Former Senior Partner of TPG and Managing Partner, TPG Pace 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 Nominating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Peterson heads CapitalKP and Peterson Capital Partners, family offices with extensive public and private market investments. Mr. Peterson served as Sabre’s Chair of the Board from January 2020 to April 2022 and as Lead Director during 2017. He was formerly a Senior Partner of TPG and Managing Partner of TPG Pace Group, the firm’s effort to sponsor special purpose acquisition companies (SPACs) and other permanent capital solutions for companies and a member of the firm’s Executive Committee. He previously served as President and CEO of TPG Pace Holdings and Pace Holdings Corp. and Chairman of TPG Pace Technology, TPG Pace Solutions and TPG Beneficial Finance. After rejoining TPG in 2004, Mr. Peterson led investments for the firm in technology, media, financial services and travel sectors and oversaw TPG’s European operations from 2010 until 2017. Prior to 2004, he was a co-founder and the president and CEO of Hotwire.com. He led the business from its launch in 2000 through its sale to InterActiveCorp in 2003. Before Hotwire, Mr. Peterson was a principal at TPG in San Francisco, and from 1992 to 1995 he was a financial analyst at Goldman Sachs &amp; Co. Mr. Peterson is currently a director of Vacasa, Inc., Playa Hotels and Resorts, and Chairman of Accel Entertainment and TPG Beneficial Finance II.</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ind w:right="3480"/>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B.B.A. with high honors, University of Notre Dame</w:t>
      </w:r>
      <w:r>
        <w:rPr>
          <w:rFonts w:ascii="Arial" w:cs="Arial" w:eastAsia="Arial" w:hAnsi="Arial"/>
          <w:sz w:val="23"/>
          <w:szCs w:val="23"/>
          <w:color w:val="auto"/>
        </w:rPr>
        <w:t xml:space="preserve"> </w:t>
      </w:r>
      <w:r>
        <w:rPr>
          <w:rFonts w:ascii="Arial" w:cs="Arial" w:eastAsia="Arial" w:hAnsi="Arial"/>
          <w:sz w:val="16"/>
          <w:szCs w:val="16"/>
          <w:b w:val="1"/>
          <w:bCs w:val="1"/>
          <w:color w:val="auto"/>
        </w:rPr>
        <w:t>Director qualifications:</w:t>
      </w:r>
    </w:p>
    <w:p>
      <w:pPr>
        <w:spacing w:after="0" w:line="241" w:lineRule="auto"/>
        <w:rPr>
          <w:sz w:val="20"/>
          <w:szCs w:val="20"/>
          <w:color w:val="auto"/>
        </w:rPr>
      </w:pPr>
      <w:r>
        <w:rPr>
          <w:rFonts w:ascii="Arial" w:cs="Arial" w:eastAsia="Arial" w:hAnsi="Arial"/>
          <w:sz w:val="16"/>
          <w:szCs w:val="16"/>
          <w:color w:val="auto"/>
        </w:rPr>
        <w:t>We believe that as a result of his experience as a director of several travel and technology companies, as a former executive of an online travel company, and through working with public companies,</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Mr. Peterson brings a keen strategic understanding of our industry, the competitive landscape and public company considerations. As Chair of the Board of Sabre, Mr. Peterson led the Board in connection with its ongoing focus on director refreshment, which the Board of Directors believes enhanced its skillset and added directors with diverse skills and attributes. In addition, Mr. Peterson has significant experience as a private equity investor, including experience with SPACs focusing on ESG, which provides important insights regarding financial and capital markets, as well as ESG matters.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Playa Hotels and Resorts (2017 to present)</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TPG Pace Beneficial II Corp. (2021 to present) (SPAC)</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Accel Entertainment, Inc. (2019 to present)</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Vacasa, Inc. (2021 to present)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 directorships since 2018:</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TPG Pace Holdings (2017 to 2019) (SPAC)</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TPG Pace Beneficial Finance (2020 to 2022) (SPAC)</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TPG Pace Solutions (2021) (SPAC)</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TPG Pace Tech Opportunities Corp. (2020 to 2021) (SPAC)</w:t>
      </w:r>
    </w:p>
    <w:p>
      <w:pPr>
        <w:spacing w:after="0" w:line="200" w:lineRule="exact"/>
        <w:rPr>
          <w:sz w:val="20"/>
          <w:szCs w:val="20"/>
          <w:color w:val="auto"/>
        </w:rPr>
      </w:pPr>
    </w:p>
    <w:p>
      <w:pPr>
        <w:sectPr>
          <w:pgSz w:w="11900" w:h="16838" w:orient="portrait"/>
          <w:cols w:equalWidth="0" w:num="2">
            <w:col w:w="2900" w:space="320"/>
            <w:col w:w="7440"/>
          </w:cols>
          <w:pgMar w:left="320" w:top="453" w:right="91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30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484505</wp:posOffset>
            </wp:positionV>
            <wp:extent cx="1609090" cy="203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09090"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ZANE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102235</wp:posOffset>
            </wp:positionV>
            <wp:extent cx="1609090" cy="2198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09090" cy="219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52,</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May 2016</w:t>
      </w:r>
    </w:p>
    <w:p>
      <w:pPr>
        <w:spacing w:after="0" w:line="161" w:lineRule="exact"/>
        <w:rPr>
          <w:sz w:val="20"/>
          <w:szCs w:val="20"/>
          <w:color w:val="auto"/>
        </w:rPr>
      </w:pPr>
    </w:p>
    <w:p>
      <w:pPr>
        <w:ind w:left="640"/>
        <w:spacing w:after="0" w:line="253" w:lineRule="auto"/>
        <w:rPr>
          <w:sz w:val="20"/>
          <w:szCs w:val="20"/>
          <w:color w:val="auto"/>
        </w:rPr>
      </w:pPr>
      <w:r>
        <w:rPr>
          <w:rFonts w:ascii="Arial" w:cs="Arial" w:eastAsia="Arial" w:hAnsi="Arial"/>
          <w:sz w:val="14"/>
          <w:szCs w:val="14"/>
          <w:i w:val="1"/>
          <w:iCs w:val="1"/>
          <w:color w:val="auto"/>
        </w:rPr>
        <w:t>Executive Vice President and Chief Financial Officer, VMware,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-635000</wp:posOffset>
            </wp:positionV>
            <wp:extent cx="7185025" cy="520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-124460</wp:posOffset>
            </wp:positionV>
            <wp:extent cx="2112010" cy="149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Mr. Rowe has served as Executive Vice President and Chief Financial Officer of VMware, Inc. since March 2016, and served as its interim Chief Executive Officer from February 2021 to May 2021. Before joining VMware, he served as Executive Vice President and Chief Financial Officer of EMC Corporation from October 2014 through February 2016. Prior to joining EMC, Mr. Rowe was Vice President of North American Sales of Apple Inc. from May 2012 to May 2014. He was Executive Vice President and Chief Financial Officer of United Continental Holdings, Inc., an airline holdings company, from October 2010 until April 2012 and was Executive Vice President and Chief Financial Officer of Continental Airlines from August 2008 to September 2010. Mr. Rowe serves on the Board of Trustees of Embry-Riddle Aeronautical University.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Rowe’s extensive experience in the technology sector and the travel industry, including as an airline executive, and in sales, operations and strategic roles provide key contributions to our Board of Directors. In addition, his significant financial experience plays an important role on our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Embry-Riddle Aeronautical University</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M.B.A., San Diego State University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 directorships since 2018:</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Pivotal Software, Inc. (2016 to 2019)</w:t>
      </w:r>
    </w:p>
    <w:p>
      <w:pPr>
        <w:spacing w:after="0" w:line="344" w:lineRule="exact"/>
        <w:rPr>
          <w:sz w:val="20"/>
          <w:szCs w:val="20"/>
          <w:color w:val="auto"/>
        </w:rPr>
      </w:pPr>
    </w:p>
    <w:tbl>
      <w:tblPr>
        <w:tblLayout w:type="fixed"/>
        <w:tblInd w:w="300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-143510</wp:posOffset>
            </wp:positionV>
            <wp:extent cx="415925" cy="1022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2">
            <w:col w:w="2840" w:space="380"/>
            <w:col w:w="7400"/>
          </w:cols>
          <w:pgMar w:left="320" w:top="453" w:right="9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jc w:val="right"/>
        <w:ind w:right="6980"/>
        <w:spacing w:after="0"/>
        <w:rPr>
          <w:sz w:val="20"/>
          <w:szCs w:val="20"/>
          <w:color w:val="auto"/>
        </w:rPr>
      </w:pPr>
      <w:r>
        <w:rPr>
          <w:rFonts w:ascii="Arial" w:cs="Arial" w:eastAsia="Arial" w:hAnsi="Arial"/>
          <w:sz w:val="15"/>
          <w:szCs w:val="15"/>
          <w:b w:val="1"/>
          <w:bCs w:val="1"/>
          <w:color w:val="FFFFFF"/>
        </w:rPr>
        <w:t>PROPOSAL 1: ELECTION OF DIRECTORS</w:t>
      </w:r>
    </w:p>
    <w:p>
      <w:pPr>
        <w:sectPr>
          <w:pgSz w:w="11900" w:h="16838" w:orient="portrait"/>
          <w:cols w:equalWidth="0" w:num="1">
            <w:col w:w="10660"/>
          </w:cols>
          <w:pgMar w:left="320" w:top="453" w:right="919" w:bottom="1440" w:gutter="0" w:footer="0" w:header="0"/>
        </w:sect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GREGG SARETSKY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-147955</wp:posOffset>
            </wp:positionV>
            <wp:extent cx="1609090" cy="2457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09090"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63,</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July 2020</w:t>
      </w:r>
    </w:p>
    <w:p>
      <w:pPr>
        <w:spacing w:after="0" w:line="161" w:lineRule="exact"/>
        <w:rPr>
          <w:sz w:val="20"/>
          <w:szCs w:val="20"/>
          <w:color w:val="auto"/>
        </w:rPr>
      </w:pPr>
    </w:p>
    <w:p>
      <w:pPr>
        <w:ind w:left="640"/>
        <w:spacing w:after="0" w:line="238" w:lineRule="auto"/>
        <w:rPr>
          <w:sz w:val="20"/>
          <w:szCs w:val="20"/>
          <w:color w:val="auto"/>
        </w:rPr>
      </w:pPr>
      <w:r>
        <w:rPr>
          <w:rFonts w:ascii="Arial" w:cs="Arial" w:eastAsia="Arial" w:hAnsi="Arial"/>
          <w:sz w:val="14"/>
          <w:szCs w:val="14"/>
          <w:i w:val="1"/>
          <w:iCs w:val="1"/>
          <w:color w:val="auto"/>
        </w:rPr>
        <w:t>Retired President and Chief Executive Officer, WestJet Lead Director, Sabre Corporation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 Nominating Committee (chair)</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Mr. Saretsky retired in March 2018 from WestJet as President and Chief Executive Officer, a position he held since April 2010 after having joined WestJet in June 2009. During Mr. Saretsky’s tenure, WestJet doubled in size, started a regional airline subsidiary, inaugurated long haul international operations, all while achieving an investment-grade credit rating and recognition from Waterstone Human Capital for Canada’s most admired corporate culture. He was named Alberta’s Business Person of the Year for 2012 by Alberta Venture magazine. In 2013, Mr. Saretsky was also named Top New CEO of the Year by Canadian Business Magazine, an award bestowed on a CEO who has transformed his company within the first five years of his appointment. In addition, he received an Honorary Doctor of Laws from Concordia University in 2014 and was the recipient of the David Foster Foundation Visionary Award as Canada’s National Business Leader of the Year in 2015. Mr. Saretsky began his career in aviation with Canadian Airlines in 1985, after a short period in Commercial Banking, and rose through the ranks to the position of Vice-President, Airports, and Vice-President, Marketing, before joining Alaska Airlines in 1998 as Senior Vice-President, Marketing &amp; Planning and then Executive Vice-President of Flight Operations and Marketing, responsible for the airline’s flight crews, operations, and consumer programs and activities. He led the development of Alaska Airlines’ alliance strategy and was instrumental in building new airline and tour operator partnerships.</w:t>
      </w:r>
    </w:p>
    <w:p>
      <w:pPr>
        <w:spacing w:after="0" w:line="1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Mr. Saretsky has served as a board member of the Conference Board of Canada, Calgary Telus Convention Centre, Tourism Vancouver, and the University of British Columbia (UBC) and is currently Board Chair of the Fort McMurray/Wood Buffalo Economic Development &amp; Tourism Corporation, a Director of RECARO, a German Industrial Company and a Director of IndiGo, India’s largest airline and low-cost carrier.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ind w:right="1260"/>
        <w:spacing w:after="0" w:line="255"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in Microbiology and Biochemistry, University of British Columbia, Vancouver</w:t>
      </w:r>
      <w:r>
        <w:rPr>
          <w:rFonts w:ascii="Arial" w:cs="Arial" w:eastAsia="Arial" w:hAnsi="Arial"/>
          <w:sz w:val="23"/>
          <w:szCs w:val="23"/>
          <w:color w:val="auto"/>
        </w:rPr>
        <w:t xml:space="preserve"> •</w:t>
      </w:r>
      <w:r>
        <w:rPr>
          <w:rFonts w:ascii="Arial" w:cs="Arial" w:eastAsia="Arial" w:hAnsi="Arial"/>
          <w:sz w:val="16"/>
          <w:szCs w:val="16"/>
          <w:color w:val="auto"/>
        </w:rPr>
        <w:t xml:space="preserve">    M.B.A. in Finance and Marketing, University of British Columbia, Vancouver</w:t>
      </w:r>
      <w:r>
        <w:rPr>
          <w:rFonts w:ascii="Arial" w:cs="Arial" w:eastAsia="Arial" w:hAnsi="Arial"/>
          <w:sz w:val="23"/>
          <w:szCs w:val="23"/>
          <w:color w:val="auto"/>
        </w:rPr>
        <w:t xml:space="preserve"> •</w:t>
      </w:r>
      <w:r>
        <w:rPr>
          <w:rFonts w:ascii="Arial" w:cs="Arial" w:eastAsia="Arial" w:hAnsi="Arial"/>
          <w:sz w:val="16"/>
          <w:szCs w:val="16"/>
          <w:color w:val="auto"/>
        </w:rPr>
        <w:t xml:space="preserve">    Advanced International Management, University of Alberta, Banff</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Saretsky’s deep airline industry experience, including as the retired President and Chief Executive Officer of WestJet, and his leadership experience as an executive of airline companies provide critical insights regarding our customers and make him a valuable asset to our Board of Directors. In addition, his strong background in strategy and planning provides important insights to our Board of Directors.</w:t>
      </w:r>
    </w:p>
    <w:p>
      <w:pPr>
        <w:spacing w:after="0" w:line="200" w:lineRule="exact"/>
        <w:rPr>
          <w:sz w:val="20"/>
          <w:szCs w:val="20"/>
          <w:color w:val="auto"/>
        </w:rPr>
      </w:pPr>
    </w:p>
    <w:p>
      <w:pPr>
        <w:sectPr>
          <w:pgSz w:w="11900" w:h="16838" w:orient="portrait"/>
          <w:cols w:equalWidth="0" w:num="2">
            <w:col w:w="3020" w:space="200"/>
            <w:col w:w="7440"/>
          </w:cols>
          <w:pgMar w:left="320" w:top="453" w:right="9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32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484505</wp:posOffset>
            </wp:positionV>
            <wp:extent cx="1609090" cy="2120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0909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102235</wp:posOffset>
            </wp:positionV>
            <wp:extent cx="1609090" cy="21120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09090" cy="211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57,</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July 2020</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Founder and Chairman of Park House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-635000</wp:posOffset>
            </wp:positionV>
            <wp:extent cx="7185025" cy="520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-124460</wp:posOffset>
            </wp:positionV>
            <wp:extent cx="2112010" cy="149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Compensation Committee (chair)</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Executive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 Nominating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Scott is an experienced executive in the hospitality, leisure and entertainment industries with more than 25 years of consumer facing business expertise across complex global, multi-unit, multi-brand enterprises. Mr. Scott is a founder and has served as Chairman of Park House, a new private social club business located in Dallas, TX which seeks to redefine the private social club model, since 2015. He has also served since 2017 as Chairman of A&amp;O Hotels, a European hybrid hotel and hostel platform. Most recently Mr. Scott served from 2012 through 2015 as President, Chief Executive Officer and a Director of Belmond Ltd., previously Orient-Express Hotels Ltd., a publicly-listed company engaged in the ownership and management of a global portfolio of luxury hotel, restaurants, tourist trains and cruise businesses in 22 countries. Prior to joining Belmond Ltd., he served from 2003 until 2011 as President and Chief Executive Officer of Rosewood Hotels &amp; Resorts, an international luxury hotel ownership and management company. Mr. Scott currently serves as a director on the board of privately-held Subway Restaurant and previously served on the board of Kimpton Hotels and Restaurants, a private hotel and restaurant management company, SMU COX School of Business, and Cedar Fair Entertainment, a leading North American amusement park owner and operator.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B.A., Dartmouth College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M.B.A., Harvard University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17"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color w:val="auto"/>
        </w:rPr>
        <w:t>Mr. Scott’s extensive experience as an executive in the hospitality, leisure and entertainment industries, including as President and Chief Executive Officer of Rosewood Hotels &amp; Resorts and Belmond Ltd., provides important insights and contributions to our Board of Directors. Furthermore, our Board of Directors considers his significant experience in serving on the boards of private and public companies as providing a critical asset.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 directorships since 2018:</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Cedar Fair Entertainment (2010 to 2020)</w:t>
      </w:r>
    </w:p>
    <w:p>
      <w:pPr>
        <w:spacing w:after="0" w:line="134" w:lineRule="exact"/>
        <w:rPr>
          <w:sz w:val="20"/>
          <w:szCs w:val="20"/>
          <w:color w:val="auto"/>
        </w:rPr>
      </w:pPr>
    </w:p>
    <w:tbl>
      <w:tblPr>
        <w:tblLayout w:type="fixed"/>
        <w:tblInd w:w="300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-143510</wp:posOffset>
            </wp:positionV>
            <wp:extent cx="415925" cy="1022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2">
            <w:col w:w="3020" w:space="200"/>
            <w:col w:w="7420"/>
          </w:cols>
          <w:pgMar w:left="320" w:top="453" w:right="9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jc w:val="right"/>
        <w:ind w:right="6960"/>
        <w:spacing w:after="0"/>
        <w:rPr>
          <w:sz w:val="20"/>
          <w:szCs w:val="20"/>
          <w:color w:val="auto"/>
        </w:rPr>
      </w:pPr>
      <w:r>
        <w:rPr>
          <w:rFonts w:ascii="Arial" w:cs="Arial" w:eastAsia="Arial" w:hAnsi="Arial"/>
          <w:sz w:val="15"/>
          <w:szCs w:val="15"/>
          <w:b w:val="1"/>
          <w:bCs w:val="1"/>
          <w:color w:val="FFFFFF"/>
        </w:rPr>
        <w:t>PROPOSAL 1: ELECTION OF DIRECTORS</w:t>
      </w:r>
    </w:p>
    <w:p>
      <w:pPr>
        <w:sectPr>
          <w:pgSz w:w="11900" w:h="16838" w:orient="portrait"/>
          <w:cols w:equalWidth="0" w:num="1">
            <w:col w:w="10640"/>
          </w:cols>
          <w:pgMar w:left="320" w:top="453" w:right="939" w:bottom="1440" w:gutter="0" w:footer="0" w:header="0"/>
        </w:sectPr>
      </w:pPr>
    </w:p>
    <w:p>
      <w:pPr>
        <w:spacing w:after="0" w:line="334"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FFFFFF"/>
        </w:rPr>
        <w:t>WENDI STURGIS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-156210</wp:posOffset>
            </wp:positionV>
            <wp:extent cx="1609090" cy="27006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0909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55,</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i w:val="1"/>
          <w:iCs w:val="1"/>
          <w:color w:val="auto"/>
        </w:rPr>
        <w:t>April 2021</w:t>
      </w:r>
    </w:p>
    <w:p>
      <w:pPr>
        <w:spacing w:after="0" w:line="210" w:lineRule="exact"/>
        <w:rPr>
          <w:sz w:val="20"/>
          <w:szCs w:val="20"/>
          <w:color w:val="auto"/>
        </w:rPr>
      </w:pPr>
    </w:p>
    <w:p>
      <w:pPr>
        <w:ind w:left="640"/>
        <w:spacing w:after="0" w:line="253" w:lineRule="auto"/>
        <w:rPr>
          <w:sz w:val="20"/>
          <w:szCs w:val="20"/>
          <w:color w:val="auto"/>
        </w:rPr>
      </w:pPr>
      <w:r>
        <w:rPr>
          <w:rFonts w:ascii="Arial" w:cs="Arial" w:eastAsia="Arial" w:hAnsi="Arial"/>
          <w:sz w:val="14"/>
          <w:szCs w:val="14"/>
          <w:i w:val="1"/>
          <w:iCs w:val="1"/>
          <w:color w:val="auto"/>
        </w:rPr>
        <w:t>Chief Executive Officer, cleverbridge GmbH</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Sabre committee membership: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Governance and Nominating Committee</w:t>
      </w:r>
    </w:p>
    <w:p>
      <w:pPr>
        <w:spacing w:after="0" w:line="8"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Technology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1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Ms. Sturgis has served as Chief Executive Officer of cleverbridge GmbH, a global commerce and subscription billing platform, since December 2021. Previously, Ms. Sturgis served as the President of Lyte, Inc., a ticketing/consumer technology platform, from May to December 2021 and as its Chief Revenue Officer from January to April 2021. She has over twenty-five years of experience as a technology and marketing leader at some of the world’s largest tech companies. Prior to Lyte,</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Ms. Sturgis was a founding executive at Yext where she worked from 2011 to 2019, serving in multiple roles, including SVP of Sales and Services, Chief Customer Officer, and most recently, CEO of Yext Europe. She has previously held executive positions at Oracle, Gartner, Right Media, and Yahoo!, where she was Vice President of Account Management for North America in charge of the North American Search business. She is currently an independent director for The Container Store. She has served on multiple boards including Kustomer, Dailyworth.com, Student Transportation of America, Step Up Women’s Network, and Chair of the Georgia Tech Advisory Board. Ms. Sturgis currently serves as a trustee for the Georgia Tech Foundation.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0" w:lineRule="exact"/>
        <w:rPr>
          <w:sz w:val="20"/>
          <w:szCs w:val="20"/>
          <w:color w:val="auto"/>
        </w:rPr>
      </w:pPr>
    </w:p>
    <w:p>
      <w:pPr>
        <w:ind w:right="2520"/>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B.S. in Industrial Management, Georgia Institute of Technology</w:t>
      </w:r>
      <w:r>
        <w:rPr>
          <w:rFonts w:ascii="Arial" w:cs="Arial" w:eastAsia="Arial" w:hAnsi="Arial"/>
          <w:sz w:val="23"/>
          <w:szCs w:val="23"/>
          <w:color w:val="auto"/>
        </w:rPr>
        <w:t xml:space="preserve"> </w:t>
      </w:r>
      <w:r>
        <w:rPr>
          <w:rFonts w:ascii="Arial" w:cs="Arial" w:eastAsia="Arial" w:hAnsi="Arial"/>
          <w:sz w:val="16"/>
          <w:szCs w:val="16"/>
          <w:b w:val="1"/>
          <w:bCs w:val="1"/>
          <w:color w:val="auto"/>
        </w:rPr>
        <w:t>Director qualifications:</w:t>
      </w:r>
    </w:p>
    <w:p>
      <w:pPr>
        <w:spacing w:after="0" w:line="247" w:lineRule="auto"/>
        <w:rPr>
          <w:sz w:val="20"/>
          <w:szCs w:val="20"/>
          <w:color w:val="auto"/>
        </w:rPr>
      </w:pPr>
      <w:r>
        <w:rPr>
          <w:rFonts w:ascii="Arial" w:cs="Arial" w:eastAsia="Arial" w:hAnsi="Arial"/>
          <w:sz w:val="16"/>
          <w:szCs w:val="16"/>
          <w:color w:val="auto"/>
        </w:rPr>
        <w:t>We believe that Ms. Sturgis’ significant technology and marketing leadership experience, as well as her extensive executive officer experience, make her well qualified to serve as a member of our Board of Directors. In addition, her roles in the technology industry have provided her significant experience addressing cybersecurity matters, which is an important consideration for her service on our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Identifies as Female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directorships:</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The Container Store Group, Inc. (2019 to present)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public company directorships since 2018:</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auto"/>
        </w:rPr>
        <w:t>•</w:t>
      </w:r>
      <w:r>
        <w:rPr>
          <w:rFonts w:ascii="Arial" w:cs="Arial" w:eastAsia="Arial" w:hAnsi="Arial"/>
          <w:sz w:val="16"/>
          <w:szCs w:val="16"/>
          <w:color w:val="auto"/>
        </w:rPr>
        <w:t xml:space="preserve">     Student Transportation of America (2013 to 2018)</w:t>
      </w:r>
    </w:p>
    <w:p>
      <w:pPr>
        <w:spacing w:after="0" w:line="195" w:lineRule="exact"/>
        <w:rPr>
          <w:sz w:val="20"/>
          <w:szCs w:val="20"/>
          <w:color w:val="auto"/>
        </w:rPr>
      </w:pPr>
    </w:p>
    <w:p>
      <w:pPr>
        <w:sectPr>
          <w:pgSz w:w="11900" w:h="16838" w:orient="portrait"/>
          <w:cols w:equalWidth="0" w:num="2">
            <w:col w:w="2900" w:space="320"/>
            <w:col w:w="7420"/>
          </w:cols>
          <w:pgMar w:left="320" w:top="453" w:right="9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twelve nominees for director.</w:t>
      </w:r>
    </w:p>
    <w:p>
      <w:pPr>
        <w:spacing w:after="0" w:line="12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34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194310</wp:posOffset>
            </wp:positionV>
            <wp:extent cx="2112010" cy="149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311" w:lineRule="exact"/>
        <w:rPr>
          <w:sz w:val="20"/>
          <w:szCs w:val="20"/>
          <w:color w:val="auto"/>
        </w:rPr>
      </w:pPr>
    </w:p>
    <w:p>
      <w:pPr>
        <w:ind w:left="7580"/>
        <w:spacing w:after="0"/>
        <w:rPr>
          <w:sz w:val="20"/>
          <w:szCs w:val="20"/>
          <w:color w:val="auto"/>
        </w:rPr>
      </w:pPr>
      <w:r>
        <w:rPr>
          <w:rFonts w:ascii="Arial" w:cs="Arial" w:eastAsia="Arial" w:hAnsi="Arial"/>
          <w:sz w:val="15"/>
          <w:szCs w:val="15"/>
          <w:b w:val="1"/>
          <w:bCs w:val="1"/>
          <w:color w:val="FFFFFF"/>
        </w:rPr>
        <w:t>PROPOSAL 1: ELECTION OF DIRECTORS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2022 Compensation</w:t>
      </w:r>
    </w:p>
    <w:p>
      <w:pPr>
        <w:spacing w:after="0" w:line="88" w:lineRule="exact"/>
        <w:rPr>
          <w:sz w:val="20"/>
          <w:szCs w:val="20"/>
          <w:color w:val="auto"/>
        </w:rPr>
      </w:pPr>
    </w:p>
    <w:p>
      <w:pPr>
        <w:ind w:left="580" w:right="40"/>
        <w:spacing w:after="0" w:line="236" w:lineRule="auto"/>
        <w:rPr>
          <w:sz w:val="20"/>
          <w:szCs w:val="20"/>
          <w:color w:val="auto"/>
        </w:rPr>
      </w:pPr>
      <w:r>
        <w:rPr>
          <w:rFonts w:ascii="Arial" w:cs="Arial" w:eastAsia="Arial" w:hAnsi="Arial"/>
          <w:sz w:val="18"/>
          <w:szCs w:val="18"/>
          <w:color w:val="auto"/>
        </w:rPr>
        <w:t>Our Board of Directors, based on recommendations by the Compensation Committee, has adopted a formal compensation program for the non-employee members of our Board of Directors. This compensation program is designed to pay directors an appropriate amount for their services required as a director, while also seeking to align their interests with the long-term interests of our stockholders. When assessing the director compensation program, the Compensation Committee, with the assistance of its compensation consultant, compares the design and the compensation elements of the program to that of our compensation peer group. For information regarding our compensation peer group, see “Compensation Discussion and Analysis—Competitive Positioning.”</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2022, this compensation program consisted of the following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149225</wp:posOffset>
            </wp:positionV>
            <wp:extent cx="15875" cy="2002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875" cy="2002155"/>
                    </a:xfrm>
                    <a:prstGeom prst="rect">
                      <a:avLst/>
                    </a:prstGeom>
                    <a:noFill/>
                  </pic:spPr>
                </pic:pic>
              </a:graphicData>
            </a:graphic>
          </wp:anchor>
        </w:drawing>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6980" w:type="dxa"/>
            <w:vAlign w:val="bottom"/>
            <w:shd w:val="clear" w:color="auto" w:fill="666666"/>
          </w:tcPr>
          <w:p>
            <w:pPr>
              <w:spacing w:after="0"/>
              <w:rPr>
                <w:sz w:val="14"/>
                <w:szCs w:val="14"/>
                <w:color w:val="auto"/>
              </w:rPr>
            </w:pPr>
          </w:p>
        </w:tc>
        <w:tc>
          <w:tcPr>
            <w:tcW w:w="3100" w:type="dxa"/>
            <w:vAlign w:val="bottom"/>
            <w:shd w:val="clear" w:color="auto" w:fill="666666"/>
          </w:tcPr>
          <w:p>
            <w:pPr>
              <w:ind w:left="1080"/>
              <w:spacing w:after="0"/>
              <w:rPr>
                <w:sz w:val="20"/>
                <w:szCs w:val="20"/>
                <w:color w:val="auto"/>
              </w:rPr>
            </w:pPr>
            <w:r>
              <w:rPr>
                <w:rFonts w:ascii="Arial" w:cs="Arial" w:eastAsia="Arial" w:hAnsi="Arial"/>
                <w:sz w:val="15"/>
                <w:szCs w:val="15"/>
                <w:b w:val="1"/>
                <w:bCs w:val="1"/>
                <w:color w:val="FFFFFF"/>
              </w:rPr>
              <w:t>Dollar Value of</w:t>
            </w:r>
          </w:p>
        </w:tc>
      </w:tr>
      <w:tr>
        <w:trPr>
          <w:trHeight w:val="210"/>
        </w:trPr>
        <w:tc>
          <w:tcPr>
            <w:tcW w:w="6980" w:type="dxa"/>
            <w:vAlign w:val="bottom"/>
            <w:shd w:val="clear" w:color="auto" w:fill="666666"/>
          </w:tcPr>
          <w:p>
            <w:pPr>
              <w:ind w:left="80"/>
              <w:spacing w:after="0"/>
              <w:rPr>
                <w:sz w:val="20"/>
                <w:szCs w:val="20"/>
                <w:color w:val="auto"/>
              </w:rPr>
            </w:pPr>
            <w:r>
              <w:rPr>
                <w:rFonts w:ascii="Arial" w:cs="Arial" w:eastAsia="Arial" w:hAnsi="Arial"/>
                <w:sz w:val="15"/>
                <w:szCs w:val="15"/>
                <w:b w:val="1"/>
                <w:bCs w:val="1"/>
                <w:color w:val="FFFFFF"/>
              </w:rPr>
              <w:t>Type of Compensation</w:t>
            </w:r>
          </w:p>
        </w:tc>
        <w:tc>
          <w:tcPr>
            <w:tcW w:w="3100" w:type="dxa"/>
            <w:vAlign w:val="bottom"/>
            <w:shd w:val="clear" w:color="auto" w:fill="666666"/>
          </w:tcPr>
          <w:p>
            <w:pPr>
              <w:ind w:left="780"/>
              <w:spacing w:after="0"/>
              <w:rPr>
                <w:sz w:val="20"/>
                <w:szCs w:val="20"/>
                <w:color w:val="auto"/>
              </w:rPr>
            </w:pPr>
            <w:r>
              <w:rPr>
                <w:rFonts w:ascii="Arial" w:cs="Arial" w:eastAsia="Arial" w:hAnsi="Arial"/>
                <w:sz w:val="15"/>
                <w:szCs w:val="15"/>
                <w:b w:val="1"/>
                <w:bCs w:val="1"/>
                <w:color w:val="FFFFFF"/>
              </w:rPr>
              <w:t>Compensation Element</w:t>
            </w:r>
          </w:p>
        </w:tc>
      </w:tr>
      <w:tr>
        <w:trPr>
          <w:trHeight w:val="250"/>
        </w:trPr>
        <w:tc>
          <w:tcPr>
            <w:tcW w:w="698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Annual cash retainer</w:t>
            </w: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$90,000, paid quarterly</w:t>
            </w:r>
          </w:p>
        </w:tc>
      </w:tr>
      <w:tr>
        <w:trPr>
          <w:trHeight w:val="228"/>
        </w:trPr>
        <w:tc>
          <w:tcPr>
            <w:tcW w:w="698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Annual grant of restricted stock unit awards (vests in full on first anniversary of date of grant)</w:t>
            </w: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$160,000 value, awarded on the date of</w:t>
            </w:r>
          </w:p>
        </w:tc>
      </w:tr>
      <w:tr>
        <w:trPr>
          <w:trHeight w:val="227"/>
        </w:trPr>
        <w:tc>
          <w:tcPr>
            <w:tcW w:w="6980" w:type="dxa"/>
            <w:vAlign w:val="bottom"/>
            <w:shd w:val="clear" w:color="auto" w:fill="E5E5E5"/>
          </w:tcPr>
          <w:p>
            <w:pPr>
              <w:spacing w:after="0"/>
              <w:rPr>
                <w:sz w:val="19"/>
                <w:szCs w:val="19"/>
                <w:color w:val="auto"/>
              </w:rPr>
            </w:pP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the annual meeting</w:t>
            </w:r>
          </w:p>
        </w:tc>
      </w:tr>
      <w:tr>
        <w:trPr>
          <w:trHeight w:val="250"/>
        </w:trPr>
        <w:tc>
          <w:tcPr>
            <w:tcW w:w="6980" w:type="dxa"/>
            <w:vAlign w:val="bottom"/>
          </w:tcPr>
          <w:p>
            <w:pPr>
              <w:ind w:left="80"/>
              <w:spacing w:after="0"/>
              <w:rPr>
                <w:sz w:val="20"/>
                <w:szCs w:val="20"/>
                <w:color w:val="auto"/>
              </w:rPr>
            </w:pPr>
            <w:r>
              <w:rPr>
                <w:rFonts w:ascii="Arial" w:cs="Arial" w:eastAsia="Arial" w:hAnsi="Arial"/>
                <w:sz w:val="16"/>
                <w:szCs w:val="16"/>
                <w:color w:val="auto"/>
              </w:rPr>
              <w:t>Audit Committee chair annual cash retainer</w:t>
            </w:r>
          </w:p>
        </w:tc>
        <w:tc>
          <w:tcPr>
            <w:tcW w:w="3100" w:type="dxa"/>
            <w:vAlign w:val="bottom"/>
          </w:tcPr>
          <w:p>
            <w:pPr>
              <w:ind w:left="100"/>
              <w:spacing w:after="0"/>
              <w:rPr>
                <w:sz w:val="20"/>
                <w:szCs w:val="20"/>
                <w:color w:val="auto"/>
              </w:rPr>
            </w:pPr>
            <w:r>
              <w:rPr>
                <w:rFonts w:ascii="Arial" w:cs="Arial" w:eastAsia="Arial" w:hAnsi="Arial"/>
                <w:sz w:val="16"/>
                <w:szCs w:val="16"/>
                <w:color w:val="auto"/>
              </w:rPr>
              <w:t>additional $30,000, paid quarterly</w:t>
            </w:r>
          </w:p>
        </w:tc>
      </w:tr>
      <w:tr>
        <w:trPr>
          <w:trHeight w:val="265"/>
        </w:trPr>
        <w:tc>
          <w:tcPr>
            <w:tcW w:w="6980" w:type="dxa"/>
            <w:vAlign w:val="bottom"/>
          </w:tcPr>
          <w:p>
            <w:pPr>
              <w:ind w:left="80"/>
              <w:spacing w:after="0"/>
              <w:rPr>
                <w:sz w:val="20"/>
                <w:szCs w:val="20"/>
                <w:color w:val="auto"/>
              </w:rPr>
            </w:pPr>
            <w:r>
              <w:rPr>
                <w:rFonts w:ascii="Arial" w:cs="Arial" w:eastAsia="Arial" w:hAnsi="Arial"/>
                <w:sz w:val="16"/>
                <w:szCs w:val="16"/>
                <w:color w:val="auto"/>
              </w:rPr>
              <w:t>Audit Committee member annual cash retainer</w:t>
            </w:r>
          </w:p>
        </w:tc>
        <w:tc>
          <w:tcPr>
            <w:tcW w:w="3100" w:type="dxa"/>
            <w:vAlign w:val="bottom"/>
          </w:tcPr>
          <w:p>
            <w:pPr>
              <w:ind w:left="100"/>
              <w:spacing w:after="0"/>
              <w:rPr>
                <w:sz w:val="20"/>
                <w:szCs w:val="20"/>
                <w:color w:val="auto"/>
              </w:rPr>
            </w:pPr>
            <w:r>
              <w:rPr>
                <w:rFonts w:ascii="Arial" w:cs="Arial" w:eastAsia="Arial" w:hAnsi="Arial"/>
                <w:sz w:val="16"/>
                <w:szCs w:val="16"/>
                <w:color w:val="auto"/>
              </w:rPr>
              <w:t>additional $15,000, paid quarterly</w:t>
            </w:r>
          </w:p>
        </w:tc>
      </w:tr>
      <w:tr>
        <w:trPr>
          <w:trHeight w:val="255"/>
        </w:trPr>
        <w:tc>
          <w:tcPr>
            <w:tcW w:w="69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Compensation Committee chair annual cash retainer</w:t>
            </w: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additional $20,000, paid quarterly</w:t>
            </w:r>
          </w:p>
        </w:tc>
      </w:tr>
      <w:tr>
        <w:trPr>
          <w:trHeight w:val="269"/>
        </w:trPr>
        <w:tc>
          <w:tcPr>
            <w:tcW w:w="69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Compensation Committee member annual cash retainer</w:t>
            </w: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additional $10,000, paid quarterly</w:t>
            </w:r>
          </w:p>
        </w:tc>
      </w:tr>
      <w:tr>
        <w:trPr>
          <w:trHeight w:val="250"/>
        </w:trPr>
        <w:tc>
          <w:tcPr>
            <w:tcW w:w="6980" w:type="dxa"/>
            <w:vAlign w:val="bottom"/>
          </w:tcPr>
          <w:p>
            <w:pPr>
              <w:ind w:left="100"/>
              <w:spacing w:after="0"/>
              <w:rPr>
                <w:sz w:val="20"/>
                <w:szCs w:val="20"/>
                <w:color w:val="auto"/>
              </w:rPr>
            </w:pPr>
            <w:r>
              <w:rPr>
                <w:rFonts w:ascii="Arial" w:cs="Arial" w:eastAsia="Arial" w:hAnsi="Arial"/>
                <w:sz w:val="16"/>
                <w:szCs w:val="16"/>
                <w:color w:val="auto"/>
              </w:rPr>
              <w:t>Governance and Nominating Committee chair annual cash retainer</w:t>
            </w:r>
          </w:p>
        </w:tc>
        <w:tc>
          <w:tcPr>
            <w:tcW w:w="3100" w:type="dxa"/>
            <w:vAlign w:val="bottom"/>
          </w:tcPr>
          <w:p>
            <w:pPr>
              <w:ind w:left="100"/>
              <w:spacing w:after="0"/>
              <w:rPr>
                <w:sz w:val="20"/>
                <w:szCs w:val="20"/>
                <w:color w:val="auto"/>
              </w:rPr>
            </w:pPr>
            <w:r>
              <w:rPr>
                <w:rFonts w:ascii="Arial" w:cs="Arial" w:eastAsia="Arial" w:hAnsi="Arial"/>
                <w:sz w:val="16"/>
                <w:szCs w:val="16"/>
                <w:color w:val="auto"/>
              </w:rPr>
              <w:t>additional $15,000, paid quarterly</w:t>
            </w:r>
          </w:p>
        </w:tc>
      </w:tr>
      <w:tr>
        <w:trPr>
          <w:trHeight w:val="265"/>
        </w:trPr>
        <w:tc>
          <w:tcPr>
            <w:tcW w:w="6980" w:type="dxa"/>
            <w:vAlign w:val="bottom"/>
          </w:tcPr>
          <w:p>
            <w:pPr>
              <w:ind w:left="100"/>
              <w:spacing w:after="0"/>
              <w:rPr>
                <w:sz w:val="20"/>
                <w:szCs w:val="20"/>
                <w:color w:val="auto"/>
              </w:rPr>
            </w:pPr>
            <w:r>
              <w:rPr>
                <w:rFonts w:ascii="Arial" w:cs="Arial" w:eastAsia="Arial" w:hAnsi="Arial"/>
                <w:sz w:val="16"/>
                <w:szCs w:val="16"/>
                <w:color w:val="auto"/>
              </w:rPr>
              <w:t>Governance and Nominating Committee member annual cash retainer</w:t>
            </w:r>
          </w:p>
        </w:tc>
        <w:tc>
          <w:tcPr>
            <w:tcW w:w="3100" w:type="dxa"/>
            <w:vAlign w:val="bottom"/>
          </w:tcPr>
          <w:p>
            <w:pPr>
              <w:ind w:left="100"/>
              <w:spacing w:after="0"/>
              <w:rPr>
                <w:sz w:val="20"/>
                <w:szCs w:val="20"/>
                <w:color w:val="auto"/>
              </w:rPr>
            </w:pPr>
            <w:r>
              <w:rPr>
                <w:rFonts w:ascii="Arial" w:cs="Arial" w:eastAsia="Arial" w:hAnsi="Arial"/>
                <w:sz w:val="16"/>
                <w:szCs w:val="16"/>
                <w:color w:val="auto"/>
              </w:rPr>
              <w:t>additional $10,000, paid quarterly</w:t>
            </w:r>
          </w:p>
        </w:tc>
      </w:tr>
      <w:tr>
        <w:trPr>
          <w:trHeight w:val="255"/>
        </w:trPr>
        <w:tc>
          <w:tcPr>
            <w:tcW w:w="6980" w:type="dxa"/>
            <w:vAlign w:val="bottom"/>
            <w:shd w:val="clear" w:color="auto" w:fill="E5E5E5"/>
          </w:tcPr>
          <w:p>
            <w:pPr>
              <w:ind w:left="80"/>
              <w:spacing w:after="0"/>
              <w:rPr>
                <w:sz w:val="20"/>
                <w:szCs w:val="20"/>
                <w:color w:val="auto"/>
              </w:rPr>
            </w:pPr>
            <w:r>
              <w:rPr>
                <w:rFonts w:ascii="Arial" w:cs="Arial" w:eastAsia="Arial" w:hAnsi="Arial"/>
                <w:sz w:val="16"/>
                <w:szCs w:val="16"/>
                <w:color w:val="auto"/>
              </w:rPr>
              <w:t>Technology Committee chair annual cash retainer</w:t>
            </w: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additional $15,000, paid quarterly</w:t>
            </w:r>
          </w:p>
        </w:tc>
      </w:tr>
      <w:tr>
        <w:trPr>
          <w:trHeight w:val="269"/>
        </w:trPr>
        <w:tc>
          <w:tcPr>
            <w:tcW w:w="6980" w:type="dxa"/>
            <w:vAlign w:val="bottom"/>
            <w:shd w:val="clear" w:color="auto" w:fill="E5E5E5"/>
          </w:tcPr>
          <w:p>
            <w:pPr>
              <w:ind w:left="80"/>
              <w:spacing w:after="0"/>
              <w:rPr>
                <w:sz w:val="20"/>
                <w:szCs w:val="20"/>
                <w:color w:val="auto"/>
              </w:rPr>
            </w:pPr>
            <w:r>
              <w:rPr>
                <w:rFonts w:ascii="Arial" w:cs="Arial" w:eastAsia="Arial" w:hAnsi="Arial"/>
                <w:sz w:val="16"/>
                <w:szCs w:val="16"/>
                <w:color w:val="auto"/>
              </w:rPr>
              <w:t>Technology Committee member annual cash retainer</w:t>
            </w:r>
          </w:p>
        </w:tc>
        <w:tc>
          <w:tcPr>
            <w:tcW w:w="31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additional $10,000, paid quarterly</w:t>
            </w:r>
          </w:p>
        </w:tc>
      </w:tr>
    </w:tbl>
    <w:p>
      <w:pPr>
        <w:spacing w:after="0" w:line="177" w:lineRule="exact"/>
        <w:rPr>
          <w:sz w:val="20"/>
          <w:szCs w:val="20"/>
          <w:color w:val="auto"/>
        </w:rPr>
      </w:pPr>
    </w:p>
    <w:p>
      <w:pPr>
        <w:jc w:val="both"/>
        <w:ind w:left="580" w:right="120"/>
        <w:spacing w:after="0" w:line="248" w:lineRule="auto"/>
        <w:rPr>
          <w:sz w:val="20"/>
          <w:szCs w:val="20"/>
          <w:color w:val="auto"/>
        </w:rPr>
      </w:pPr>
      <w:r>
        <w:rPr>
          <w:rFonts w:ascii="Arial" w:cs="Arial" w:eastAsia="Arial" w:hAnsi="Arial"/>
          <w:sz w:val="18"/>
          <w:szCs w:val="18"/>
          <w:color w:val="auto"/>
        </w:rPr>
        <w:t>In addition, the non-employee members of our Board of Directors are also eligible to receive a one-time restricted stock unit award with a grant date value of $400,000 in connection with their appointment to the Board of Directors, which vests ratably on a quarterly basis over four years from the date of grant.</w:t>
      </w:r>
    </w:p>
    <w:p>
      <w:pPr>
        <w:spacing w:after="0" w:line="150" w:lineRule="exact"/>
        <w:rPr>
          <w:sz w:val="20"/>
          <w:szCs w:val="20"/>
          <w:color w:val="auto"/>
        </w:rPr>
      </w:pPr>
    </w:p>
    <w:p>
      <w:pPr>
        <w:ind w:left="580" w:right="260"/>
        <w:spacing w:after="0" w:line="267" w:lineRule="auto"/>
        <w:rPr>
          <w:sz w:val="20"/>
          <w:szCs w:val="20"/>
          <w:color w:val="auto"/>
        </w:rPr>
      </w:pPr>
      <w:r>
        <w:rPr>
          <w:rFonts w:ascii="Arial" w:cs="Arial" w:eastAsia="Arial" w:hAnsi="Arial"/>
          <w:sz w:val="18"/>
          <w:szCs w:val="18"/>
          <w:color w:val="auto"/>
        </w:rPr>
        <w:t>Our Lead Director receives an additional annual cash retainer equal to $50,000, payable quarterly in arrears, for service as Lead Director.</w:t>
      </w:r>
    </w:p>
    <w:p>
      <w:pPr>
        <w:spacing w:after="0" w:line="133" w:lineRule="exact"/>
        <w:rPr>
          <w:sz w:val="20"/>
          <w:szCs w:val="20"/>
          <w:color w:val="auto"/>
        </w:rPr>
      </w:pPr>
    </w:p>
    <w:p>
      <w:pPr>
        <w:ind w:left="580" w:right="120"/>
        <w:spacing w:after="0" w:line="237" w:lineRule="auto"/>
        <w:rPr>
          <w:sz w:val="20"/>
          <w:szCs w:val="20"/>
          <w:color w:val="auto"/>
        </w:rPr>
      </w:pPr>
      <w:r>
        <w:rPr>
          <w:rFonts w:ascii="Arial" w:cs="Arial" w:eastAsia="Arial" w:hAnsi="Arial"/>
          <w:sz w:val="18"/>
          <w:szCs w:val="18"/>
          <w:color w:val="auto"/>
        </w:rPr>
        <w:t>Awards granted to non-employee directors (i) from 2014 through May 2016 were pursuant to the 2014 Omnibus Incentive Compensation Plan (the “2014 Omnibus Plan”), (ii) from May 2016 to April 2019 were pursuant to the 2016 Omnibus Incentive Compensation Plan (the “2016 Omnibus Plan”), (iii) from April 2019 to March 2022 were pursuant to the 2019 Director Equity Compensation Plan (the “2019 Director Plan”), and (iv) during and after April 2022 were pursuant to the 2022 Director Equity Compensation Plan (the “2022 Director Plan”). Each of the 2014 Omnibus Plan, the 2016 Omnibus Plan, the 2019 Director Plan and the 2022 Director Plan was approved by stockholders.</w:t>
      </w:r>
    </w:p>
    <w:p>
      <w:pPr>
        <w:spacing w:after="0" w:line="158" w:lineRule="exact"/>
        <w:rPr>
          <w:sz w:val="20"/>
          <w:szCs w:val="20"/>
          <w:color w:val="auto"/>
        </w:rPr>
      </w:pPr>
    </w:p>
    <w:p>
      <w:pPr>
        <w:ind w:left="580" w:right="400"/>
        <w:spacing w:after="0" w:line="267" w:lineRule="auto"/>
        <w:rPr>
          <w:sz w:val="20"/>
          <w:szCs w:val="20"/>
          <w:color w:val="auto"/>
        </w:rPr>
      </w:pPr>
      <w:r>
        <w:rPr>
          <w:rFonts w:ascii="Arial" w:cs="Arial" w:eastAsia="Arial" w:hAnsi="Arial"/>
          <w:sz w:val="18"/>
          <w:szCs w:val="18"/>
          <w:color w:val="auto"/>
        </w:rPr>
        <w:t>In February 2022, the Compensation Committee approved moving the date of the annual grant of restricted stock units to non-employee directors from March 15 to the date of the annual meeting each</w:t>
      </w:r>
    </w:p>
    <w:p>
      <w:pPr>
        <w:spacing w:after="0" w:line="72"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049145" cy="149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49145" cy="149225"/>
                    </a:xfrm>
                    <a:prstGeom prst="rect">
                      <a:avLst/>
                    </a:prstGeom>
                    <a:noFill/>
                  </pic:spPr>
                </pic:pic>
              </a:graphicData>
            </a:graphic>
          </wp:anchor>
        </w:drawing>
      </w:r>
    </w:p>
    <w:p>
      <w:pPr>
        <w:spacing w:after="0" w:line="31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FFFFFF"/>
        </w:rPr>
        <w:t>PROPOSAL 1: ELECTION OF DIRECTORS</w:t>
      </w:r>
    </w:p>
    <w:p>
      <w:pPr>
        <w:spacing w:after="0" w:line="239" w:lineRule="exact"/>
        <w:rPr>
          <w:sz w:val="20"/>
          <w:szCs w:val="20"/>
          <w:color w:val="auto"/>
        </w:rPr>
      </w:pPr>
    </w:p>
    <w:p>
      <w:pPr>
        <w:ind w:left="580" w:right="180"/>
        <w:spacing w:after="0" w:line="248" w:lineRule="auto"/>
        <w:rPr>
          <w:sz w:val="20"/>
          <w:szCs w:val="20"/>
          <w:color w:val="auto"/>
        </w:rPr>
      </w:pPr>
      <w:r>
        <w:rPr>
          <w:rFonts w:ascii="Arial" w:cs="Arial" w:eastAsia="Arial" w:hAnsi="Arial"/>
          <w:sz w:val="18"/>
          <w:szCs w:val="18"/>
          <w:color w:val="auto"/>
        </w:rPr>
        <w:t>year. In making this change, the Compensation Committee noted that the March 15 grant date was implemented when the Board of Directors was classified, and the Compensation Committee determined that moving the annual grant to the date of the annual meeting better aligned with the fact that all directors are now elected annually at the annual meeting.</w:t>
      </w:r>
    </w:p>
    <w:p>
      <w:pPr>
        <w:spacing w:after="0" w:line="150" w:lineRule="exact"/>
        <w:rPr>
          <w:sz w:val="20"/>
          <w:szCs w:val="20"/>
          <w:color w:val="auto"/>
        </w:rPr>
      </w:pPr>
    </w:p>
    <w:p>
      <w:pPr>
        <w:ind w:left="580" w:right="40"/>
        <w:spacing w:after="0"/>
        <w:rPr>
          <w:sz w:val="20"/>
          <w:szCs w:val="20"/>
          <w:color w:val="auto"/>
        </w:rPr>
      </w:pPr>
      <w:r>
        <w:rPr>
          <w:rFonts w:ascii="Arial" w:cs="Arial" w:eastAsia="Arial" w:hAnsi="Arial"/>
          <w:sz w:val="18"/>
          <w:szCs w:val="18"/>
          <w:color w:val="auto"/>
        </w:rPr>
        <w:t>In March 2022, the Compensation Committee, with the assistance of Korn Ferry, reviewed the compensation program for the non-employee members of our Board of Directors. In its assessment, the Compensation Committee compared the design and the compensation elements of the program to that of the directors’ compensation programs of our peer group, as described above. Based on its review, the Compensation Committee recommended no changes to our director compensation program, other than the annual cash retainer for the Lead Director described above, which the Board approved effective April 28, 2022.</w:t>
      </w: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Non-Employee Directors Compensation Deferral Plan</w:t>
      </w:r>
    </w:p>
    <w:p>
      <w:pPr>
        <w:spacing w:after="0" w:line="88" w:lineRule="exact"/>
        <w:rPr>
          <w:sz w:val="20"/>
          <w:szCs w:val="20"/>
          <w:color w:val="auto"/>
        </w:rPr>
      </w:pPr>
    </w:p>
    <w:p>
      <w:pPr>
        <w:ind w:left="580" w:right="80"/>
        <w:spacing w:after="0" w:line="236" w:lineRule="auto"/>
        <w:rPr>
          <w:sz w:val="20"/>
          <w:szCs w:val="20"/>
          <w:color w:val="auto"/>
        </w:rPr>
      </w:pPr>
      <w:r>
        <w:rPr>
          <w:rFonts w:ascii="Arial" w:cs="Arial" w:eastAsia="Arial" w:hAnsi="Arial"/>
          <w:sz w:val="18"/>
          <w:szCs w:val="18"/>
          <w:color w:val="auto"/>
        </w:rPr>
        <w:t>We maintain the Sabre Corporation Non-Employee Directors Compensation Deferral Plan (the “Director Deferral Plan”), a non-qualified deferred compensation plan that allows non-employee directors to defer receipt of all or a portion of the shares of our common stock subject to their restricted stock unit awards. Each participating non-employee director has a notional account established to reflect the vesting of his or her restricted stock unit awards and any associated notional dividend equivalents. Non-employee directors are fully vested in their accounts. Deferrals are distributed in the form of Sabre common stock after the director terminates his or her service on the Board of Directors or, if earlier, in the event of a change in control of Sabre.</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2022 Director Compensation Table</w:t>
      </w:r>
    </w:p>
    <w:p>
      <w:pPr>
        <w:spacing w:after="0" w:line="88" w:lineRule="exact"/>
        <w:rPr>
          <w:sz w:val="20"/>
          <w:szCs w:val="20"/>
          <w:color w:val="auto"/>
        </w:rPr>
      </w:pPr>
    </w:p>
    <w:p>
      <w:pPr>
        <w:ind w:left="580" w:right="40"/>
        <w:spacing w:after="0" w:line="242"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of Directors during 2022. Mr. Menke, who is our Chair of the Board and CEO, does not receive any compensation for his service as a director and is not included in this table. The compensation received by Mr. Menke as an employee is presented in the “2022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127000</wp:posOffset>
            </wp:positionV>
            <wp:extent cx="15875" cy="22612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875" cy="226123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127000</wp:posOffset>
            </wp:positionV>
            <wp:extent cx="15875" cy="22612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875" cy="226123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127000</wp:posOffset>
            </wp:positionV>
            <wp:extent cx="15875" cy="22612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875" cy="2261235"/>
                    </a:xfrm>
                    <a:prstGeom prst="rect">
                      <a:avLst/>
                    </a:prstGeom>
                    <a:noFill/>
                  </pic:spPr>
                </pic:pic>
              </a:graphicData>
            </a:graphic>
          </wp:anchor>
        </w:drawing>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7300" w:type="dxa"/>
            <w:vAlign w:val="bottom"/>
            <w:shd w:val="clear" w:color="auto" w:fill="666666"/>
          </w:tcPr>
          <w:p>
            <w:pPr>
              <w:spacing w:after="0"/>
              <w:rPr>
                <w:sz w:val="15"/>
                <w:szCs w:val="15"/>
                <w:color w:val="auto"/>
              </w:rPr>
            </w:pPr>
          </w:p>
        </w:tc>
        <w:tc>
          <w:tcPr>
            <w:tcW w:w="360" w:type="dxa"/>
            <w:vAlign w:val="bottom"/>
            <w:shd w:val="clear" w:color="auto" w:fill="666666"/>
          </w:tcPr>
          <w:p>
            <w:pPr>
              <w:spacing w:after="0"/>
              <w:rPr>
                <w:sz w:val="15"/>
                <w:szCs w:val="15"/>
                <w:color w:val="auto"/>
              </w:rPr>
            </w:pPr>
          </w:p>
        </w:tc>
        <w:tc>
          <w:tcPr>
            <w:tcW w:w="700" w:type="dxa"/>
            <w:vAlign w:val="bottom"/>
            <w:shd w:val="clear" w:color="auto" w:fill="666666"/>
          </w:tcPr>
          <w:p>
            <w:pPr>
              <w:jc w:val="center"/>
              <w:ind w:right="280"/>
              <w:spacing w:after="0"/>
              <w:rPr>
                <w:sz w:val="20"/>
                <w:szCs w:val="20"/>
                <w:color w:val="auto"/>
              </w:rPr>
            </w:pPr>
            <w:r>
              <w:rPr>
                <w:rFonts w:ascii="Arial" w:cs="Arial" w:eastAsia="Arial" w:hAnsi="Arial"/>
                <w:sz w:val="15"/>
                <w:szCs w:val="15"/>
                <w:b w:val="1"/>
                <w:bCs w:val="1"/>
                <w:color w:val="FFFFFF"/>
                <w:w w:val="99"/>
              </w:rPr>
              <w:t>Fees</w:t>
            </w:r>
          </w:p>
        </w:tc>
        <w:tc>
          <w:tcPr>
            <w:tcW w:w="860" w:type="dxa"/>
            <w:vAlign w:val="bottom"/>
            <w:shd w:val="clear" w:color="auto" w:fill="666666"/>
          </w:tcPr>
          <w:p>
            <w:pPr>
              <w:spacing w:after="0"/>
              <w:rPr>
                <w:sz w:val="15"/>
                <w:szCs w:val="15"/>
                <w:color w:val="auto"/>
              </w:rPr>
            </w:pPr>
          </w:p>
        </w:tc>
        <w:tc>
          <w:tcPr>
            <w:tcW w:w="860" w:type="dxa"/>
            <w:vAlign w:val="bottom"/>
            <w:shd w:val="clear" w:color="auto" w:fill="666666"/>
          </w:tcPr>
          <w:p>
            <w:pPr>
              <w:spacing w:after="0"/>
              <w:rPr>
                <w:sz w:val="15"/>
                <w:szCs w:val="15"/>
                <w:color w:val="auto"/>
              </w:rPr>
            </w:pPr>
          </w:p>
        </w:tc>
      </w:tr>
      <w:tr>
        <w:trPr>
          <w:trHeight w:val="173"/>
        </w:trPr>
        <w:tc>
          <w:tcPr>
            <w:tcW w:w="7300" w:type="dxa"/>
            <w:vAlign w:val="bottom"/>
            <w:shd w:val="clear" w:color="auto" w:fill="666666"/>
          </w:tcPr>
          <w:p>
            <w:pPr>
              <w:spacing w:after="0"/>
              <w:rPr>
                <w:sz w:val="15"/>
                <w:szCs w:val="15"/>
                <w:color w:val="auto"/>
              </w:rPr>
            </w:pPr>
          </w:p>
        </w:tc>
        <w:tc>
          <w:tcPr>
            <w:tcW w:w="106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Earned or</w:t>
            </w:r>
          </w:p>
        </w:tc>
        <w:tc>
          <w:tcPr>
            <w:tcW w:w="86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Stock</w:t>
            </w:r>
          </w:p>
        </w:tc>
        <w:tc>
          <w:tcPr>
            <w:tcW w:w="860" w:type="dxa"/>
            <w:vAlign w:val="bottom"/>
            <w:shd w:val="clear" w:color="auto" w:fill="666666"/>
          </w:tcPr>
          <w:p>
            <w:pPr>
              <w:spacing w:after="0"/>
              <w:rPr>
                <w:sz w:val="15"/>
                <w:szCs w:val="15"/>
                <w:color w:val="auto"/>
              </w:rPr>
            </w:pPr>
          </w:p>
        </w:tc>
      </w:tr>
      <w:tr>
        <w:trPr>
          <w:trHeight w:val="173"/>
        </w:trPr>
        <w:tc>
          <w:tcPr>
            <w:tcW w:w="7300" w:type="dxa"/>
            <w:vAlign w:val="bottom"/>
            <w:shd w:val="clear" w:color="auto" w:fill="666666"/>
          </w:tcPr>
          <w:p>
            <w:pPr>
              <w:spacing w:after="0"/>
              <w:rPr>
                <w:sz w:val="15"/>
                <w:szCs w:val="15"/>
                <w:color w:val="auto"/>
              </w:rPr>
            </w:pPr>
          </w:p>
        </w:tc>
        <w:tc>
          <w:tcPr>
            <w:tcW w:w="106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Paid in</w:t>
            </w:r>
          </w:p>
        </w:tc>
        <w:tc>
          <w:tcPr>
            <w:tcW w:w="860" w:type="dxa"/>
            <w:vAlign w:val="bottom"/>
            <w:shd w:val="clear" w:color="auto" w:fill="666666"/>
          </w:tcPr>
          <w:p>
            <w:pPr>
              <w:jc w:val="center"/>
              <w:ind w:right="1"/>
              <w:spacing w:after="0"/>
              <w:rPr>
                <w:sz w:val="20"/>
                <w:szCs w:val="20"/>
                <w:color w:val="auto"/>
              </w:rPr>
            </w:pPr>
            <w:r>
              <w:rPr>
                <w:rFonts w:ascii="Arial" w:cs="Arial" w:eastAsia="Arial" w:hAnsi="Arial"/>
                <w:sz w:val="15"/>
                <w:szCs w:val="15"/>
                <w:b w:val="1"/>
                <w:bCs w:val="1"/>
                <w:color w:val="FFFFFF"/>
                <w:w w:val="99"/>
              </w:rPr>
              <w:t>Awards</w:t>
            </w:r>
          </w:p>
        </w:tc>
        <w:tc>
          <w:tcPr>
            <w:tcW w:w="860" w:type="dxa"/>
            <w:vAlign w:val="bottom"/>
            <w:shd w:val="clear" w:color="auto" w:fill="666666"/>
          </w:tcPr>
          <w:p>
            <w:pPr>
              <w:spacing w:after="0"/>
              <w:rPr>
                <w:sz w:val="15"/>
                <w:szCs w:val="15"/>
                <w:color w:val="auto"/>
              </w:rPr>
            </w:pPr>
          </w:p>
        </w:tc>
      </w:tr>
      <w:tr>
        <w:trPr>
          <w:trHeight w:val="198"/>
        </w:trPr>
        <w:tc>
          <w:tcPr>
            <w:tcW w:w="7300" w:type="dxa"/>
            <w:vAlign w:val="bottom"/>
            <w:shd w:val="clear" w:color="auto" w:fill="666666"/>
          </w:tcPr>
          <w:p>
            <w:pPr>
              <w:ind w:left="80"/>
              <w:spacing w:after="0"/>
              <w:rPr>
                <w:sz w:val="20"/>
                <w:szCs w:val="20"/>
                <w:color w:val="auto"/>
              </w:rPr>
            </w:pPr>
            <w:r>
              <w:rPr>
                <w:rFonts w:ascii="Arial" w:cs="Arial" w:eastAsia="Arial" w:hAnsi="Arial"/>
                <w:sz w:val="15"/>
                <w:szCs w:val="15"/>
                <w:b w:val="1"/>
                <w:bCs w:val="1"/>
                <w:color w:val="FFFFFF"/>
              </w:rPr>
              <w:t>Director</w:t>
            </w:r>
          </w:p>
        </w:tc>
        <w:tc>
          <w:tcPr>
            <w:tcW w:w="106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rPr>
              <w:t>Cash ($)</w:t>
            </w:r>
          </w:p>
        </w:tc>
        <w:tc>
          <w:tcPr>
            <w:tcW w:w="860" w:type="dxa"/>
            <w:vAlign w:val="bottom"/>
            <w:shd w:val="clear" w:color="auto" w:fill="666666"/>
          </w:tcPr>
          <w:p>
            <w:pPr>
              <w:jc w:val="center"/>
              <w:spacing w:after="0" w:line="198"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0"/>
                <w:szCs w:val="10"/>
                <w:b w:val="1"/>
                <w:bCs w:val="1"/>
                <w:color w:val="FFFFFF"/>
              </w:rPr>
              <w:t>(1)(2)</w:t>
            </w:r>
          </w:p>
        </w:tc>
        <w:tc>
          <w:tcPr>
            <w:tcW w:w="86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5"/>
              </w:rPr>
              <w:t>Total ($)</w:t>
            </w:r>
          </w:p>
        </w:tc>
      </w:tr>
      <w:tr>
        <w:trPr>
          <w:trHeight w:val="260"/>
        </w:trPr>
        <w:tc>
          <w:tcPr>
            <w:tcW w:w="73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George Bravante, Jr.</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$120,000</w:t>
            </w:r>
          </w:p>
        </w:tc>
        <w:tc>
          <w:tcPr>
            <w:tcW w:w="8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$280,001</w:t>
            </w:r>
          </w:p>
        </w:tc>
      </w:tr>
      <w:tr>
        <w:trPr>
          <w:trHeight w:val="255"/>
        </w:trPr>
        <w:tc>
          <w:tcPr>
            <w:tcW w:w="7300" w:type="dxa"/>
            <w:vAlign w:val="bottom"/>
          </w:tcPr>
          <w:p>
            <w:pPr>
              <w:ind w:left="100"/>
              <w:spacing w:after="0"/>
              <w:rPr>
                <w:sz w:val="20"/>
                <w:szCs w:val="20"/>
                <w:color w:val="auto"/>
              </w:rPr>
            </w:pPr>
            <w:r>
              <w:rPr>
                <w:rFonts w:ascii="Arial" w:cs="Arial" w:eastAsia="Arial" w:hAnsi="Arial"/>
                <w:sz w:val="16"/>
                <w:szCs w:val="16"/>
                <w:color w:val="auto"/>
              </w:rPr>
              <w:t>Hervé Couturier</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tcPr>
          <w:p>
            <w:pPr>
              <w:jc w:val="center"/>
              <w:spacing w:after="0"/>
              <w:rPr>
                <w:sz w:val="20"/>
                <w:szCs w:val="20"/>
                <w:color w:val="auto"/>
              </w:rPr>
            </w:pPr>
            <w:r>
              <w:rPr>
                <w:rFonts w:ascii="Arial" w:cs="Arial" w:eastAsia="Arial" w:hAnsi="Arial"/>
                <w:sz w:val="16"/>
                <w:szCs w:val="16"/>
                <w:color w:val="auto"/>
              </w:rPr>
              <w:t>$280,001</w:t>
            </w:r>
          </w:p>
        </w:tc>
      </w:tr>
      <w:tr>
        <w:trPr>
          <w:trHeight w:val="265"/>
        </w:trPr>
        <w:tc>
          <w:tcPr>
            <w:tcW w:w="7300" w:type="dxa"/>
            <w:vAlign w:val="bottom"/>
            <w:shd w:val="clear" w:color="auto" w:fill="E5E5E5"/>
          </w:tcPr>
          <w:p>
            <w:pPr>
              <w:ind w:left="100"/>
              <w:spacing w:after="0" w:line="265" w:lineRule="exact"/>
              <w:rPr>
                <w:sz w:val="20"/>
                <w:szCs w:val="20"/>
                <w:color w:val="auto"/>
              </w:rPr>
            </w:pPr>
            <w:r>
              <w:rPr>
                <w:rFonts w:ascii="Arial" w:cs="Arial" w:eastAsia="Arial" w:hAnsi="Arial"/>
                <w:sz w:val="16"/>
                <w:szCs w:val="16"/>
                <w:color w:val="auto"/>
              </w:rPr>
              <w:t>Rachel Gonzalez</w:t>
            </w:r>
            <w:r>
              <w:rPr>
                <w:rFonts w:ascii="Arial" w:cs="Arial" w:eastAsia="Arial" w:hAnsi="Arial"/>
                <w:sz w:val="24"/>
                <w:szCs w:val="24"/>
                <w:color w:val="auto"/>
                <w:vertAlign w:val="superscript"/>
              </w:rPr>
              <w:t>(3)</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17,853</w:t>
            </w:r>
          </w:p>
        </w:tc>
        <w:tc>
          <w:tcPr>
            <w:tcW w:w="8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$400,000</w:t>
            </w:r>
          </w:p>
        </w:tc>
        <w:tc>
          <w:tcPr>
            <w:tcW w:w="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$417,853</w:t>
            </w:r>
          </w:p>
        </w:tc>
      </w:tr>
      <w:tr>
        <w:trPr>
          <w:trHeight w:val="260"/>
        </w:trPr>
        <w:tc>
          <w:tcPr>
            <w:tcW w:w="7300" w:type="dxa"/>
            <w:vAlign w:val="bottom"/>
          </w:tcPr>
          <w:p>
            <w:pPr>
              <w:ind w:left="100"/>
              <w:spacing w:after="0" w:line="259" w:lineRule="exact"/>
              <w:rPr>
                <w:sz w:val="20"/>
                <w:szCs w:val="20"/>
                <w:color w:val="auto"/>
              </w:rPr>
            </w:pPr>
            <w:r>
              <w:rPr>
                <w:rFonts w:ascii="Arial" w:cs="Arial" w:eastAsia="Arial" w:hAnsi="Arial"/>
                <w:sz w:val="16"/>
                <w:szCs w:val="16"/>
                <w:color w:val="auto"/>
              </w:rPr>
              <w:t>Gary Kusin</w:t>
            </w:r>
            <w:r>
              <w:rPr>
                <w:rFonts w:ascii="Arial" w:cs="Arial" w:eastAsia="Arial" w:hAnsi="Arial"/>
                <w:sz w:val="24"/>
                <w:szCs w:val="24"/>
                <w:color w:val="auto"/>
                <w:vertAlign w:val="superscript"/>
              </w:rPr>
              <w:t>(4)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32,418</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Pr>
          <w:p>
            <w:pPr>
              <w:jc w:val="center"/>
              <w:spacing w:after="0"/>
              <w:rPr>
                <w:sz w:val="20"/>
                <w:szCs w:val="20"/>
                <w:color w:val="auto"/>
              </w:rPr>
            </w:pPr>
            <w:r>
              <w:rPr>
                <w:rFonts w:ascii="Arial" w:cs="Arial" w:eastAsia="Arial" w:hAnsi="Arial"/>
                <w:sz w:val="16"/>
                <w:szCs w:val="16"/>
                <w:color w:val="auto"/>
              </w:rPr>
              <w:t>$ 32,418</w:t>
            </w:r>
          </w:p>
        </w:tc>
      </w:tr>
      <w:tr>
        <w:trPr>
          <w:trHeight w:val="260"/>
        </w:trPr>
        <w:tc>
          <w:tcPr>
            <w:tcW w:w="73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Gail Mandel</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$ 115,000</w:t>
            </w:r>
          </w:p>
        </w:tc>
        <w:tc>
          <w:tcPr>
            <w:tcW w:w="8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$275,001</w:t>
            </w:r>
          </w:p>
        </w:tc>
      </w:tr>
      <w:tr>
        <w:trPr>
          <w:trHeight w:val="255"/>
        </w:trPr>
        <w:tc>
          <w:tcPr>
            <w:tcW w:w="7300" w:type="dxa"/>
            <w:vAlign w:val="bottom"/>
          </w:tcPr>
          <w:p>
            <w:pPr>
              <w:ind w:left="100"/>
              <w:spacing w:after="0"/>
              <w:rPr>
                <w:sz w:val="20"/>
                <w:szCs w:val="20"/>
                <w:color w:val="auto"/>
              </w:rPr>
            </w:pPr>
            <w:r>
              <w:rPr>
                <w:rFonts w:ascii="Arial" w:cs="Arial" w:eastAsia="Arial" w:hAnsi="Arial"/>
                <w:sz w:val="16"/>
                <w:szCs w:val="16"/>
                <w:color w:val="auto"/>
              </w:rPr>
              <w:t>Phyllis Newhouse</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$ 115,000</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tcPr>
          <w:p>
            <w:pPr>
              <w:jc w:val="center"/>
              <w:spacing w:after="0"/>
              <w:rPr>
                <w:sz w:val="20"/>
                <w:szCs w:val="20"/>
                <w:color w:val="auto"/>
              </w:rPr>
            </w:pPr>
            <w:r>
              <w:rPr>
                <w:rFonts w:ascii="Arial" w:cs="Arial" w:eastAsia="Arial" w:hAnsi="Arial"/>
                <w:sz w:val="16"/>
                <w:szCs w:val="16"/>
                <w:color w:val="auto"/>
              </w:rPr>
              <w:t>$275,001</w:t>
            </w:r>
          </w:p>
        </w:tc>
      </w:tr>
      <w:tr>
        <w:trPr>
          <w:trHeight w:val="265"/>
        </w:trPr>
        <w:tc>
          <w:tcPr>
            <w:tcW w:w="73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Karl Peterson</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$155,330</w:t>
            </w:r>
          </w:p>
        </w:tc>
        <w:tc>
          <w:tcPr>
            <w:tcW w:w="8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$315,331</w:t>
            </w:r>
          </w:p>
        </w:tc>
      </w:tr>
      <w:tr>
        <w:trPr>
          <w:trHeight w:val="255"/>
        </w:trPr>
        <w:tc>
          <w:tcPr>
            <w:tcW w:w="7300" w:type="dxa"/>
            <w:vAlign w:val="bottom"/>
          </w:tcPr>
          <w:p>
            <w:pPr>
              <w:ind w:left="100"/>
              <w:spacing w:after="0"/>
              <w:rPr>
                <w:sz w:val="20"/>
                <w:szCs w:val="20"/>
                <w:color w:val="auto"/>
              </w:rPr>
            </w:pPr>
            <w:r>
              <w:rPr>
                <w:rFonts w:ascii="Arial" w:cs="Arial" w:eastAsia="Arial" w:hAnsi="Arial"/>
                <w:sz w:val="16"/>
                <w:szCs w:val="16"/>
                <w:color w:val="auto"/>
              </w:rPr>
              <w:t>Zane Rowe</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$ 110,000</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tcPr>
          <w:p>
            <w:pPr>
              <w:jc w:val="center"/>
              <w:spacing w:after="0"/>
              <w:rPr>
                <w:sz w:val="20"/>
                <w:szCs w:val="20"/>
                <w:color w:val="auto"/>
              </w:rPr>
            </w:pPr>
            <w:r>
              <w:rPr>
                <w:rFonts w:ascii="Arial" w:cs="Arial" w:eastAsia="Arial" w:hAnsi="Arial"/>
                <w:sz w:val="16"/>
                <w:szCs w:val="16"/>
                <w:color w:val="auto"/>
              </w:rPr>
              <w:t>$270,001</w:t>
            </w:r>
          </w:p>
        </w:tc>
      </w:tr>
      <w:tr>
        <w:trPr>
          <w:trHeight w:val="265"/>
        </w:trPr>
        <w:tc>
          <w:tcPr>
            <w:tcW w:w="73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Gregg Saretsky</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$146,250</w:t>
            </w:r>
          </w:p>
        </w:tc>
        <w:tc>
          <w:tcPr>
            <w:tcW w:w="8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$306,251</w:t>
            </w:r>
          </w:p>
        </w:tc>
      </w:tr>
      <w:tr>
        <w:trPr>
          <w:trHeight w:val="255"/>
        </w:trPr>
        <w:tc>
          <w:tcPr>
            <w:tcW w:w="7300" w:type="dxa"/>
            <w:vAlign w:val="bottom"/>
          </w:tcPr>
          <w:p>
            <w:pPr>
              <w:ind w:left="100"/>
              <w:spacing w:after="0"/>
              <w:rPr>
                <w:sz w:val="20"/>
                <w:szCs w:val="20"/>
                <w:color w:val="auto"/>
              </w:rPr>
            </w:pPr>
            <w:r>
              <w:rPr>
                <w:rFonts w:ascii="Arial" w:cs="Arial" w:eastAsia="Arial" w:hAnsi="Arial"/>
                <w:sz w:val="16"/>
                <w:szCs w:val="16"/>
                <w:color w:val="auto"/>
              </w:rPr>
              <w:t>John Scott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tcPr>
          <w:p>
            <w:pPr>
              <w:jc w:val="center"/>
              <w:spacing w:after="0"/>
              <w:rPr>
                <w:sz w:val="20"/>
                <w:szCs w:val="20"/>
                <w:color w:val="auto"/>
              </w:rPr>
            </w:pPr>
            <w:r>
              <w:rPr>
                <w:rFonts w:ascii="Arial" w:cs="Arial" w:eastAsia="Arial" w:hAnsi="Arial"/>
                <w:sz w:val="16"/>
                <w:szCs w:val="16"/>
                <w:color w:val="auto"/>
              </w:rPr>
              <w:t>$280,001</w:t>
            </w:r>
          </w:p>
        </w:tc>
      </w:tr>
      <w:tr>
        <w:trPr>
          <w:trHeight w:val="265"/>
        </w:trPr>
        <w:tc>
          <w:tcPr>
            <w:tcW w:w="73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Wendi Sturgis</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$ 110,000</w:t>
            </w:r>
          </w:p>
        </w:tc>
        <w:tc>
          <w:tcPr>
            <w:tcW w:w="8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$160,001</w:t>
            </w:r>
          </w:p>
        </w:tc>
        <w:tc>
          <w:tcPr>
            <w:tcW w:w="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$270,001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53" w:lineRule="exact"/>
        <w:rPr>
          <w:sz w:val="20"/>
          <w:szCs w:val="20"/>
          <w:color w:val="auto"/>
        </w:rPr>
      </w:pPr>
    </w:p>
    <w:p>
      <w:pPr>
        <w:ind w:left="980" w:right="180" w:hanging="400"/>
        <w:spacing w:after="0" w:line="273" w:lineRule="auto"/>
        <w:tabs>
          <w:tab w:leader="none" w:pos="9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amounts reported in the Stock Awards column represent the grant date fair value of the restricted stock unit award for shares of our common stock granted during 2022, computed in accordance with Financial Accounting Standard Board</w:t>
      </w:r>
    </w:p>
    <w:p>
      <w:pPr>
        <w:spacing w:after="0" w:line="81"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36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194310</wp:posOffset>
            </wp:positionV>
            <wp:extent cx="2112010" cy="149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12010" cy="149225"/>
                    </a:xfrm>
                    <a:prstGeom prst="rect">
                      <a:avLst/>
                    </a:prstGeom>
                    <a:noFill/>
                  </pic:spPr>
                </pic:pic>
              </a:graphicData>
            </a:graphic>
          </wp:anchor>
        </w:drawing>
      </w:r>
    </w:p>
    <w:p>
      <w:pPr>
        <w:spacing w:after="0" w:line="311" w:lineRule="exact"/>
        <w:rPr>
          <w:sz w:val="20"/>
          <w:szCs w:val="20"/>
          <w:color w:val="auto"/>
        </w:rPr>
      </w:pPr>
    </w:p>
    <w:p>
      <w:pPr>
        <w:ind w:left="7580"/>
        <w:spacing w:after="0"/>
        <w:rPr>
          <w:sz w:val="20"/>
          <w:szCs w:val="20"/>
          <w:color w:val="auto"/>
        </w:rPr>
      </w:pPr>
      <w:r>
        <w:rPr>
          <w:rFonts w:ascii="Arial" w:cs="Arial" w:eastAsia="Arial" w:hAnsi="Arial"/>
          <w:sz w:val="15"/>
          <w:szCs w:val="15"/>
          <w:b w:val="1"/>
          <w:bCs w:val="1"/>
          <w:color w:val="FFFFFF"/>
        </w:rPr>
        <w:t>PROPOSAL 1: ELECTION OF DIRECTORS</w:t>
      </w:r>
    </w:p>
    <w:p>
      <w:pPr>
        <w:spacing w:after="0" w:line="248" w:lineRule="exact"/>
        <w:rPr>
          <w:sz w:val="20"/>
          <w:szCs w:val="20"/>
          <w:color w:val="auto"/>
        </w:rPr>
      </w:pPr>
    </w:p>
    <w:p>
      <w:pPr>
        <w:ind w:left="980" w:right="320"/>
        <w:spacing w:after="0" w:line="249" w:lineRule="auto"/>
        <w:rPr>
          <w:sz w:val="20"/>
          <w:szCs w:val="20"/>
          <w:color w:val="auto"/>
        </w:rPr>
      </w:pPr>
      <w:r>
        <w:rPr>
          <w:rFonts w:ascii="Arial" w:cs="Arial" w:eastAsia="Arial" w:hAnsi="Arial"/>
          <w:sz w:val="15"/>
          <w:szCs w:val="15"/>
          <w:color w:val="auto"/>
        </w:rPr>
        <w:t>Accounting Standards Codification Topic 718 (“ASC Topic 718”), disregarding the impact of estimated forfeitures. The assumptions used in calculating the grant date fair value of these stock-based awards are set forth in Note 13, Equity-Based Awards, to the audited consolidated financial statements included in our Annual Report on Form 10-K for the year ended December 31, 2022. The amounts reported in this column reflect the accounting cost for these stock-based awards, and do not correspond to the actual economic value that may be received by the non-employee members of our Board of Directors from their awards.</w:t>
      </w:r>
    </w:p>
    <w:p>
      <w:pPr>
        <w:spacing w:after="0" w:line="45" w:lineRule="exact"/>
        <w:rPr>
          <w:sz w:val="20"/>
          <w:szCs w:val="20"/>
          <w:color w:val="auto"/>
        </w:rPr>
      </w:pPr>
    </w:p>
    <w:p>
      <w:pPr>
        <w:ind w:left="980" w:right="160" w:hanging="400"/>
        <w:spacing w:after="0" w:line="257" w:lineRule="auto"/>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following table sets forth information on the restricted stock unit awards for shares of our common stock granted in 2022 and the aggregate number of shares of our common stock subject to such outstanding restricted stock unit awards held at December 31, 2022 by the non-employee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127000</wp:posOffset>
            </wp:positionV>
            <wp:extent cx="15875" cy="21590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875" cy="215900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127000</wp:posOffset>
            </wp:positionV>
            <wp:extent cx="15875" cy="21590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875" cy="2159000"/>
                    </a:xfrm>
                    <a:prstGeom prst="rect">
                      <a:avLst/>
                    </a:prstGeom>
                    <a:noFill/>
                  </pic:spPr>
                </pic:pic>
              </a:graphicData>
            </a:graphic>
          </wp:anchor>
        </w:drawing>
        <w:drawing>
          <wp:anchor simplePos="0" relativeHeight="251657728" behindDoc="1" locked="0" layoutInCell="0" allowOverlap="1">
            <wp:simplePos x="0" y="0"/>
            <wp:positionH relativeFrom="column">
              <wp:posOffset>3547745</wp:posOffset>
            </wp:positionH>
            <wp:positionV relativeFrom="paragraph">
              <wp:posOffset>127000</wp:posOffset>
            </wp:positionV>
            <wp:extent cx="15875" cy="2159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875" cy="2159000"/>
                    </a:xfrm>
                    <a:prstGeom prst="rect">
                      <a:avLst/>
                    </a:prstGeom>
                    <a:noFill/>
                  </pic:spPr>
                </pic:pic>
              </a:graphicData>
            </a:graphic>
          </wp:anchor>
        </w:drawing>
      </w:r>
    </w:p>
    <w:p>
      <w:pPr>
        <w:spacing w:after="0" w:line="168"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4620" w:type="dxa"/>
            <w:vAlign w:val="bottom"/>
            <w:shd w:val="clear" w:color="auto" w:fill="666666"/>
          </w:tcPr>
          <w:p>
            <w:pPr>
              <w:spacing w:after="0"/>
              <w:rPr>
                <w:sz w:val="14"/>
                <w:szCs w:val="14"/>
                <w:color w:val="auto"/>
              </w:rPr>
            </w:pPr>
          </w:p>
        </w:tc>
        <w:tc>
          <w:tcPr>
            <w:tcW w:w="1140" w:type="dxa"/>
            <w:vAlign w:val="bottom"/>
            <w:shd w:val="clear" w:color="auto" w:fill="666666"/>
          </w:tcPr>
          <w:p>
            <w:pPr>
              <w:spacing w:after="0"/>
              <w:rPr>
                <w:sz w:val="14"/>
                <w:szCs w:val="14"/>
                <w:color w:val="auto"/>
              </w:rPr>
            </w:pPr>
          </w:p>
        </w:tc>
        <w:tc>
          <w:tcPr>
            <w:tcW w:w="1540" w:type="dxa"/>
            <w:vAlign w:val="bottom"/>
            <w:shd w:val="clear" w:color="auto" w:fill="666666"/>
          </w:tcPr>
          <w:p>
            <w:pPr>
              <w:jc w:val="right"/>
              <w:ind w:right="159"/>
              <w:spacing w:after="0"/>
              <w:rPr>
                <w:sz w:val="20"/>
                <w:szCs w:val="20"/>
                <w:color w:val="auto"/>
              </w:rPr>
            </w:pPr>
            <w:r>
              <w:rPr>
                <w:rFonts w:ascii="Arial" w:cs="Arial" w:eastAsia="Arial" w:hAnsi="Arial"/>
                <w:sz w:val="15"/>
                <w:szCs w:val="15"/>
                <w:b w:val="1"/>
                <w:bCs w:val="1"/>
                <w:color w:val="FFFFFF"/>
              </w:rPr>
              <w:t>Restricted Stock</w:t>
            </w:r>
          </w:p>
        </w:tc>
        <w:tc>
          <w:tcPr>
            <w:tcW w:w="1980" w:type="dxa"/>
            <w:vAlign w:val="bottom"/>
            <w:shd w:val="clear" w:color="auto" w:fill="666666"/>
          </w:tcPr>
          <w:p>
            <w:pPr>
              <w:jc w:val="right"/>
              <w:ind w:right="359"/>
              <w:spacing w:after="0"/>
              <w:rPr>
                <w:sz w:val="20"/>
                <w:szCs w:val="20"/>
                <w:color w:val="auto"/>
              </w:rPr>
            </w:pPr>
            <w:r>
              <w:rPr>
                <w:rFonts w:ascii="Arial" w:cs="Arial" w:eastAsia="Arial" w:hAnsi="Arial"/>
                <w:sz w:val="15"/>
                <w:szCs w:val="15"/>
                <w:b w:val="1"/>
                <w:bCs w:val="1"/>
                <w:color w:val="FFFFFF"/>
              </w:rPr>
              <w:t>Restricted Stock</w:t>
            </w:r>
          </w:p>
        </w:tc>
      </w:tr>
      <w:tr>
        <w:trPr>
          <w:trHeight w:val="173"/>
        </w:trPr>
        <w:tc>
          <w:tcPr>
            <w:tcW w:w="4620" w:type="dxa"/>
            <w:vAlign w:val="bottom"/>
            <w:shd w:val="clear" w:color="auto" w:fill="666666"/>
          </w:tcPr>
          <w:p>
            <w:pPr>
              <w:spacing w:after="0"/>
              <w:rPr>
                <w:sz w:val="15"/>
                <w:szCs w:val="15"/>
                <w:color w:val="auto"/>
              </w:rPr>
            </w:pPr>
          </w:p>
        </w:tc>
        <w:tc>
          <w:tcPr>
            <w:tcW w:w="1140" w:type="dxa"/>
            <w:vAlign w:val="bottom"/>
            <w:shd w:val="clear" w:color="auto" w:fill="666666"/>
          </w:tcPr>
          <w:p>
            <w:pPr>
              <w:spacing w:after="0"/>
              <w:rPr>
                <w:sz w:val="15"/>
                <w:szCs w:val="15"/>
                <w:color w:val="auto"/>
              </w:rPr>
            </w:pPr>
          </w:p>
        </w:tc>
        <w:tc>
          <w:tcPr>
            <w:tcW w:w="1540" w:type="dxa"/>
            <w:vAlign w:val="bottom"/>
            <w:shd w:val="clear" w:color="auto" w:fill="666666"/>
          </w:tcPr>
          <w:p>
            <w:pPr>
              <w:jc w:val="right"/>
              <w:ind w:right="139"/>
              <w:spacing w:after="0"/>
              <w:rPr>
                <w:sz w:val="20"/>
                <w:szCs w:val="20"/>
                <w:color w:val="auto"/>
              </w:rPr>
            </w:pPr>
            <w:r>
              <w:rPr>
                <w:rFonts w:ascii="Arial" w:cs="Arial" w:eastAsia="Arial" w:hAnsi="Arial"/>
                <w:sz w:val="15"/>
                <w:szCs w:val="15"/>
                <w:b w:val="1"/>
                <w:bCs w:val="1"/>
                <w:color w:val="FFFFFF"/>
              </w:rPr>
              <w:t>Units Awarded in</w:t>
            </w:r>
          </w:p>
        </w:tc>
        <w:tc>
          <w:tcPr>
            <w:tcW w:w="1980" w:type="dxa"/>
            <w:vAlign w:val="bottom"/>
            <w:shd w:val="clear" w:color="auto" w:fill="666666"/>
          </w:tcPr>
          <w:p>
            <w:pPr>
              <w:jc w:val="right"/>
              <w:ind w:right="479"/>
              <w:spacing w:after="0"/>
              <w:rPr>
                <w:sz w:val="20"/>
                <w:szCs w:val="20"/>
                <w:color w:val="auto"/>
              </w:rPr>
            </w:pPr>
            <w:r>
              <w:rPr>
                <w:rFonts w:ascii="Arial" w:cs="Arial" w:eastAsia="Arial" w:hAnsi="Arial"/>
                <w:sz w:val="15"/>
                <w:szCs w:val="15"/>
                <w:b w:val="1"/>
                <w:bCs w:val="1"/>
                <w:color w:val="FFFFFF"/>
              </w:rPr>
              <w:t>Units Held at</w:t>
            </w:r>
          </w:p>
        </w:tc>
      </w:tr>
      <w:tr>
        <w:trPr>
          <w:trHeight w:val="210"/>
        </w:trPr>
        <w:tc>
          <w:tcPr>
            <w:tcW w:w="4620" w:type="dxa"/>
            <w:vAlign w:val="bottom"/>
            <w:shd w:val="clear" w:color="auto" w:fill="666666"/>
          </w:tcPr>
          <w:p>
            <w:pPr>
              <w:ind w:left="100"/>
              <w:spacing w:after="0"/>
              <w:rPr>
                <w:sz w:val="20"/>
                <w:szCs w:val="20"/>
                <w:color w:val="auto"/>
              </w:rPr>
            </w:pPr>
            <w:r>
              <w:rPr>
                <w:rFonts w:ascii="Arial" w:cs="Arial" w:eastAsia="Arial" w:hAnsi="Arial"/>
                <w:sz w:val="15"/>
                <w:szCs w:val="15"/>
                <w:b w:val="1"/>
                <w:bCs w:val="1"/>
                <w:color w:val="FFFFFF"/>
              </w:rPr>
              <w:t>Director</w:t>
            </w:r>
          </w:p>
        </w:tc>
        <w:tc>
          <w:tcPr>
            <w:tcW w:w="114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Grant Date</w:t>
            </w:r>
          </w:p>
        </w:tc>
        <w:tc>
          <w:tcPr>
            <w:tcW w:w="1540" w:type="dxa"/>
            <w:vAlign w:val="bottom"/>
            <w:shd w:val="clear" w:color="auto" w:fill="666666"/>
          </w:tcPr>
          <w:p>
            <w:pPr>
              <w:jc w:val="right"/>
              <w:ind w:right="459"/>
              <w:spacing w:after="0"/>
              <w:rPr>
                <w:sz w:val="20"/>
                <w:szCs w:val="20"/>
                <w:color w:val="auto"/>
              </w:rPr>
            </w:pPr>
            <w:r>
              <w:rPr>
                <w:rFonts w:ascii="Arial" w:cs="Arial" w:eastAsia="Arial" w:hAnsi="Arial"/>
                <w:sz w:val="15"/>
                <w:szCs w:val="15"/>
                <w:b w:val="1"/>
                <w:bCs w:val="1"/>
                <w:color w:val="FFFFFF"/>
              </w:rPr>
              <w:t>2022 (#)</w:t>
            </w:r>
          </w:p>
        </w:tc>
        <w:tc>
          <w:tcPr>
            <w:tcW w:w="1980" w:type="dxa"/>
            <w:vAlign w:val="bottom"/>
            <w:shd w:val="clear" w:color="auto" w:fill="666666"/>
          </w:tcPr>
          <w:p>
            <w:pPr>
              <w:jc w:val="right"/>
              <w:ind w:right="119"/>
              <w:spacing w:after="0"/>
              <w:rPr>
                <w:sz w:val="20"/>
                <w:szCs w:val="20"/>
                <w:color w:val="auto"/>
              </w:rPr>
            </w:pPr>
            <w:r>
              <w:rPr>
                <w:rFonts w:ascii="Arial" w:cs="Arial" w:eastAsia="Arial" w:hAnsi="Arial"/>
                <w:sz w:val="15"/>
                <w:szCs w:val="15"/>
                <w:b w:val="1"/>
                <w:bCs w:val="1"/>
                <w:color w:val="FFFFFF"/>
              </w:rPr>
              <w:t>December 31, 2022 (#)</w:t>
            </w:r>
          </w:p>
        </w:tc>
      </w:tr>
      <w:tr>
        <w:trPr>
          <w:trHeight w:val="260"/>
        </w:trPr>
        <w:tc>
          <w:tcPr>
            <w:tcW w:w="46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George Bravante, Jr.</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shd w:val="clear" w:color="auto" w:fill="E5E5E5"/>
          </w:tcPr>
          <w:p>
            <w:pPr>
              <w:jc w:val="right"/>
              <w:ind w:right="139"/>
              <w:spacing w:after="0" w:line="259" w:lineRule="exact"/>
              <w:rPr>
                <w:sz w:val="20"/>
                <w:szCs w:val="20"/>
                <w:color w:val="auto"/>
              </w:rPr>
            </w:pPr>
            <w:r>
              <w:rPr>
                <w:rFonts w:ascii="Arial" w:cs="Arial" w:eastAsia="Arial" w:hAnsi="Arial"/>
                <w:sz w:val="16"/>
                <w:szCs w:val="16"/>
                <w:color w:val="auto"/>
              </w:rPr>
              <w:t>14,612</w:t>
            </w:r>
            <w:r>
              <w:rPr>
                <w:rFonts w:ascii="Arial" w:cs="Arial" w:eastAsia="Arial" w:hAnsi="Arial"/>
                <w:sz w:val="24"/>
                <w:szCs w:val="24"/>
                <w:color w:val="auto"/>
                <w:vertAlign w:val="superscript"/>
              </w:rPr>
              <w:t>(a)</w:t>
            </w:r>
          </w:p>
        </w:tc>
        <w:tc>
          <w:tcPr>
            <w:tcW w:w="1980" w:type="dxa"/>
            <w:vAlign w:val="bottom"/>
            <w:shd w:val="clear" w:color="auto" w:fill="E5E5E5"/>
          </w:tcPr>
          <w:p>
            <w:pPr>
              <w:jc w:val="right"/>
              <w:ind w:right="519"/>
              <w:spacing w:after="0" w:line="259" w:lineRule="exact"/>
              <w:rPr>
                <w:sz w:val="20"/>
                <w:szCs w:val="20"/>
                <w:color w:val="auto"/>
              </w:rPr>
            </w:pPr>
            <w:r>
              <w:rPr>
                <w:rFonts w:ascii="Arial" w:cs="Arial" w:eastAsia="Arial" w:hAnsi="Arial"/>
                <w:sz w:val="16"/>
                <w:szCs w:val="16"/>
                <w:color w:val="auto"/>
              </w:rPr>
              <w:t>14,612</w:t>
            </w:r>
            <w:r>
              <w:rPr>
                <w:rFonts w:ascii="Arial" w:cs="Arial" w:eastAsia="Arial" w:hAnsi="Arial"/>
                <w:sz w:val="24"/>
                <w:szCs w:val="24"/>
                <w:color w:val="auto"/>
                <w:vertAlign w:val="superscript"/>
              </w:rPr>
              <w:t>(a)</w:t>
            </w:r>
          </w:p>
        </w:tc>
      </w:tr>
      <w:tr>
        <w:trPr>
          <w:trHeight w:val="255"/>
        </w:trPr>
        <w:tc>
          <w:tcPr>
            <w:tcW w:w="4620" w:type="dxa"/>
            <w:vAlign w:val="bottom"/>
          </w:tcPr>
          <w:p>
            <w:pPr>
              <w:ind w:left="100"/>
              <w:spacing w:after="0"/>
              <w:rPr>
                <w:sz w:val="20"/>
                <w:szCs w:val="20"/>
                <w:color w:val="auto"/>
              </w:rPr>
            </w:pPr>
            <w:r>
              <w:rPr>
                <w:rFonts w:ascii="Arial" w:cs="Arial" w:eastAsia="Arial" w:hAnsi="Arial"/>
                <w:sz w:val="16"/>
                <w:szCs w:val="16"/>
                <w:color w:val="auto"/>
              </w:rPr>
              <w:t>Hervé Couturier</w:t>
            </w:r>
          </w:p>
        </w:tc>
        <w:tc>
          <w:tcPr>
            <w:tcW w:w="1140" w:type="dxa"/>
            <w:vAlign w:val="bottom"/>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14,612</w:t>
            </w:r>
          </w:p>
        </w:tc>
      </w:tr>
      <w:tr>
        <w:trPr>
          <w:trHeight w:val="265"/>
        </w:trPr>
        <w:tc>
          <w:tcPr>
            <w:tcW w:w="46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Rachel Gonzalez</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10/20/2022</w:t>
            </w:r>
          </w:p>
        </w:tc>
        <w:tc>
          <w:tcPr>
            <w:tcW w:w="154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70,922</w:t>
            </w:r>
          </w:p>
        </w:tc>
        <w:tc>
          <w:tcPr>
            <w:tcW w:w="19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70,922</w:t>
            </w:r>
          </w:p>
        </w:tc>
      </w:tr>
      <w:tr>
        <w:trPr>
          <w:trHeight w:val="255"/>
        </w:trPr>
        <w:tc>
          <w:tcPr>
            <w:tcW w:w="4620" w:type="dxa"/>
            <w:vAlign w:val="bottom"/>
          </w:tcPr>
          <w:p>
            <w:pPr>
              <w:ind w:left="100"/>
              <w:spacing w:after="0"/>
              <w:rPr>
                <w:sz w:val="20"/>
                <w:szCs w:val="20"/>
                <w:color w:val="auto"/>
              </w:rPr>
            </w:pPr>
            <w:r>
              <w:rPr>
                <w:rFonts w:ascii="Arial" w:cs="Arial" w:eastAsia="Arial" w:hAnsi="Arial"/>
                <w:sz w:val="16"/>
                <w:szCs w:val="16"/>
                <w:color w:val="auto"/>
              </w:rPr>
              <w:t>Gary Kusin</w:t>
            </w:r>
          </w:p>
        </w:tc>
        <w:tc>
          <w:tcPr>
            <w:tcW w:w="1140" w:type="dxa"/>
            <w:vAlign w:val="bottom"/>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65"/>
        </w:trPr>
        <w:tc>
          <w:tcPr>
            <w:tcW w:w="46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Gail Mandel</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25,327</w:t>
            </w:r>
          </w:p>
        </w:tc>
      </w:tr>
      <w:tr>
        <w:trPr>
          <w:trHeight w:val="255"/>
        </w:trPr>
        <w:tc>
          <w:tcPr>
            <w:tcW w:w="4620" w:type="dxa"/>
            <w:vAlign w:val="bottom"/>
          </w:tcPr>
          <w:p>
            <w:pPr>
              <w:ind w:left="100"/>
              <w:spacing w:after="0"/>
              <w:rPr>
                <w:sz w:val="20"/>
                <w:szCs w:val="20"/>
                <w:color w:val="auto"/>
              </w:rPr>
            </w:pPr>
            <w:r>
              <w:rPr>
                <w:rFonts w:ascii="Arial" w:cs="Arial" w:eastAsia="Arial" w:hAnsi="Arial"/>
                <w:sz w:val="16"/>
                <w:szCs w:val="16"/>
                <w:color w:val="auto"/>
              </w:rPr>
              <w:t>Phyllis Newhouse</w:t>
            </w:r>
          </w:p>
        </w:tc>
        <w:tc>
          <w:tcPr>
            <w:tcW w:w="1140" w:type="dxa"/>
            <w:vAlign w:val="bottom"/>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30,772</w:t>
            </w:r>
          </w:p>
        </w:tc>
      </w:tr>
      <w:tr>
        <w:trPr>
          <w:trHeight w:val="265"/>
        </w:trPr>
        <w:tc>
          <w:tcPr>
            <w:tcW w:w="46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Karl Peterson</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shd w:val="clear" w:color="auto" w:fill="E5E5E5"/>
          </w:tcPr>
          <w:p>
            <w:pPr>
              <w:jc w:val="right"/>
              <w:ind w:right="139"/>
              <w:spacing w:after="0" w:line="265" w:lineRule="exact"/>
              <w:rPr>
                <w:sz w:val="20"/>
                <w:szCs w:val="20"/>
                <w:color w:val="auto"/>
              </w:rPr>
            </w:pPr>
            <w:r>
              <w:rPr>
                <w:rFonts w:ascii="Arial" w:cs="Arial" w:eastAsia="Arial" w:hAnsi="Arial"/>
                <w:sz w:val="16"/>
                <w:szCs w:val="16"/>
                <w:color w:val="auto"/>
              </w:rPr>
              <w:t>14,612</w:t>
            </w:r>
            <w:r>
              <w:rPr>
                <w:rFonts w:ascii="Arial" w:cs="Arial" w:eastAsia="Arial" w:hAnsi="Arial"/>
                <w:sz w:val="24"/>
                <w:szCs w:val="24"/>
                <w:color w:val="auto"/>
                <w:vertAlign w:val="superscript"/>
              </w:rPr>
              <w:t>(a)</w:t>
            </w:r>
          </w:p>
        </w:tc>
        <w:tc>
          <w:tcPr>
            <w:tcW w:w="1980" w:type="dxa"/>
            <w:vAlign w:val="bottom"/>
            <w:shd w:val="clear" w:color="auto" w:fill="E5E5E5"/>
          </w:tcPr>
          <w:p>
            <w:pPr>
              <w:jc w:val="right"/>
              <w:ind w:right="519"/>
              <w:spacing w:after="0" w:line="265" w:lineRule="exact"/>
              <w:rPr>
                <w:sz w:val="20"/>
                <w:szCs w:val="20"/>
                <w:color w:val="auto"/>
              </w:rPr>
            </w:pPr>
            <w:r>
              <w:rPr>
                <w:rFonts w:ascii="Arial" w:cs="Arial" w:eastAsia="Arial" w:hAnsi="Arial"/>
                <w:sz w:val="16"/>
                <w:szCs w:val="16"/>
                <w:color w:val="auto"/>
              </w:rPr>
              <w:t>14,612</w:t>
            </w:r>
            <w:r>
              <w:rPr>
                <w:rFonts w:ascii="Arial" w:cs="Arial" w:eastAsia="Arial" w:hAnsi="Arial"/>
                <w:sz w:val="24"/>
                <w:szCs w:val="24"/>
                <w:color w:val="auto"/>
                <w:vertAlign w:val="superscript"/>
              </w:rPr>
              <w:t>(a)</w:t>
            </w:r>
          </w:p>
        </w:tc>
      </w:tr>
      <w:tr>
        <w:trPr>
          <w:trHeight w:val="255"/>
        </w:trPr>
        <w:tc>
          <w:tcPr>
            <w:tcW w:w="4620" w:type="dxa"/>
            <w:vAlign w:val="bottom"/>
          </w:tcPr>
          <w:p>
            <w:pPr>
              <w:ind w:left="100"/>
              <w:spacing w:after="0"/>
              <w:rPr>
                <w:sz w:val="20"/>
                <w:szCs w:val="20"/>
                <w:color w:val="auto"/>
              </w:rPr>
            </w:pPr>
            <w:r>
              <w:rPr>
                <w:rFonts w:ascii="Arial" w:cs="Arial" w:eastAsia="Arial" w:hAnsi="Arial"/>
                <w:sz w:val="16"/>
                <w:szCs w:val="16"/>
                <w:color w:val="auto"/>
              </w:rPr>
              <w:t>Zane Rowe</w:t>
            </w:r>
          </w:p>
        </w:tc>
        <w:tc>
          <w:tcPr>
            <w:tcW w:w="1140" w:type="dxa"/>
            <w:vAlign w:val="bottom"/>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14,612</w:t>
            </w:r>
          </w:p>
        </w:tc>
      </w:tr>
      <w:tr>
        <w:trPr>
          <w:trHeight w:val="265"/>
        </w:trPr>
        <w:tc>
          <w:tcPr>
            <w:tcW w:w="46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Gregg Saretsky</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27,112</w:t>
            </w:r>
          </w:p>
        </w:tc>
      </w:tr>
      <w:tr>
        <w:trPr>
          <w:trHeight w:val="255"/>
        </w:trPr>
        <w:tc>
          <w:tcPr>
            <w:tcW w:w="4620" w:type="dxa"/>
            <w:vAlign w:val="bottom"/>
          </w:tcPr>
          <w:p>
            <w:pPr>
              <w:ind w:left="100"/>
              <w:spacing w:after="0"/>
              <w:rPr>
                <w:sz w:val="20"/>
                <w:szCs w:val="20"/>
                <w:color w:val="auto"/>
              </w:rPr>
            </w:pPr>
            <w:r>
              <w:rPr>
                <w:rFonts w:ascii="Arial" w:cs="Arial" w:eastAsia="Arial" w:hAnsi="Arial"/>
                <w:sz w:val="16"/>
                <w:szCs w:val="16"/>
                <w:color w:val="auto"/>
              </w:rPr>
              <w:t>John Scott</w:t>
            </w:r>
          </w:p>
        </w:tc>
        <w:tc>
          <w:tcPr>
            <w:tcW w:w="1140" w:type="dxa"/>
            <w:vAlign w:val="bottom"/>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tcPr>
          <w:p>
            <w:pPr>
              <w:jc w:val="right"/>
              <w:ind w:right="659"/>
              <w:spacing w:after="0"/>
              <w:rPr>
                <w:sz w:val="20"/>
                <w:szCs w:val="20"/>
                <w:color w:val="auto"/>
              </w:rPr>
            </w:pPr>
            <w:r>
              <w:rPr>
                <w:rFonts w:ascii="Arial" w:cs="Arial" w:eastAsia="Arial" w:hAnsi="Arial"/>
                <w:sz w:val="16"/>
                <w:szCs w:val="16"/>
                <w:color w:val="auto"/>
              </w:rPr>
              <w:t>27,112</w:t>
            </w:r>
          </w:p>
        </w:tc>
      </w:tr>
      <w:tr>
        <w:trPr>
          <w:trHeight w:val="265"/>
        </w:trPr>
        <w:tc>
          <w:tcPr>
            <w:tcW w:w="4620" w:type="dxa"/>
            <w:vAlign w:val="bottom"/>
            <w:shd w:val="clear" w:color="auto" w:fill="E5E5E5"/>
          </w:tcPr>
          <w:p>
            <w:pPr>
              <w:ind w:left="100"/>
              <w:spacing w:after="0"/>
              <w:rPr>
                <w:sz w:val="20"/>
                <w:szCs w:val="20"/>
                <w:color w:val="auto"/>
              </w:rPr>
            </w:pPr>
            <w:r>
              <w:rPr>
                <w:rFonts w:ascii="Arial" w:cs="Arial" w:eastAsia="Arial" w:hAnsi="Arial"/>
                <w:sz w:val="16"/>
                <w:szCs w:val="16"/>
                <w:color w:val="auto"/>
              </w:rPr>
              <w:t>Wendi Sturgis</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04/27/2022</w:t>
            </w:r>
          </w:p>
        </w:tc>
        <w:tc>
          <w:tcPr>
            <w:tcW w:w="154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14,612</w:t>
            </w:r>
          </w:p>
        </w:tc>
        <w:tc>
          <w:tcPr>
            <w:tcW w:w="19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30,772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86360</wp:posOffset>
            </wp:positionV>
            <wp:extent cx="63563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5635" cy="7620"/>
                    </a:xfrm>
                    <a:prstGeom prst="rect">
                      <a:avLst/>
                    </a:prstGeom>
                    <a:noFill/>
                  </pic:spPr>
                </pic:pic>
              </a:graphicData>
            </a:graphic>
          </wp:anchor>
        </w:drawing>
      </w:r>
    </w:p>
    <w:p>
      <w:pPr>
        <w:spacing w:after="0" w:line="153" w:lineRule="exact"/>
        <w:rPr>
          <w:sz w:val="20"/>
          <w:szCs w:val="20"/>
          <w:color w:val="auto"/>
        </w:rPr>
      </w:pPr>
    </w:p>
    <w:p>
      <w:pPr>
        <w:ind w:left="1380" w:right="120" w:hanging="404"/>
        <w:spacing w:after="0" w:line="273" w:lineRule="auto"/>
        <w:tabs>
          <w:tab w:leader="none" w:pos="13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Per election made by the non-employee director under the Director Deferral Plan, receipt of this restricted stock unit award for shares of our common stock was deferred until the end of the respective board member’s service.</w:t>
      </w:r>
    </w:p>
    <w:p>
      <w:pPr>
        <w:spacing w:after="0" w:line="27" w:lineRule="exact"/>
        <w:rPr>
          <w:rFonts w:ascii="Arial" w:cs="Arial" w:eastAsia="Arial" w:hAnsi="Arial"/>
          <w:sz w:val="15"/>
          <w:szCs w:val="15"/>
          <w:color w:val="auto"/>
        </w:rPr>
      </w:pPr>
    </w:p>
    <w:p>
      <w:pPr>
        <w:ind w:left="980" w:hanging="400"/>
        <w:spacing w:after="0"/>
        <w:tabs>
          <w:tab w:leader="none" w:pos="9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For Ms. Gonzalez, fees earned or paid in cash represent amounts earned in 2022 and paid in 2023.</w:t>
      </w:r>
    </w:p>
    <w:p>
      <w:pPr>
        <w:spacing w:after="0" w:line="74" w:lineRule="exact"/>
        <w:rPr>
          <w:rFonts w:ascii="Arial" w:cs="Arial" w:eastAsia="Arial" w:hAnsi="Arial"/>
          <w:sz w:val="15"/>
          <w:szCs w:val="15"/>
          <w:color w:val="auto"/>
        </w:rPr>
      </w:pPr>
    </w:p>
    <w:p>
      <w:pPr>
        <w:ind w:left="980" w:hanging="400"/>
        <w:spacing w:after="0"/>
        <w:tabs>
          <w:tab w:leader="none" w:pos="9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Mr. Kusin retired from the Board effective April 27, 2022.</w:t>
      </w:r>
    </w:p>
    <w:p>
      <w:pPr>
        <w:spacing w:after="0" w:line="189" w:lineRule="exact"/>
        <w:rPr>
          <w:sz w:val="20"/>
          <w:szCs w:val="20"/>
          <w:color w:val="auto"/>
        </w:rPr>
      </w:pPr>
    </w:p>
    <w:p>
      <w:pPr>
        <w:ind w:left="580"/>
        <w:spacing w:after="0" w:line="248" w:lineRule="auto"/>
        <w:rPr>
          <w:sz w:val="20"/>
          <w:szCs w:val="20"/>
          <w:color w:val="auto"/>
        </w:rPr>
      </w:pPr>
      <w:r>
        <w:rPr>
          <w:rFonts w:ascii="Arial" w:cs="Arial" w:eastAsia="Arial" w:hAnsi="Arial"/>
          <w:sz w:val="18"/>
          <w:szCs w:val="18"/>
          <w:color w:val="auto"/>
        </w:rPr>
        <w:t>The non-employee members of our Board of Directors are reimbursed for their actual travel and other out-of-pocket expenses in connection with their service on our Board of Directors and Board committees. Non-employee directors are not otherwise provided perquisites or retirement benefits.</w:t>
      </w:r>
    </w:p>
    <w:p>
      <w:pPr>
        <w:spacing w:after="0" w:line="88"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3006725" cy="149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06725" cy="149225"/>
                    </a:xfrm>
                    <a:prstGeom prst="rect">
                      <a:avLst/>
                    </a:prstGeom>
                    <a:noFill/>
                  </pic:spPr>
                </pic:pic>
              </a:graphicData>
            </a:graphic>
          </wp:anchor>
        </w:drawing>
      </w:r>
    </w:p>
    <w:p>
      <w:pPr>
        <w:spacing w:after="0" w:line="311"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FFFFFF"/>
        </w:rPr>
        <w:t>PROPOSAL 2: RATIFICATION OF INDEPENDENT AUDITORS</w:t>
      </w:r>
    </w:p>
    <w:p>
      <w:pPr>
        <w:spacing w:after="0" w:line="228" w:lineRule="exact"/>
        <w:rPr>
          <w:sz w:val="20"/>
          <w:szCs w:val="20"/>
          <w:color w:val="auto"/>
        </w:rPr>
      </w:pPr>
    </w:p>
    <w:p>
      <w:pPr>
        <w:ind w:left="580" w:right="1720"/>
        <w:spacing w:after="0" w:line="293" w:lineRule="auto"/>
        <w:rPr>
          <w:sz w:val="20"/>
          <w:szCs w:val="20"/>
          <w:color w:val="auto"/>
        </w:rPr>
      </w:pPr>
      <w:r>
        <w:rPr>
          <w:rFonts w:ascii="Arial" w:cs="Arial" w:eastAsia="Arial" w:hAnsi="Arial"/>
          <w:sz w:val="36"/>
          <w:szCs w:val="36"/>
          <w:b w:val="1"/>
          <w:bCs w:val="1"/>
          <w:color w:val="CF0A2C"/>
        </w:rPr>
        <w:t>PROPOSAL 2: RATIFICATION OF INDEPENDENT AUDITORS</w:t>
      </w:r>
    </w:p>
    <w:p>
      <w:pPr>
        <w:spacing w:after="0" w:line="39" w:lineRule="exact"/>
        <w:rPr>
          <w:sz w:val="20"/>
          <w:szCs w:val="20"/>
          <w:color w:val="auto"/>
        </w:rPr>
      </w:pPr>
    </w:p>
    <w:p>
      <w:pPr>
        <w:ind w:left="580" w:right="100"/>
        <w:spacing w:after="0" w:line="242" w:lineRule="auto"/>
        <w:rPr>
          <w:sz w:val="20"/>
          <w:szCs w:val="20"/>
          <w:color w:val="auto"/>
        </w:rPr>
      </w:pPr>
      <w:r>
        <w:rPr>
          <w:rFonts w:ascii="Arial" w:cs="Arial" w:eastAsia="Arial" w:hAnsi="Arial"/>
          <w:sz w:val="18"/>
          <w:szCs w:val="18"/>
          <w:color w:val="auto"/>
        </w:rPr>
        <w:t>The Audit Committee of the Board of Directors has selected Ernst &amp; Young LLP (“Ernst &amp; Young”) as the independent registered public accounting firm to audit our financial statements for the fiscal year ending December 31, 2023, and is requesting ratification by our stockholders. If our stockholders do not approve the selection of Ernst &amp; Young, the selection of other independent auditors for the fiscal year ending December 31, 2024 will be considered by the Audit Committee.</w:t>
      </w:r>
    </w:p>
    <w:p>
      <w:pPr>
        <w:spacing w:after="0" w:line="154"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Representatives of Ernst &amp; Young are expected to be present at the Annual Meeting with the opportunity to make a statement if they desire to do so and to respond to questions.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Principal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60"/>
        <w:spacing w:after="0" w:line="267" w:lineRule="auto"/>
        <w:rPr>
          <w:sz w:val="20"/>
          <w:szCs w:val="20"/>
          <w:color w:val="auto"/>
        </w:rPr>
      </w:pPr>
      <w:r>
        <w:rPr>
          <w:rFonts w:ascii="Arial" w:cs="Arial" w:eastAsia="Arial" w:hAnsi="Arial"/>
          <w:sz w:val="18"/>
          <w:szCs w:val="18"/>
          <w:color w:val="auto"/>
        </w:rPr>
        <w:t>Our aggregate fees (excluding value added taxes) with respect to the fiscal years ended December 31, 2022 and 2021 to our principal accounting firm, Ernst &amp; Young,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113665</wp:posOffset>
            </wp:positionV>
            <wp:extent cx="15875" cy="7931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875" cy="79311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113665</wp:posOffset>
            </wp:positionV>
            <wp:extent cx="15875" cy="793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875" cy="7931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8740" w:type="dxa"/>
            <w:vAlign w:val="bottom"/>
            <w:shd w:val="clear" w:color="auto" w:fill="666666"/>
          </w:tcPr>
          <w:p>
            <w:pPr>
              <w:spacing w:after="0"/>
              <w:rPr>
                <w:sz w:val="18"/>
                <w:szCs w:val="18"/>
                <w:color w:val="auto"/>
              </w:rPr>
            </w:pPr>
          </w:p>
        </w:tc>
        <w:tc>
          <w:tcPr>
            <w:tcW w:w="740" w:type="dxa"/>
            <w:vAlign w:val="bottom"/>
            <w:gridSpan w:val="2"/>
            <w:shd w:val="clear" w:color="auto" w:fill="666666"/>
          </w:tcPr>
          <w:p>
            <w:pPr>
              <w:jc w:val="right"/>
              <w:ind w:right="118"/>
              <w:spacing w:after="0"/>
              <w:rPr>
                <w:sz w:val="20"/>
                <w:szCs w:val="20"/>
                <w:color w:val="auto"/>
              </w:rPr>
            </w:pPr>
            <w:r>
              <w:rPr>
                <w:rFonts w:ascii="Arial" w:cs="Arial" w:eastAsia="Arial" w:hAnsi="Arial"/>
                <w:sz w:val="15"/>
                <w:szCs w:val="15"/>
                <w:b w:val="1"/>
                <w:bCs w:val="1"/>
                <w:color w:val="FFFFFF"/>
              </w:rPr>
              <w:t>2022</w:t>
            </w:r>
          </w:p>
        </w:tc>
        <w:tc>
          <w:tcPr>
            <w:tcW w:w="600" w:type="dxa"/>
            <w:vAlign w:val="bottom"/>
            <w:gridSpan w:val="2"/>
            <w:shd w:val="clear" w:color="auto" w:fill="666666"/>
          </w:tcPr>
          <w:p>
            <w:pPr>
              <w:jc w:val="right"/>
              <w:ind w:right="38"/>
              <w:spacing w:after="0"/>
              <w:rPr>
                <w:sz w:val="20"/>
                <w:szCs w:val="20"/>
                <w:color w:val="auto"/>
              </w:rPr>
            </w:pPr>
            <w:r>
              <w:rPr>
                <w:rFonts w:ascii="Arial" w:cs="Arial" w:eastAsia="Arial" w:hAnsi="Arial"/>
                <w:sz w:val="15"/>
                <w:szCs w:val="15"/>
                <w:b w:val="1"/>
                <w:bCs w:val="1"/>
                <w:color w:val="FFFFFF"/>
              </w:rPr>
              <w:t>2021</w:t>
            </w:r>
          </w:p>
        </w:tc>
      </w:tr>
      <w:tr>
        <w:trPr>
          <w:trHeight w:val="260"/>
        </w:trPr>
        <w:tc>
          <w:tcPr>
            <w:tcW w:w="8740" w:type="dxa"/>
            <w:vAlign w:val="bottom"/>
            <w:shd w:val="clear" w:color="auto" w:fill="E5E5E5"/>
          </w:tcPr>
          <w:p>
            <w:pPr>
              <w:spacing w:after="0" w:line="259" w:lineRule="exact"/>
              <w:rPr>
                <w:sz w:val="20"/>
                <w:szCs w:val="20"/>
                <w:color w:val="auto"/>
              </w:rPr>
            </w:pPr>
            <w:r>
              <w:rPr>
                <w:rFonts w:ascii="Arial" w:cs="Arial" w:eastAsia="Arial" w:hAnsi="Arial"/>
                <w:sz w:val="16"/>
                <w:szCs w:val="16"/>
                <w:color w:val="auto"/>
              </w:rPr>
              <w:t>Audit Fees</w:t>
            </w:r>
            <w:r>
              <w:rPr>
                <w:rFonts w:ascii="Arial" w:cs="Arial" w:eastAsia="Arial" w:hAnsi="Arial"/>
                <w:sz w:val="24"/>
                <w:szCs w:val="24"/>
                <w:color w:val="auto"/>
                <w:vertAlign w:val="superscript"/>
              </w:rPr>
              <w:t>(1)</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9"/>
              </w:rPr>
              <w:t>7,925</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9"/>
              </w:rPr>
              <w:t>8,104</w:t>
            </w:r>
          </w:p>
        </w:tc>
      </w:tr>
      <w:tr>
        <w:trPr>
          <w:trHeight w:val="260"/>
        </w:trPr>
        <w:tc>
          <w:tcPr>
            <w:tcW w:w="8740" w:type="dxa"/>
            <w:vAlign w:val="bottom"/>
          </w:tcPr>
          <w:p>
            <w:pPr>
              <w:spacing w:after="0" w:line="259" w:lineRule="exact"/>
              <w:rPr>
                <w:sz w:val="20"/>
                <w:szCs w:val="20"/>
                <w:color w:val="auto"/>
              </w:rPr>
            </w:pPr>
            <w:r>
              <w:rPr>
                <w:rFonts w:ascii="Arial" w:cs="Arial" w:eastAsia="Arial" w:hAnsi="Arial"/>
                <w:sz w:val="16"/>
                <w:szCs w:val="16"/>
                <w:color w:val="auto"/>
              </w:rPr>
              <w:t>Audit-Related Fees</w:t>
            </w:r>
            <w:r>
              <w:rPr>
                <w:rFonts w:ascii="Arial" w:cs="Arial" w:eastAsia="Arial" w:hAnsi="Arial"/>
                <w:sz w:val="24"/>
                <w:szCs w:val="24"/>
                <w:color w:val="auto"/>
                <w:vertAlign w:val="superscript"/>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1,248</w:t>
            </w:r>
          </w:p>
        </w:tc>
      </w:tr>
      <w:tr>
        <w:trPr>
          <w:trHeight w:val="260"/>
        </w:trPr>
        <w:tc>
          <w:tcPr>
            <w:tcW w:w="8740" w:type="dxa"/>
            <w:vAlign w:val="bottom"/>
            <w:shd w:val="clear" w:color="auto" w:fill="E5E5E5"/>
          </w:tcPr>
          <w:p>
            <w:pPr>
              <w:spacing w:after="0" w:line="259" w:lineRule="exact"/>
              <w:rPr>
                <w:sz w:val="20"/>
                <w:szCs w:val="20"/>
                <w:color w:val="auto"/>
              </w:rPr>
            </w:pPr>
            <w:r>
              <w:rPr>
                <w:rFonts w:ascii="Arial" w:cs="Arial" w:eastAsia="Arial" w:hAnsi="Arial"/>
                <w:sz w:val="16"/>
                <w:szCs w:val="16"/>
                <w:color w:val="auto"/>
              </w:rPr>
              <w:t>Tax Fees</w:t>
            </w:r>
            <w:r>
              <w:rPr>
                <w:rFonts w:ascii="Arial" w:cs="Arial" w:eastAsia="Arial" w:hAnsi="Arial"/>
                <w:sz w:val="24"/>
                <w:szCs w:val="24"/>
                <w:color w:val="auto"/>
                <w:vertAlign w:val="superscript"/>
              </w:rPr>
              <w:t>(3)</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9"/>
              </w:rPr>
              <w:t>1,039</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270</w:t>
            </w:r>
          </w:p>
        </w:tc>
      </w:tr>
      <w:tr>
        <w:trPr>
          <w:trHeight w:val="369"/>
        </w:trPr>
        <w:tc>
          <w:tcPr>
            <w:tcW w:w="8740" w:type="dxa"/>
            <w:vAlign w:val="bottom"/>
          </w:tcPr>
          <w:p>
            <w:pPr>
              <w:spacing w:after="0"/>
              <w:rPr>
                <w:sz w:val="20"/>
                <w:szCs w:val="20"/>
                <w:color w:val="auto"/>
              </w:rPr>
            </w:pPr>
            <w:r>
              <w:rPr>
                <w:rFonts w:ascii="Arial" w:cs="Arial" w:eastAsia="Arial" w:hAnsi="Arial"/>
                <w:sz w:val="16"/>
                <w:szCs w:val="16"/>
                <w:color w:val="auto"/>
              </w:rPr>
              <w:t>All Other Fees</w:t>
            </w:r>
            <w:r>
              <w:rPr>
                <w:rFonts w:ascii="Arial" w:cs="Arial" w:eastAsia="Arial" w:hAnsi="Arial"/>
                <w:sz w:val="24"/>
                <w:szCs w:val="24"/>
                <w:color w:val="auto"/>
                <w:vertAlign w:val="superscript"/>
              </w:rPr>
              <w:t>(4)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17145</wp:posOffset>
            </wp:positionV>
            <wp:extent cx="70675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32" w:lineRule="exact"/>
        <w:rPr>
          <w:sz w:val="20"/>
          <w:szCs w:val="20"/>
          <w:color w:val="auto"/>
        </w:rPr>
      </w:pPr>
    </w:p>
    <w:p>
      <w:pPr>
        <w:ind w:left="980" w:right="120" w:hanging="400"/>
        <w:spacing w:after="0" w:line="257"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Audit fees consist of fees for the audit of our consolidated financial statements, the review of the unaudited interim financial statements included in our quarterly reports on Form 10-Q, and other professional services provided in connection with statutory and regulatory filings or which include services provided in connection with our filings with the SEC under the Securities Act of 1933, as amended (the “Securities Act”).</w:t>
      </w:r>
    </w:p>
    <w:p>
      <w:pPr>
        <w:spacing w:after="0" w:line="39" w:lineRule="exact"/>
        <w:rPr>
          <w:rFonts w:ascii="Arial" w:cs="Arial" w:eastAsia="Arial" w:hAnsi="Arial"/>
          <w:sz w:val="15"/>
          <w:szCs w:val="15"/>
          <w:color w:val="auto"/>
        </w:rPr>
      </w:pPr>
    </w:p>
    <w:p>
      <w:pPr>
        <w:ind w:left="980" w:hanging="400"/>
        <w:spacing w:after="0"/>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Audit-related fees consist primarily of service organization control examinations and other attestation services.</w:t>
      </w:r>
    </w:p>
    <w:p>
      <w:pPr>
        <w:spacing w:after="0" w:line="74" w:lineRule="exact"/>
        <w:rPr>
          <w:rFonts w:ascii="Arial" w:cs="Arial" w:eastAsia="Arial" w:hAnsi="Arial"/>
          <w:sz w:val="15"/>
          <w:szCs w:val="15"/>
          <w:color w:val="auto"/>
        </w:rPr>
      </w:pPr>
    </w:p>
    <w:p>
      <w:pPr>
        <w:ind w:left="980" w:hanging="400"/>
        <w:spacing w:after="0"/>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Tax fees comprise fees for a variety of permissible services relating to international tax compliance, tax planning, and tax advice.</w:t>
      </w:r>
    </w:p>
    <w:p>
      <w:pPr>
        <w:spacing w:after="0" w:line="74" w:lineRule="exact"/>
        <w:rPr>
          <w:rFonts w:ascii="Arial" w:cs="Arial" w:eastAsia="Arial" w:hAnsi="Arial"/>
          <w:sz w:val="15"/>
          <w:szCs w:val="15"/>
          <w:color w:val="auto"/>
        </w:rPr>
      </w:pPr>
    </w:p>
    <w:p>
      <w:pPr>
        <w:ind w:left="980" w:hanging="400"/>
        <w:spacing w:after="0"/>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All other fees were paid for an online technical accounting research tool.</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Audit Committee 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0"/>
        <w:spacing w:after="0" w:line="235" w:lineRule="auto"/>
        <w:rPr>
          <w:sz w:val="20"/>
          <w:szCs w:val="20"/>
          <w:color w:val="auto"/>
        </w:rPr>
      </w:pPr>
      <w:r>
        <w:rPr>
          <w:rFonts w:ascii="Arial" w:cs="Arial" w:eastAsia="Arial" w:hAnsi="Arial"/>
          <w:sz w:val="18"/>
          <w:szCs w:val="18"/>
          <w:color w:val="auto"/>
        </w:rPr>
        <w:t>All audit and non-audit services provided by Ernst &amp; Young to Sabre are pre-approved by the Audit Committee using the following procedures. At the first regularly scheduled meeting of the Audit Committee each year, the Audit Committee reviews a proposal, together with the related fees, to engage Ernst &amp; Young for audit services. In addition, also at the first regularly scheduled meeting of the year, our Audit Committee reviews non-audit services to be provided by Ernst &amp; Young during the year. At each subsequent in-person meeting, the Audit Committee reviews, if applicable, updated information regarding approved services and highlights any new audit and non-audit services to be provided by Ernst &amp; Young. All new non-audit services to be provided are described in individual requests for services. The Audit Committee reviews the individual requests for non-audit services and approves the services if acceptable to the Audit Committee.</w:t>
      </w:r>
    </w:p>
    <w:p>
      <w:pPr>
        <w:spacing w:after="0" w:line="9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38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194310</wp:posOffset>
            </wp:positionV>
            <wp:extent cx="3069590" cy="149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69590" cy="149225"/>
                    </a:xfrm>
                    <a:prstGeom prst="rect">
                      <a:avLst/>
                    </a:prstGeom>
                    <a:noFill/>
                  </pic:spPr>
                </pic:pic>
              </a:graphicData>
            </a:graphic>
          </wp:anchor>
        </w:drawing>
      </w:r>
    </w:p>
    <w:p>
      <w:pPr>
        <w:spacing w:after="0" w:line="311"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FFFFFF"/>
        </w:rPr>
        <w:t>PROPOSAL 2: RATIFICATION OF INDEPENDENT AUDITORS</w:t>
      </w:r>
    </w:p>
    <w:p>
      <w:pPr>
        <w:spacing w:after="0" w:line="239" w:lineRule="exact"/>
        <w:rPr>
          <w:sz w:val="20"/>
          <w:szCs w:val="20"/>
          <w:color w:val="auto"/>
        </w:rPr>
      </w:pPr>
    </w:p>
    <w:p>
      <w:pPr>
        <w:ind w:left="580" w:right="180"/>
        <w:spacing w:after="0" w:line="237" w:lineRule="auto"/>
        <w:rPr>
          <w:sz w:val="20"/>
          <w:szCs w:val="20"/>
          <w:color w:val="auto"/>
        </w:rPr>
      </w:pPr>
      <w:r>
        <w:rPr>
          <w:rFonts w:ascii="Arial" w:cs="Arial" w:eastAsia="Arial" w:hAnsi="Arial"/>
          <w:sz w:val="18"/>
          <w:szCs w:val="18"/>
          <w:color w:val="auto"/>
        </w:rPr>
        <w:t>Predictable and recurring covered services and their related fee estimates or fee arrangements are considered for general pre-approval by the full Audit Committee on an annual basis at the first regularly scheduled meeting of the year, based on information that is sufficiently detailed to identify the scope of the services to be provided. General pre-approval of any covered services is effective for the applicable fiscal year. A covered service and its related fee estimate or fee arrangement that has not received general pre-approval must be pre-approved by the Audit Committee or the Chair of the Audit Committee.</w:t>
      </w:r>
    </w:p>
    <w:p>
      <w:pPr>
        <w:spacing w:after="0" w:line="158" w:lineRule="exact"/>
        <w:rPr>
          <w:sz w:val="20"/>
          <w:szCs w:val="20"/>
          <w:color w:val="auto"/>
        </w:rPr>
      </w:pPr>
    </w:p>
    <w:p>
      <w:pPr>
        <w:ind w:left="580" w:right="20"/>
        <w:spacing w:after="0" w:line="236" w:lineRule="auto"/>
        <w:rPr>
          <w:sz w:val="20"/>
          <w:szCs w:val="20"/>
          <w:color w:val="auto"/>
        </w:rPr>
      </w:pPr>
      <w:r>
        <w:rPr>
          <w:rFonts w:ascii="Arial" w:cs="Arial" w:eastAsia="Arial" w:hAnsi="Arial"/>
          <w:sz w:val="18"/>
          <w:szCs w:val="18"/>
          <w:color w:val="auto"/>
        </w:rPr>
        <w:t>In considering whether to pre-approve a covered service, the Audit Committee considers the nature and scope of the proposed service in light of applicable law, as well as the principles and other guidance enunciated by the SEC and the Public Company Accounting Oversight Board (“PCAOB”) with respect to auditor independence, including that an auditor cannot</w:t>
      </w:r>
    </w:p>
    <w:p>
      <w:pPr>
        <w:spacing w:after="0" w:line="1" w:lineRule="exact"/>
        <w:rPr>
          <w:sz w:val="20"/>
          <w:szCs w:val="20"/>
          <w:color w:val="auto"/>
        </w:rPr>
      </w:pPr>
    </w:p>
    <w:p>
      <w:pPr>
        <w:ind w:left="580" w:right="20"/>
        <w:spacing w:after="0" w:line="232" w:lineRule="auto"/>
        <w:tabs>
          <w:tab w:leader="none" w:pos="8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function in the role of management, (2) audit his or her own work, or (3) serve in an advocacy role for his or her client. The Audit Committee also considers whether the independent auditors are best positioned to provide the most effective and efficient service, for reasons such as their familiarity with our business, people, culture, accounting systems, risk profile, and other factors, and whether the service might enhance our ability to manage or control risk, or improve audit quality. All these factors are considered as a whole, and no one factor is necessarily determinative. The Audit Committee is also mindful of the ratio of fees for audit to non-audit services in determining whether to grant pre-approval for any service, and considers whether the level of non-audit services, even if permissible under applicable law, is appropriate in light of the independence of the auditor.</w:t>
      </w:r>
    </w:p>
    <w:p>
      <w:pPr>
        <w:spacing w:after="0" w:line="162" w:lineRule="exact"/>
        <w:rPr>
          <w:sz w:val="20"/>
          <w:szCs w:val="20"/>
          <w:color w:val="auto"/>
        </w:rPr>
      </w:pPr>
    </w:p>
    <w:p>
      <w:pPr>
        <w:ind w:left="580" w:right="40"/>
        <w:spacing w:after="0" w:line="242" w:lineRule="auto"/>
        <w:rPr>
          <w:sz w:val="20"/>
          <w:szCs w:val="20"/>
          <w:color w:val="auto"/>
        </w:rPr>
      </w:pPr>
      <w:r>
        <w:rPr>
          <w:rFonts w:ascii="Arial" w:cs="Arial" w:eastAsia="Arial" w:hAnsi="Arial"/>
          <w:sz w:val="18"/>
          <w:szCs w:val="18"/>
          <w:color w:val="auto"/>
        </w:rPr>
        <w:t>To ensure prompt handling of unexpected matters, the Audit Committee has delegated to the Chair of the Audit Committee the authority to pre-approve any individual covered services that are not the subject of general pre-approval and for which the aggregate estimated fees do not exceed $250,000. Actions taken are reported to the Audit Committee at its next Committee meeting. All services and fees in 2022 were pre-approved by the Audit Committee or the Chair of the Audit Committee.</w:t>
      </w:r>
    </w:p>
    <w:p>
      <w:pPr>
        <w:spacing w:after="0" w:line="253" w:lineRule="exact"/>
        <w:rPr>
          <w:sz w:val="20"/>
          <w:szCs w:val="20"/>
          <w:color w:val="auto"/>
        </w:rPr>
      </w:pPr>
    </w:p>
    <w:p>
      <w:pPr>
        <w:ind w:left="580" w:right="200"/>
        <w:spacing w:after="0" w:line="27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CF0A2C"/>
        </w:rPr>
        <w:t>FOR</w:t>
      </w:r>
      <w:r>
        <w:rPr>
          <w:rFonts w:ascii="Arial" w:cs="Arial" w:eastAsia="Arial" w:hAnsi="Arial"/>
          <w:sz w:val="18"/>
          <w:szCs w:val="18"/>
          <w:b w:val="1"/>
          <w:bCs w:val="1"/>
          <w:color w:val="auto"/>
        </w:rPr>
        <w:t xml:space="preserve"> ratification of the appointment of Ernst &amp; Young LLP as our independent auditors for the fiscal year ending December 31, 2023.</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The Audit Committee operates under a written charter adopted by the Board of Directors. In accordance with this charter, the Audit Committee assists the Board in fulfilling its oversight responsibility relating to the integrity of Sabre’s financial statements and internal control system. Management and the independent auditors are responsible for the planning and conduct of audits, as well as for any determination that Sabre’s financial statements are complete, accurate, and in accordance with accounting principles generally accepted in the United States of America (“GAAP”). The Audit Committee is responsible for the oversight of management and the independent auditors in connection with this process.</w:t>
      </w:r>
    </w:p>
    <w:p>
      <w:pPr>
        <w:spacing w:after="0" w:line="158" w:lineRule="exact"/>
        <w:rPr>
          <w:sz w:val="20"/>
          <w:szCs w:val="20"/>
          <w:color w:val="auto"/>
        </w:rPr>
      </w:pPr>
    </w:p>
    <w:p>
      <w:pPr>
        <w:jc w:val="both"/>
        <w:ind w:left="580" w:right="80"/>
        <w:spacing w:after="0" w:line="248" w:lineRule="auto"/>
        <w:rPr>
          <w:sz w:val="20"/>
          <w:szCs w:val="20"/>
          <w:color w:val="auto"/>
        </w:rPr>
      </w:pPr>
      <w:r>
        <w:rPr>
          <w:rFonts w:ascii="Arial" w:cs="Arial" w:eastAsia="Arial" w:hAnsi="Arial"/>
          <w:sz w:val="18"/>
          <w:szCs w:val="18"/>
          <w:color w:val="auto"/>
        </w:rPr>
        <w:t>In addition, the Audit Committee is responsible for monitoring the independence of and the risk assessment procedures used by the independent auditors, selecting, and retaining the independent auditors, and overseeing compliance with various laws and regulations.</w:t>
      </w:r>
    </w:p>
    <w:p>
      <w:pPr>
        <w:spacing w:after="0" w:line="150" w:lineRule="exact"/>
        <w:rPr>
          <w:sz w:val="20"/>
          <w:szCs w:val="20"/>
          <w:color w:val="auto"/>
        </w:rPr>
      </w:pPr>
    </w:p>
    <w:p>
      <w:pPr>
        <w:jc w:val="both"/>
        <w:ind w:left="580" w:right="20"/>
        <w:spacing w:after="0" w:line="248" w:lineRule="auto"/>
        <w:rPr>
          <w:sz w:val="20"/>
          <w:szCs w:val="20"/>
          <w:color w:val="auto"/>
        </w:rPr>
      </w:pPr>
      <w:r>
        <w:rPr>
          <w:rFonts w:ascii="Arial" w:cs="Arial" w:eastAsia="Arial" w:hAnsi="Arial"/>
          <w:sz w:val="18"/>
          <w:szCs w:val="18"/>
          <w:color w:val="auto"/>
        </w:rPr>
        <w:t>In discharging its oversight responsibilities, the Audit Committee reviewed and discussed Sabre’s audited financial statements with management and Ernst &amp; Young, Sabre’s independent auditors. The Audit Committee also discussed with Ernst &amp; Young all communications required by the auditing standards of the PCAOB.</w:t>
      </w:r>
    </w:p>
    <w:p>
      <w:pPr>
        <w:spacing w:after="0" w:line="88"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3006725" cy="149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06725" cy="149225"/>
                    </a:xfrm>
                    <a:prstGeom prst="rect">
                      <a:avLst/>
                    </a:prstGeom>
                    <a:noFill/>
                  </pic:spPr>
                </pic:pic>
              </a:graphicData>
            </a:graphic>
          </wp:anchor>
        </w:drawing>
      </w:r>
    </w:p>
    <w:p>
      <w:pPr>
        <w:spacing w:after="0" w:line="311"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FFFFFF"/>
        </w:rPr>
        <w:t>PROPOSAL 2: RATIFICATION OF INDEPENDENT AUDITORS</w:t>
      </w:r>
    </w:p>
    <w:p>
      <w:pPr>
        <w:spacing w:after="0" w:line="239" w:lineRule="exact"/>
        <w:rPr>
          <w:sz w:val="20"/>
          <w:szCs w:val="20"/>
          <w:color w:val="auto"/>
        </w:rPr>
      </w:pPr>
    </w:p>
    <w:p>
      <w:pPr>
        <w:ind w:left="580" w:right="40"/>
        <w:spacing w:after="0" w:line="248" w:lineRule="auto"/>
        <w:rPr>
          <w:sz w:val="20"/>
          <w:szCs w:val="20"/>
          <w:color w:val="auto"/>
        </w:rPr>
      </w:pPr>
      <w:r>
        <w:rPr>
          <w:rFonts w:ascii="Arial" w:cs="Arial" w:eastAsia="Arial" w:hAnsi="Arial"/>
          <w:sz w:val="18"/>
          <w:szCs w:val="18"/>
          <w:color w:val="auto"/>
        </w:rPr>
        <w:t>The Audit Committee received the written disclosures and letter from Ernst &amp; Young required by applicable requirements of the PCAOB regarding Ernst &amp; Young’s communications with the Audit Committee concerning independence and has discussed Ernst &amp; Young’s independence with them.</w:t>
      </w:r>
    </w:p>
    <w:p>
      <w:pPr>
        <w:spacing w:after="0" w:line="150" w:lineRule="exact"/>
        <w:rPr>
          <w:sz w:val="20"/>
          <w:szCs w:val="20"/>
          <w:color w:val="auto"/>
        </w:rPr>
      </w:pPr>
    </w:p>
    <w:p>
      <w:pPr>
        <w:ind w:left="580" w:right="480"/>
        <w:spacing w:after="0" w:line="267" w:lineRule="auto"/>
        <w:rPr>
          <w:sz w:val="20"/>
          <w:szCs w:val="20"/>
          <w:color w:val="auto"/>
        </w:rPr>
      </w:pPr>
      <w:r>
        <w:rPr>
          <w:rFonts w:ascii="Arial" w:cs="Arial" w:eastAsia="Arial" w:hAnsi="Arial"/>
          <w:sz w:val="18"/>
          <w:szCs w:val="18"/>
          <w:color w:val="auto"/>
        </w:rPr>
        <w:t>The Audit Committee has relied on management’s representation that the financial statements have been prepared in accordance with GAAP and on the opinion of Ernst &amp; Young included in their report on Sabre’s financial statements.</w:t>
      </w:r>
    </w:p>
    <w:p>
      <w:pPr>
        <w:spacing w:after="0" w:line="133" w:lineRule="exact"/>
        <w:rPr>
          <w:sz w:val="20"/>
          <w:szCs w:val="20"/>
          <w:color w:val="auto"/>
        </w:rPr>
      </w:pPr>
    </w:p>
    <w:p>
      <w:pPr>
        <w:ind w:left="580"/>
        <w:spacing w:after="0" w:line="248" w:lineRule="auto"/>
        <w:rPr>
          <w:sz w:val="20"/>
          <w:szCs w:val="20"/>
          <w:color w:val="auto"/>
        </w:rPr>
      </w:pPr>
      <w:r>
        <w:rPr>
          <w:rFonts w:ascii="Arial" w:cs="Arial" w:eastAsia="Arial" w:hAnsi="Arial"/>
          <w:sz w:val="18"/>
          <w:szCs w:val="18"/>
          <w:color w:val="auto"/>
        </w:rPr>
        <w:t>Based on the above-mentioned review and discussions with management and the auditors, the Audit Committee recommended to the Board of Directors that the audited financial statements be included in Sabre’s Annual Report on Form 10-K for the year ended December 31, 2022, for filing with the SEC.</w:t>
      </w:r>
    </w:p>
    <w:p>
      <w:pPr>
        <w:spacing w:after="0" w:line="15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AUDIT COMMITTEE OF</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THE BOARD OF DIRECTORS</w:t>
      </w:r>
    </w:p>
    <w:p>
      <w:pPr>
        <w:spacing w:after="0" w:line="17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George Bravante, Jr., Chair</w:t>
      </w:r>
    </w:p>
    <w:p>
      <w:pPr>
        <w:ind w:left="6040"/>
        <w:spacing w:after="0"/>
        <w:rPr>
          <w:sz w:val="20"/>
          <w:szCs w:val="20"/>
          <w:color w:val="auto"/>
        </w:rPr>
      </w:pPr>
      <w:r>
        <w:rPr>
          <w:rFonts w:ascii="Arial" w:cs="Arial" w:eastAsia="Arial" w:hAnsi="Arial"/>
          <w:sz w:val="18"/>
          <w:szCs w:val="18"/>
          <w:color w:val="auto"/>
        </w:rPr>
        <w:t>Hervé Couturier</w:t>
      </w:r>
    </w:p>
    <w:p>
      <w:pPr>
        <w:ind w:left="6040"/>
        <w:spacing w:after="0" w:line="229" w:lineRule="auto"/>
        <w:rPr>
          <w:sz w:val="20"/>
          <w:szCs w:val="20"/>
          <w:color w:val="auto"/>
        </w:rPr>
      </w:pPr>
      <w:r>
        <w:rPr>
          <w:rFonts w:ascii="Arial" w:cs="Arial" w:eastAsia="Arial" w:hAnsi="Arial"/>
          <w:sz w:val="18"/>
          <w:szCs w:val="18"/>
          <w:color w:val="auto"/>
        </w:rPr>
        <w:t>Gail Mandel</w:t>
      </w:r>
    </w:p>
    <w:p>
      <w:pPr>
        <w:ind w:left="6040"/>
        <w:spacing w:after="0"/>
        <w:rPr>
          <w:sz w:val="20"/>
          <w:szCs w:val="20"/>
          <w:color w:val="auto"/>
        </w:rPr>
      </w:pPr>
      <w:r>
        <w:rPr>
          <w:rFonts w:ascii="Arial" w:cs="Arial" w:eastAsia="Arial" w:hAnsi="Arial"/>
          <w:sz w:val="18"/>
          <w:szCs w:val="18"/>
          <w:color w:val="auto"/>
        </w:rPr>
        <w:t>Phyllis Newhouse</w:t>
      </w:r>
    </w:p>
    <w:p>
      <w:pPr>
        <w:spacing w:after="0" w:line="110"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40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460"/>
          </w:cols>
          <w:pgMar w:left="320" w:top="453" w:right="11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194310</wp:posOffset>
            </wp:positionV>
            <wp:extent cx="5314950" cy="149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14950" cy="149225"/>
                    </a:xfrm>
                    <a:prstGeom prst="rect">
                      <a:avLst/>
                    </a:prstGeom>
                    <a:noFill/>
                  </pic:spPr>
                </pic:pic>
              </a:graphicData>
            </a:graphic>
          </wp:anchor>
        </w:drawing>
      </w:r>
    </w:p>
    <w:p>
      <w:pPr>
        <w:spacing w:after="0" w:line="311"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PROPOSAL 3: APPROVAL OF THE SABRE</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CORPORATION 2023 OMNIBUS INCENTIVE</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COMPENSATION PLAN</w:t>
      </w:r>
    </w:p>
    <w:p>
      <w:pPr>
        <w:spacing w:after="0" w:line="177"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In March 2023, our Board of Directors adopted the Sabre Corporation 2023 Omnibus Incentive Compensation Plan (the “2023 Omnibus Plan”), subject to approval by our stockholders at the 2023 Annual Meeting.</w:t>
      </w:r>
    </w:p>
    <w:p>
      <w:pPr>
        <w:spacing w:after="0" w:line="133" w:lineRule="exact"/>
        <w:rPr>
          <w:sz w:val="20"/>
          <w:szCs w:val="20"/>
          <w:color w:val="auto"/>
        </w:rPr>
      </w:pPr>
    </w:p>
    <w:p>
      <w:pPr>
        <w:ind w:left="580" w:right="40"/>
        <w:spacing w:after="0" w:line="234" w:lineRule="auto"/>
        <w:rPr>
          <w:sz w:val="20"/>
          <w:szCs w:val="20"/>
          <w:color w:val="auto"/>
        </w:rPr>
      </w:pPr>
      <w:r>
        <w:rPr>
          <w:rFonts w:ascii="Arial" w:cs="Arial" w:eastAsia="Arial" w:hAnsi="Arial"/>
          <w:sz w:val="18"/>
          <w:szCs w:val="18"/>
          <w:color w:val="auto"/>
        </w:rPr>
        <w:t>We have the 2021 Omnibus Plan in place as of the date of this proxy statement, and as of December 31, 2022, there were 11,464,941 shares of our common stock available for issuance under the 2021 Omnibus Plan. We expect to utilize an additional approximately 95,000 shares of common stock under the 2021 Omnibus Plan through the date of the 2023 Annual Meeting, which will result in approximately 11,369,941 shares of common stock available for issuance under the 2021 Omnibus Plan as the date of the 2023 Annual Meeting. We have also approved the grant of awards contingent on the approval of the 2023 Omnibus Plan, which is not included in this amount. See “—New Plan Benefits.” Subject to approval of the 2023 Omnibus Plan by stockholders, the 2023 Omnibus Plan will replace the 2021 Omnibus Plan for grants made after the 2023 Annual Meeting, which will also increase the number of shares authorized for issuance pursuant to our equity-based compensation plans.</w:t>
      </w:r>
    </w:p>
    <w:p>
      <w:pPr>
        <w:spacing w:after="0" w:line="162" w:lineRule="exact"/>
        <w:rPr>
          <w:sz w:val="20"/>
          <w:szCs w:val="20"/>
          <w:color w:val="auto"/>
        </w:rPr>
      </w:pPr>
    </w:p>
    <w:p>
      <w:pPr>
        <w:ind w:left="580" w:right="40"/>
        <w:spacing w:after="0" w:line="239" w:lineRule="auto"/>
        <w:rPr>
          <w:sz w:val="20"/>
          <w:szCs w:val="20"/>
          <w:color w:val="auto"/>
        </w:rPr>
      </w:pPr>
      <w:r>
        <w:rPr>
          <w:rFonts w:ascii="Arial" w:cs="Arial" w:eastAsia="Arial" w:hAnsi="Arial"/>
          <w:sz w:val="18"/>
          <w:szCs w:val="18"/>
          <w:color w:val="auto"/>
        </w:rPr>
        <w:t>The 2023 Omnibus Plan is a critical part of Sabre’s overall compensation program and is intended to promote the interests of Sabre and its stockholders by providing Sabre’s employees, who are responsible for the management, growth, and protection of Sabre’s business, with incentives and rewards to encourage them to continue in the service of Sabre. The 2023 Omnibus Plan is designed to meet these objectives by providing employees with a proprietary interest aligned with the long-term growth, profitability, and financial success of Sabre.</w:t>
      </w:r>
    </w:p>
    <w:p>
      <w:pPr>
        <w:spacing w:after="0" w:line="156" w:lineRule="exact"/>
        <w:rPr>
          <w:sz w:val="20"/>
          <w:szCs w:val="20"/>
          <w:color w:val="auto"/>
        </w:rPr>
      </w:pPr>
    </w:p>
    <w:p>
      <w:pPr>
        <w:ind w:left="580" w:right="140"/>
        <w:spacing w:after="0" w:line="267" w:lineRule="auto"/>
        <w:rPr>
          <w:sz w:val="20"/>
          <w:szCs w:val="20"/>
          <w:color w:val="auto"/>
        </w:rPr>
      </w:pPr>
      <w:r>
        <w:rPr>
          <w:rFonts w:ascii="Arial" w:cs="Arial" w:eastAsia="Arial" w:hAnsi="Arial"/>
          <w:sz w:val="18"/>
          <w:szCs w:val="18"/>
          <w:color w:val="auto"/>
        </w:rPr>
        <w:t>As with the 2021 Omnibus Plan, non-employee directors are not eligible to participate in the plan; instead, they participate in the 2022 Director Plan.</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Alignment of 2023 Omnibus Plan with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144780</wp:posOffset>
            </wp:positionV>
            <wp:extent cx="640588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236" w:lineRule="exact"/>
        <w:rPr>
          <w:sz w:val="20"/>
          <w:szCs w:val="20"/>
          <w:color w:val="auto"/>
        </w:rPr>
      </w:pPr>
    </w:p>
    <w:p>
      <w:pPr>
        <w:ind w:left="580" w:right="500"/>
        <w:spacing w:after="0" w:line="253" w:lineRule="auto"/>
        <w:rPr>
          <w:sz w:val="20"/>
          <w:szCs w:val="20"/>
          <w:color w:val="auto"/>
        </w:rPr>
      </w:pPr>
      <w:r>
        <w:rPr>
          <w:rFonts w:ascii="Arial" w:cs="Arial" w:eastAsia="Arial" w:hAnsi="Arial"/>
          <w:sz w:val="18"/>
          <w:szCs w:val="18"/>
          <w:color w:val="auto"/>
        </w:rPr>
        <w:t>The 2023 Omnibus Plan is designed to reinforce the alignment of our equity compensation opportunities for officers and employees with stockholders’ interests and, as highlighted below, includes a number of noteworthy provisions.</w:t>
      </w:r>
    </w:p>
    <w:p>
      <w:pPr>
        <w:spacing w:after="0" w:line="70" w:lineRule="exact"/>
        <w:rPr>
          <w:sz w:val="20"/>
          <w:szCs w:val="20"/>
          <w:color w:val="auto"/>
        </w:rPr>
      </w:pPr>
    </w:p>
    <w:p>
      <w:pPr>
        <w:ind w:left="780" w:right="140" w:hanging="200"/>
        <w:spacing w:after="0" w:line="186" w:lineRule="auto"/>
        <w:tabs>
          <w:tab w:leader="none" w:pos="780" w:val="left"/>
        </w:tabs>
        <w:numPr>
          <w:ilvl w:val="0"/>
          <w:numId w:val="28"/>
        </w:numPr>
        <w:rPr>
          <w:rFonts w:ascii="Arial" w:cs="Arial" w:eastAsia="Arial" w:hAnsi="Arial"/>
          <w:sz w:val="34"/>
          <w:szCs w:val="34"/>
          <w:color w:val="auto"/>
          <w:vertAlign w:val="subscript"/>
        </w:rPr>
      </w:pPr>
      <w:r>
        <w:rPr>
          <w:rFonts w:ascii="Arial" w:cs="Arial" w:eastAsia="Arial" w:hAnsi="Arial"/>
          <w:sz w:val="15"/>
          <w:szCs w:val="15"/>
          <w:i w:val="1"/>
          <w:iCs w:val="1"/>
          <w:color w:val="auto"/>
        </w:rPr>
        <w:t>No Discounted Stock Options</w:t>
      </w:r>
      <w:r>
        <w:rPr>
          <w:rFonts w:ascii="Arial" w:cs="Arial" w:eastAsia="Arial" w:hAnsi="Arial"/>
          <w:sz w:val="15"/>
          <w:szCs w:val="15"/>
          <w:color w:val="auto"/>
        </w:rPr>
        <w:t>. Stock options may not be granted with an exercise price lower than the fair market value of</w:t>
      </w:r>
      <w:r>
        <w:rPr>
          <w:rFonts w:ascii="Arial" w:cs="Arial" w:eastAsia="Arial" w:hAnsi="Arial"/>
          <w:sz w:val="15"/>
          <w:szCs w:val="15"/>
          <w:i w:val="1"/>
          <w:iCs w:val="1"/>
          <w:color w:val="auto"/>
        </w:rPr>
        <w:t xml:space="preserve"> </w:t>
      </w:r>
      <w:r>
        <w:rPr>
          <w:rFonts w:ascii="Arial" w:cs="Arial" w:eastAsia="Arial" w:hAnsi="Arial"/>
          <w:sz w:val="15"/>
          <w:szCs w:val="15"/>
          <w:color w:val="auto"/>
        </w:rPr>
        <w:t>the underlying shares on the date of grant.</w:t>
      </w:r>
    </w:p>
    <w:p>
      <w:pPr>
        <w:spacing w:after="0" w:line="70" w:lineRule="exact"/>
        <w:rPr>
          <w:rFonts w:ascii="Arial" w:cs="Arial" w:eastAsia="Arial" w:hAnsi="Arial"/>
          <w:sz w:val="34"/>
          <w:szCs w:val="34"/>
          <w:color w:val="auto"/>
          <w:vertAlign w:val="subscript"/>
        </w:rPr>
      </w:pPr>
    </w:p>
    <w:p>
      <w:pPr>
        <w:ind w:left="780" w:right="60" w:hanging="200"/>
        <w:spacing w:after="0" w:line="188" w:lineRule="auto"/>
        <w:tabs>
          <w:tab w:leader="none" w:pos="780" w:val="left"/>
        </w:tabs>
        <w:numPr>
          <w:ilvl w:val="0"/>
          <w:numId w:val="28"/>
        </w:numPr>
        <w:rPr>
          <w:rFonts w:ascii="Arial" w:cs="Arial" w:eastAsia="Arial" w:hAnsi="Arial"/>
          <w:sz w:val="46"/>
          <w:szCs w:val="46"/>
          <w:color w:val="auto"/>
          <w:vertAlign w:val="subscript"/>
        </w:rPr>
      </w:pPr>
      <w:r>
        <w:rPr>
          <w:rFonts w:ascii="Arial" w:cs="Arial" w:eastAsia="Arial" w:hAnsi="Arial"/>
          <w:sz w:val="18"/>
          <w:szCs w:val="18"/>
          <w:i w:val="1"/>
          <w:iCs w:val="1"/>
          <w:color w:val="auto"/>
        </w:rPr>
        <w:t>No Repricings/Cash Buyouts without Stockholder Approval</w:t>
      </w:r>
      <w:r>
        <w:rPr>
          <w:rFonts w:ascii="Arial" w:cs="Arial" w:eastAsia="Arial" w:hAnsi="Arial"/>
          <w:sz w:val="18"/>
          <w:szCs w:val="18"/>
          <w:color w:val="auto"/>
        </w:rPr>
        <w:t>. The 2023 Omnibus Plan prohibits, without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 stock option or a stock appreciation right from being repurchased for cash at a time when the exercise or strike price, as applicable, is equal to or greater than the fair market value of the underlying shares. The 2023 Omnibus Plan also prohibits any stock option or stock appreciation right from being re-priced, replaced, re-granted through cancellation, or modified without stockholder approval if the effect would be to reduce the exercise or strike price, as applicable, for the shares underlying the option or stock appreciation right.</w:t>
      </w:r>
    </w:p>
    <w:p>
      <w:pPr>
        <w:spacing w:after="0" w:line="98"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5369560" cy="1492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69560" cy="149225"/>
                    </a:xfrm>
                    <a:prstGeom prst="rect">
                      <a:avLst/>
                    </a:prstGeom>
                    <a:noFill/>
                  </pic:spPr>
                </pic:pic>
              </a:graphicData>
            </a:graphic>
          </wp:anchor>
        </w:drawing>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9" w:lineRule="exact"/>
        <w:rPr>
          <w:sz w:val="20"/>
          <w:szCs w:val="20"/>
          <w:color w:val="auto"/>
        </w:rPr>
      </w:pPr>
    </w:p>
    <w:p>
      <w:pPr>
        <w:ind w:left="780" w:right="260" w:hanging="200"/>
        <w:spacing w:after="0" w:line="186" w:lineRule="auto"/>
        <w:tabs>
          <w:tab w:leader="none" w:pos="780" w:val="left"/>
        </w:tabs>
        <w:numPr>
          <w:ilvl w:val="0"/>
          <w:numId w:val="29"/>
        </w:numPr>
        <w:rPr>
          <w:rFonts w:ascii="Arial" w:cs="Arial" w:eastAsia="Arial" w:hAnsi="Arial"/>
          <w:sz w:val="34"/>
          <w:szCs w:val="34"/>
          <w:color w:val="auto"/>
          <w:vertAlign w:val="subscript"/>
        </w:rPr>
      </w:pPr>
      <w:r>
        <w:rPr>
          <w:rFonts w:ascii="Arial" w:cs="Arial" w:eastAsia="Arial" w:hAnsi="Arial"/>
          <w:sz w:val="15"/>
          <w:szCs w:val="15"/>
          <w:i w:val="1"/>
          <w:iCs w:val="1"/>
          <w:color w:val="auto"/>
        </w:rPr>
        <w:t>No “Evergreen” Provision</w:t>
      </w:r>
      <w:r>
        <w:rPr>
          <w:rFonts w:ascii="Arial" w:cs="Arial" w:eastAsia="Arial" w:hAnsi="Arial"/>
          <w:sz w:val="15"/>
          <w:szCs w:val="15"/>
          <w:color w:val="auto"/>
        </w:rPr>
        <w:t>. There is no “evergreen” feature pursuant to which the shares available for issuance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2023 Omnibus Plan can be automatically replenished.</w:t>
      </w:r>
    </w:p>
    <w:p>
      <w:pPr>
        <w:spacing w:after="0" w:line="70" w:lineRule="exact"/>
        <w:rPr>
          <w:rFonts w:ascii="Arial" w:cs="Arial" w:eastAsia="Arial" w:hAnsi="Arial"/>
          <w:sz w:val="34"/>
          <w:szCs w:val="34"/>
          <w:color w:val="auto"/>
          <w:vertAlign w:val="subscript"/>
        </w:rPr>
      </w:pPr>
    </w:p>
    <w:p>
      <w:pPr>
        <w:ind w:left="780" w:right="640" w:hanging="200"/>
        <w:spacing w:after="0" w:line="186" w:lineRule="auto"/>
        <w:tabs>
          <w:tab w:leader="none" w:pos="780" w:val="left"/>
        </w:tabs>
        <w:numPr>
          <w:ilvl w:val="0"/>
          <w:numId w:val="29"/>
        </w:numPr>
        <w:rPr>
          <w:rFonts w:ascii="Arial" w:cs="Arial" w:eastAsia="Arial" w:hAnsi="Arial"/>
          <w:sz w:val="34"/>
          <w:szCs w:val="34"/>
          <w:color w:val="auto"/>
          <w:vertAlign w:val="subscript"/>
        </w:rPr>
      </w:pPr>
      <w:r>
        <w:rPr>
          <w:rFonts w:ascii="Arial" w:cs="Arial" w:eastAsia="Arial" w:hAnsi="Arial"/>
          <w:sz w:val="15"/>
          <w:szCs w:val="15"/>
          <w:i w:val="1"/>
          <w:iCs w:val="1"/>
          <w:color w:val="auto"/>
        </w:rPr>
        <w:t>No Transferability</w:t>
      </w:r>
      <w:r>
        <w:rPr>
          <w:rFonts w:ascii="Arial" w:cs="Arial" w:eastAsia="Arial" w:hAnsi="Arial"/>
          <w:sz w:val="15"/>
          <w:szCs w:val="15"/>
          <w:color w:val="auto"/>
        </w:rPr>
        <w:t>. Awards generally may not be transferred, except by will or the laws of descent and distribution or</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a qualified domestic relations order, unless approved by the Compensation Committee.</w:t>
      </w:r>
    </w:p>
    <w:p>
      <w:pPr>
        <w:spacing w:after="0" w:line="1"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29"/>
        </w:numPr>
        <w:rPr>
          <w:rFonts w:ascii="Arial" w:cs="Arial" w:eastAsia="Arial" w:hAnsi="Arial"/>
          <w:sz w:val="35"/>
          <w:szCs w:val="35"/>
          <w:color w:val="auto"/>
          <w:vertAlign w:val="subscript"/>
        </w:rPr>
      </w:pPr>
      <w:r>
        <w:rPr>
          <w:rFonts w:ascii="Arial" w:cs="Arial" w:eastAsia="Arial" w:hAnsi="Arial"/>
          <w:sz w:val="16"/>
          <w:szCs w:val="16"/>
          <w:i w:val="1"/>
          <w:iCs w:val="1"/>
          <w:color w:val="auto"/>
        </w:rPr>
        <w:t>No Automatic Grants</w:t>
      </w:r>
      <w:r>
        <w:rPr>
          <w:rFonts w:ascii="Arial" w:cs="Arial" w:eastAsia="Arial" w:hAnsi="Arial"/>
          <w:sz w:val="16"/>
          <w:szCs w:val="16"/>
          <w:color w:val="auto"/>
        </w:rPr>
        <w:t>. The 2023 Omnibus Plan does not provide for “reload” or other automatic grants to participants.</w:t>
      </w:r>
    </w:p>
    <w:p>
      <w:pPr>
        <w:spacing w:after="0" w:line="65" w:lineRule="exact"/>
        <w:rPr>
          <w:rFonts w:ascii="Arial" w:cs="Arial" w:eastAsia="Arial" w:hAnsi="Arial"/>
          <w:sz w:val="35"/>
          <w:szCs w:val="35"/>
          <w:color w:val="auto"/>
          <w:vertAlign w:val="subscript"/>
        </w:rPr>
      </w:pPr>
    </w:p>
    <w:p>
      <w:pPr>
        <w:ind w:left="780" w:hanging="200"/>
        <w:spacing w:after="0" w:line="184" w:lineRule="auto"/>
        <w:tabs>
          <w:tab w:leader="none" w:pos="780" w:val="left"/>
        </w:tabs>
        <w:numPr>
          <w:ilvl w:val="0"/>
          <w:numId w:val="29"/>
        </w:numPr>
        <w:rPr>
          <w:rFonts w:ascii="Arial" w:cs="Arial" w:eastAsia="Arial" w:hAnsi="Arial"/>
          <w:sz w:val="36"/>
          <w:szCs w:val="36"/>
          <w:color w:val="auto"/>
          <w:vertAlign w:val="subscript"/>
        </w:rPr>
      </w:pPr>
      <w:r>
        <w:rPr>
          <w:rFonts w:ascii="Arial" w:cs="Arial" w:eastAsia="Arial" w:hAnsi="Arial"/>
          <w:sz w:val="16"/>
          <w:szCs w:val="16"/>
          <w:i w:val="1"/>
          <w:iCs w:val="1"/>
          <w:color w:val="auto"/>
        </w:rPr>
        <w:t>No Tax Gross-ups</w:t>
      </w:r>
      <w:r>
        <w:rPr>
          <w:rFonts w:ascii="Arial" w:cs="Arial" w:eastAsia="Arial" w:hAnsi="Arial"/>
          <w:sz w:val="16"/>
          <w:szCs w:val="16"/>
          <w:color w:val="auto"/>
        </w:rPr>
        <w:t>. The 2023 Omnibus Plan does not provide for any tax gross-ups.</w:t>
      </w:r>
    </w:p>
    <w:p>
      <w:pPr>
        <w:spacing w:after="0" w:line="143" w:lineRule="exact"/>
        <w:rPr>
          <w:rFonts w:ascii="Arial" w:cs="Arial" w:eastAsia="Arial" w:hAnsi="Arial"/>
          <w:sz w:val="36"/>
          <w:szCs w:val="36"/>
          <w:color w:val="auto"/>
          <w:vertAlign w:val="subscript"/>
        </w:rPr>
      </w:pPr>
    </w:p>
    <w:p>
      <w:pPr>
        <w:ind w:left="780" w:right="140" w:hanging="200"/>
        <w:spacing w:after="0" w:line="185" w:lineRule="auto"/>
        <w:tabs>
          <w:tab w:leader="none" w:pos="780" w:val="left"/>
        </w:tabs>
        <w:numPr>
          <w:ilvl w:val="0"/>
          <w:numId w:val="29"/>
        </w:numPr>
        <w:rPr>
          <w:rFonts w:ascii="Arial" w:cs="Arial" w:eastAsia="Arial" w:hAnsi="Arial"/>
          <w:sz w:val="43"/>
          <w:szCs w:val="43"/>
          <w:color w:val="auto"/>
          <w:vertAlign w:val="subscript"/>
        </w:rPr>
      </w:pPr>
      <w:r>
        <w:rPr>
          <w:rFonts w:ascii="Arial" w:cs="Arial" w:eastAsia="Arial" w:hAnsi="Arial"/>
          <w:sz w:val="17"/>
          <w:szCs w:val="17"/>
          <w:i w:val="1"/>
          <w:iCs w:val="1"/>
          <w:color w:val="auto"/>
        </w:rPr>
        <w:t>Compensation Recovery (“Clawback”)</w:t>
      </w:r>
      <w:r>
        <w:rPr>
          <w:rFonts w:ascii="Arial" w:cs="Arial" w:eastAsia="Arial" w:hAnsi="Arial"/>
          <w:sz w:val="17"/>
          <w:szCs w:val="17"/>
          <w:color w:val="auto"/>
        </w:rPr>
        <w:t>. The 2023 Omnibus Plan provides that Sabre is entitled, to the extent permitted or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applicable law, Sabre policy (including our Executive Compensation Recovery Policy), or the requirements of any national securities exchange on which Sabre’s shares are listed for trading, to claw back compensation paid by Sabre to a participant under the 2023 Omnibus Plan.</w:t>
      </w:r>
    </w:p>
    <w:p>
      <w:pPr>
        <w:spacing w:after="0" w:line="69" w:lineRule="exact"/>
        <w:rPr>
          <w:rFonts w:ascii="Arial" w:cs="Arial" w:eastAsia="Arial" w:hAnsi="Arial"/>
          <w:sz w:val="43"/>
          <w:szCs w:val="43"/>
          <w:color w:val="auto"/>
          <w:vertAlign w:val="subscript"/>
        </w:rPr>
      </w:pPr>
    </w:p>
    <w:p>
      <w:pPr>
        <w:ind w:left="780" w:right="160" w:hanging="200"/>
        <w:spacing w:after="0" w:line="185" w:lineRule="auto"/>
        <w:tabs>
          <w:tab w:leader="none" w:pos="780" w:val="left"/>
        </w:tabs>
        <w:numPr>
          <w:ilvl w:val="0"/>
          <w:numId w:val="29"/>
        </w:numPr>
        <w:rPr>
          <w:rFonts w:ascii="Arial" w:cs="Arial" w:eastAsia="Arial" w:hAnsi="Arial"/>
          <w:sz w:val="43"/>
          <w:szCs w:val="43"/>
          <w:color w:val="auto"/>
          <w:vertAlign w:val="subscript"/>
        </w:rPr>
      </w:pPr>
      <w:r>
        <w:rPr>
          <w:rFonts w:ascii="Arial" w:cs="Arial" w:eastAsia="Arial" w:hAnsi="Arial"/>
          <w:sz w:val="17"/>
          <w:szCs w:val="17"/>
          <w:i w:val="1"/>
          <w:iCs w:val="1"/>
          <w:color w:val="auto"/>
        </w:rPr>
        <w:t xml:space="preserve">No Single Trigger Vesting Upon a Change in Control. </w:t>
      </w:r>
      <w:r>
        <w:rPr>
          <w:rFonts w:ascii="Arial" w:cs="Arial" w:eastAsia="Arial" w:hAnsi="Arial"/>
          <w:sz w:val="17"/>
          <w:szCs w:val="17"/>
          <w:color w:val="auto"/>
        </w:rPr>
        <w:t>The 2023 Omnibus Plan provides that all outstanding equity awards</w:t>
      </w:r>
      <w:r>
        <w:rPr>
          <w:rFonts w:ascii="Arial" w:cs="Arial" w:eastAsia="Arial" w:hAnsi="Arial"/>
          <w:sz w:val="17"/>
          <w:szCs w:val="17"/>
          <w:i w:val="1"/>
          <w:iCs w:val="1"/>
          <w:color w:val="auto"/>
        </w:rPr>
        <w:t xml:space="preserve"> </w:t>
      </w:r>
      <w:r>
        <w:rPr>
          <w:rFonts w:ascii="Arial" w:cs="Arial" w:eastAsia="Arial" w:hAnsi="Arial"/>
          <w:sz w:val="17"/>
          <w:szCs w:val="17"/>
          <w:color w:val="auto"/>
        </w:rPr>
        <w:t>will become exercisable and/or vest in the event of a change in control of Sabre only if these awards are not assumed, continued, or substituted by the surviving corporation, or if the holder undergoes a qualifying termination of employment following a change in control of Sabre.</w:t>
      </w:r>
    </w:p>
    <w:p>
      <w:pPr>
        <w:spacing w:after="0" w:line="69" w:lineRule="exact"/>
        <w:rPr>
          <w:rFonts w:ascii="Arial" w:cs="Arial" w:eastAsia="Arial" w:hAnsi="Arial"/>
          <w:sz w:val="43"/>
          <w:szCs w:val="43"/>
          <w:color w:val="auto"/>
          <w:vertAlign w:val="subscript"/>
        </w:rPr>
      </w:pPr>
    </w:p>
    <w:p>
      <w:pPr>
        <w:ind w:left="780" w:right="120" w:hanging="200"/>
        <w:spacing w:after="0" w:line="181" w:lineRule="auto"/>
        <w:tabs>
          <w:tab w:leader="none" w:pos="780" w:val="left"/>
        </w:tabs>
        <w:numPr>
          <w:ilvl w:val="0"/>
          <w:numId w:val="29"/>
        </w:numPr>
        <w:rPr>
          <w:rFonts w:ascii="Arial" w:cs="Arial" w:eastAsia="Arial" w:hAnsi="Arial"/>
          <w:sz w:val="39"/>
          <w:szCs w:val="39"/>
          <w:color w:val="auto"/>
          <w:vertAlign w:val="subscript"/>
        </w:rPr>
      </w:pPr>
      <w:r>
        <w:rPr>
          <w:rFonts w:ascii="Arial" w:cs="Arial" w:eastAsia="Arial" w:hAnsi="Arial"/>
          <w:sz w:val="17"/>
          <w:szCs w:val="17"/>
          <w:i w:val="1"/>
          <w:iCs w:val="1"/>
          <w:color w:val="auto"/>
        </w:rPr>
        <w:t>No Liberal Share Recycling</w:t>
      </w:r>
      <w:r>
        <w:rPr>
          <w:rFonts w:ascii="Arial" w:cs="Arial" w:eastAsia="Arial" w:hAnsi="Arial"/>
          <w:sz w:val="17"/>
          <w:szCs w:val="17"/>
          <w:color w:val="auto"/>
        </w:rPr>
        <w:t>. Shares of our common stock used to pay the exercise price (whether through actual or</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constructive transfer) or tax withholding requirements related to any award granted under the 2023 Omnibus Plan may not be regranted, issued, or transferred under the 2023 Omnibus Plan.</w:t>
      </w:r>
    </w:p>
    <w:p>
      <w:pPr>
        <w:spacing w:after="0" w:line="71" w:lineRule="exact"/>
        <w:rPr>
          <w:rFonts w:ascii="Arial" w:cs="Arial" w:eastAsia="Arial" w:hAnsi="Arial"/>
          <w:sz w:val="39"/>
          <w:szCs w:val="39"/>
          <w:color w:val="auto"/>
          <w:vertAlign w:val="subscript"/>
        </w:rPr>
      </w:pPr>
    </w:p>
    <w:p>
      <w:pPr>
        <w:ind w:left="780" w:right="300" w:hanging="200"/>
        <w:spacing w:after="0" w:line="186" w:lineRule="auto"/>
        <w:tabs>
          <w:tab w:leader="none" w:pos="780" w:val="left"/>
        </w:tabs>
        <w:numPr>
          <w:ilvl w:val="0"/>
          <w:numId w:val="29"/>
        </w:numPr>
        <w:rPr>
          <w:rFonts w:ascii="Arial" w:cs="Arial" w:eastAsia="Arial" w:hAnsi="Arial"/>
          <w:sz w:val="34"/>
          <w:szCs w:val="34"/>
          <w:color w:val="auto"/>
          <w:vertAlign w:val="subscript"/>
        </w:rPr>
      </w:pPr>
      <w:r>
        <w:rPr>
          <w:rFonts w:ascii="Arial" w:cs="Arial" w:eastAsia="Arial" w:hAnsi="Arial"/>
          <w:sz w:val="15"/>
          <w:szCs w:val="15"/>
          <w:i w:val="1"/>
          <w:iCs w:val="1"/>
          <w:color w:val="auto"/>
        </w:rPr>
        <w:t xml:space="preserve">Minimum Vesting Period. </w:t>
      </w:r>
      <w:r>
        <w:rPr>
          <w:rFonts w:ascii="Arial" w:cs="Arial" w:eastAsia="Arial" w:hAnsi="Arial"/>
          <w:sz w:val="15"/>
          <w:szCs w:val="15"/>
          <w:color w:val="auto"/>
        </w:rPr>
        <w:t>95% of the shares of our common stock issued pursuant to an equity award granted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2023 Omnibus Plan will be subject to a minimum one-year vesting requirement.</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Key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40"/>
        <w:spacing w:after="0" w:line="248" w:lineRule="auto"/>
        <w:rPr>
          <w:sz w:val="20"/>
          <w:szCs w:val="20"/>
          <w:color w:val="auto"/>
        </w:rPr>
      </w:pPr>
      <w:r>
        <w:rPr>
          <w:rFonts w:ascii="Arial" w:cs="Arial" w:eastAsia="Arial" w:hAnsi="Arial"/>
          <w:sz w:val="18"/>
          <w:szCs w:val="18"/>
          <w:color w:val="auto"/>
        </w:rPr>
        <w:t>The following table includes information regarding outstanding equity awards, shares available for grants of future equity awards under the 2021 Omnibus Plan and the 2022 Director Plan, and the total weighted number of shares of our common stock outstanding as of December 31, 2022 (and without giving effect to approval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124460</wp:posOffset>
            </wp:positionV>
            <wp:extent cx="15875" cy="12636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875" cy="1263650"/>
                    </a:xfrm>
                    <a:prstGeom prst="rect">
                      <a:avLst/>
                    </a:prstGeom>
                    <a:noFill/>
                  </pic:spPr>
                </pic:pic>
              </a:graphicData>
            </a:graphic>
          </wp:anchor>
        </w:drawing>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64"/>
        </w:trPr>
        <w:tc>
          <w:tcPr>
            <w:tcW w:w="87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Total shares underlying outstanding options</w:t>
            </w:r>
          </w:p>
        </w:tc>
        <w:tc>
          <w:tcPr>
            <w:tcW w:w="240" w:type="dxa"/>
            <w:vAlign w:val="bottom"/>
            <w:tcBorders>
              <w:bottom w:val="single" w:sz="8" w:color="E5E5E5"/>
            </w:tcBorders>
            <w:shd w:val="clear" w:color="auto" w:fill="E5E5E5"/>
          </w:tcPr>
          <w:p>
            <w:pPr>
              <w:spacing w:after="0"/>
              <w:rPr>
                <w:sz w:val="22"/>
                <w:szCs w:val="22"/>
                <w:color w:val="auto"/>
              </w:rPr>
            </w:pPr>
          </w:p>
        </w:tc>
        <w:tc>
          <w:tcPr>
            <w:tcW w:w="1120" w:type="dxa"/>
            <w:vAlign w:val="bottom"/>
            <w:tcBorders>
              <w:bottom w:val="single" w:sz="8" w:color="E5E5E5"/>
            </w:tcBorders>
            <w:shd w:val="clear" w:color="auto" w:fill="E5E5E5"/>
          </w:tcPr>
          <w:p>
            <w:pPr>
              <w:jc w:val="right"/>
              <w:ind w:right="98"/>
              <w:spacing w:after="0"/>
              <w:rPr>
                <w:sz w:val="20"/>
                <w:szCs w:val="20"/>
                <w:color w:val="auto"/>
              </w:rPr>
            </w:pPr>
            <w:r>
              <w:rPr>
                <w:rFonts w:ascii="Arial" w:cs="Arial" w:eastAsia="Arial" w:hAnsi="Arial"/>
                <w:sz w:val="16"/>
                <w:szCs w:val="16"/>
                <w:color w:val="auto"/>
              </w:rPr>
              <w:t>2,635,556</w:t>
            </w:r>
          </w:p>
        </w:tc>
      </w:tr>
      <w:tr>
        <w:trPr>
          <w:trHeight w:val="250"/>
        </w:trPr>
        <w:tc>
          <w:tcPr>
            <w:tcW w:w="8720" w:type="dxa"/>
            <w:vAlign w:val="bottom"/>
          </w:tcPr>
          <w:p>
            <w:pPr>
              <w:ind w:left="60"/>
              <w:spacing w:after="0"/>
              <w:rPr>
                <w:sz w:val="20"/>
                <w:szCs w:val="20"/>
                <w:color w:val="auto"/>
              </w:rPr>
            </w:pPr>
            <w:r>
              <w:rPr>
                <w:rFonts w:ascii="Arial" w:cs="Arial" w:eastAsia="Arial" w:hAnsi="Arial"/>
                <w:sz w:val="16"/>
                <w:szCs w:val="16"/>
                <w:color w:val="auto"/>
              </w:rPr>
              <w:t>Weighted average exercise price of outstanding options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13.64</w:t>
            </w:r>
          </w:p>
        </w:tc>
      </w:tr>
      <w:tr>
        <w:trPr>
          <w:trHeight w:val="35"/>
        </w:trPr>
        <w:tc>
          <w:tcPr>
            <w:tcW w:w="8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87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Weighted average remaining contractual life of outstanding options</w:t>
            </w:r>
          </w:p>
        </w:tc>
        <w:tc>
          <w:tcPr>
            <w:tcW w:w="240" w:type="dxa"/>
            <w:vAlign w:val="bottom"/>
            <w:tcBorders>
              <w:bottom w:val="single" w:sz="8" w:color="E5E5E5"/>
            </w:tcBorders>
            <w:shd w:val="clear" w:color="auto" w:fill="E5E5E5"/>
          </w:tcPr>
          <w:p>
            <w:pPr>
              <w:spacing w:after="0"/>
              <w:rPr>
                <w:sz w:val="22"/>
                <w:szCs w:val="22"/>
                <w:color w:val="auto"/>
              </w:rPr>
            </w:pPr>
          </w:p>
        </w:tc>
        <w:tc>
          <w:tcPr>
            <w:tcW w:w="1120" w:type="dxa"/>
            <w:vAlign w:val="bottom"/>
            <w:tcBorders>
              <w:bottom w:val="single" w:sz="8" w:color="E5E5E5"/>
            </w:tcBorders>
            <w:shd w:val="clear" w:color="auto" w:fill="E5E5E5"/>
          </w:tcPr>
          <w:p>
            <w:pPr>
              <w:jc w:val="right"/>
              <w:ind w:right="98"/>
              <w:spacing w:after="0"/>
              <w:rPr>
                <w:sz w:val="20"/>
                <w:szCs w:val="20"/>
                <w:color w:val="auto"/>
              </w:rPr>
            </w:pPr>
            <w:r>
              <w:rPr>
                <w:rFonts w:ascii="Arial" w:cs="Arial" w:eastAsia="Arial" w:hAnsi="Arial"/>
                <w:sz w:val="16"/>
                <w:szCs w:val="16"/>
                <w:color w:val="auto"/>
              </w:rPr>
              <w:t>5.2 years</w:t>
            </w:r>
          </w:p>
        </w:tc>
      </w:tr>
      <w:tr>
        <w:trPr>
          <w:trHeight w:val="284"/>
        </w:trPr>
        <w:tc>
          <w:tcPr>
            <w:tcW w:w="8720" w:type="dxa"/>
            <w:vAlign w:val="bottom"/>
          </w:tcPr>
          <w:p>
            <w:pPr>
              <w:ind w:left="60"/>
              <w:spacing w:after="0"/>
              <w:rPr>
                <w:sz w:val="20"/>
                <w:szCs w:val="20"/>
                <w:color w:val="auto"/>
              </w:rPr>
            </w:pPr>
            <w:r>
              <w:rPr>
                <w:rFonts w:ascii="Arial" w:cs="Arial" w:eastAsia="Arial" w:hAnsi="Arial"/>
                <w:sz w:val="16"/>
                <w:szCs w:val="16"/>
                <w:color w:val="auto"/>
              </w:rPr>
              <w:t>Total shares underlying outstanding unvested restricted stock unit awards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10,710,075</w:t>
            </w:r>
            <w:r>
              <w:rPr>
                <w:rFonts w:ascii="Arial" w:cs="Arial" w:eastAsia="Arial" w:hAnsi="Arial"/>
                <w:sz w:val="24"/>
                <w:szCs w:val="24"/>
                <w:color w:val="auto"/>
                <w:vertAlign w:val="superscript"/>
              </w:rPr>
              <w:t>(1)</w:t>
            </w:r>
          </w:p>
        </w:tc>
      </w:tr>
      <w:tr>
        <w:trPr>
          <w:trHeight w:val="284"/>
        </w:trPr>
        <w:tc>
          <w:tcPr>
            <w:tcW w:w="872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shares available for grant</w:t>
            </w:r>
          </w:p>
        </w:tc>
        <w:tc>
          <w:tcPr>
            <w:tcW w:w="2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12,262,319</w:t>
            </w:r>
            <w:r>
              <w:rPr>
                <w:rFonts w:ascii="Arial" w:cs="Arial" w:eastAsia="Arial" w:hAnsi="Arial"/>
                <w:sz w:val="24"/>
                <w:szCs w:val="24"/>
                <w:color w:val="auto"/>
                <w:vertAlign w:val="superscript"/>
              </w:rPr>
              <w:t>(2)</w:t>
            </w:r>
          </w:p>
        </w:tc>
      </w:tr>
      <w:tr>
        <w:trPr>
          <w:trHeight w:val="284"/>
        </w:trPr>
        <w:tc>
          <w:tcPr>
            <w:tcW w:w="8720" w:type="dxa"/>
            <w:vAlign w:val="bottom"/>
          </w:tcPr>
          <w:p>
            <w:pPr>
              <w:ind w:left="60"/>
              <w:spacing w:after="0"/>
              <w:rPr>
                <w:sz w:val="20"/>
                <w:szCs w:val="20"/>
                <w:color w:val="auto"/>
              </w:rPr>
            </w:pPr>
            <w:r>
              <w:rPr>
                <w:rFonts w:ascii="Arial" w:cs="Arial" w:eastAsia="Arial" w:hAnsi="Arial"/>
                <w:sz w:val="16"/>
                <w:szCs w:val="16"/>
                <w:color w:val="auto"/>
              </w:rPr>
              <w:t>Total shares available for grant as full-value awards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12,262,319</w:t>
            </w:r>
            <w:r>
              <w:rPr>
                <w:rFonts w:ascii="Arial" w:cs="Arial" w:eastAsia="Arial" w:hAnsi="Arial"/>
                <w:sz w:val="24"/>
                <w:szCs w:val="24"/>
                <w:color w:val="auto"/>
                <w:vertAlign w:val="superscript"/>
              </w:rPr>
              <w:t>(3)</w:t>
            </w:r>
          </w:p>
        </w:tc>
      </w:tr>
      <w:tr>
        <w:trPr>
          <w:trHeight w:val="250"/>
        </w:trPr>
        <w:tc>
          <w:tcPr>
            <w:tcW w:w="872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weighted number of shares of common stock outstanding</w:t>
            </w:r>
          </w:p>
        </w:tc>
        <w:tc>
          <w:tcPr>
            <w:tcW w:w="240" w:type="dxa"/>
            <w:vAlign w:val="bottom"/>
            <w:shd w:val="clear" w:color="auto" w:fill="E5E5E5"/>
          </w:tcPr>
          <w:p>
            <w:pPr>
              <w:spacing w:after="0"/>
              <w:rPr>
                <w:sz w:val="21"/>
                <w:szCs w:val="21"/>
                <w:color w:val="auto"/>
              </w:rPr>
            </w:pPr>
          </w:p>
        </w:tc>
        <w:tc>
          <w:tcPr>
            <w:tcW w:w="1120" w:type="dxa"/>
            <w:vAlign w:val="bottom"/>
            <w:shd w:val="clear" w:color="auto" w:fill="E5E5E5"/>
          </w:tcPr>
          <w:p>
            <w:pPr>
              <w:jc w:val="right"/>
              <w:ind w:right="98"/>
              <w:spacing w:after="0"/>
              <w:rPr>
                <w:sz w:val="20"/>
                <w:szCs w:val="20"/>
                <w:color w:val="auto"/>
              </w:rPr>
            </w:pPr>
            <w:r>
              <w:rPr>
                <w:rFonts w:ascii="Arial" w:cs="Arial" w:eastAsia="Arial" w:hAnsi="Arial"/>
                <w:sz w:val="16"/>
                <w:szCs w:val="16"/>
                <w:color w:val="auto"/>
              </w:rPr>
              <w:t>326,741,960</w:t>
            </w:r>
          </w:p>
        </w:tc>
      </w:tr>
      <w:tr>
        <w:trPr>
          <w:trHeight w:val="35"/>
        </w:trPr>
        <w:tc>
          <w:tcPr>
            <w:tcW w:w="8720" w:type="dxa"/>
            <w:vAlign w:val="bottom"/>
            <w:shd w:val="clear" w:color="auto" w:fill="E5E5E5"/>
          </w:tcPr>
          <w:p>
            <w:pPr>
              <w:spacing w:after="0"/>
              <w:rPr>
                <w:sz w:val="3"/>
                <w:szCs w:val="3"/>
                <w:color w:val="auto"/>
              </w:rPr>
            </w:pPr>
          </w:p>
        </w:tc>
        <w:tc>
          <w:tcPr>
            <w:tcW w:w="240" w:type="dxa"/>
            <w:vAlign w:val="bottom"/>
            <w:shd w:val="clear" w:color="auto" w:fill="E5E5E5"/>
          </w:tcPr>
          <w:p>
            <w:pPr>
              <w:spacing w:after="0"/>
              <w:rPr>
                <w:sz w:val="3"/>
                <w:szCs w:val="3"/>
                <w:color w:val="auto"/>
              </w:rPr>
            </w:pPr>
          </w:p>
        </w:tc>
        <w:tc>
          <w:tcPr>
            <w:tcW w:w="1120" w:type="dxa"/>
            <w:vAlign w:val="bottom"/>
            <w:shd w:val="clear" w:color="auto" w:fill="E5E5E5"/>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41" w:lineRule="exact"/>
        <w:rPr>
          <w:sz w:val="20"/>
          <w:szCs w:val="20"/>
          <w:color w:val="auto"/>
        </w:rPr>
      </w:pPr>
    </w:p>
    <w:p>
      <w:pPr>
        <w:ind w:left="980" w:right="80" w:hanging="400"/>
        <w:spacing w:after="0" w:line="273" w:lineRule="auto"/>
        <w:tabs>
          <w:tab w:leader="none" w:pos="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Represents shares underlying outstanding unvested time-based restricted stock unit awards. As of December 31, 2022, there were also 3,439,728 shares underlying outstanding unvested performance-based restricted stock unit awards, assuming vesting at target levels.</w:t>
      </w:r>
    </w:p>
    <w:p>
      <w:pPr>
        <w:spacing w:after="0" w:line="81"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42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194310</wp:posOffset>
            </wp:positionV>
            <wp:extent cx="5314950" cy="149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314950" cy="149225"/>
                    </a:xfrm>
                    <a:prstGeom prst="rect">
                      <a:avLst/>
                    </a:prstGeom>
                    <a:noFill/>
                  </pic:spPr>
                </pic:pic>
              </a:graphicData>
            </a:graphic>
          </wp:anchor>
        </w:drawing>
      </w:r>
    </w:p>
    <w:p>
      <w:pPr>
        <w:spacing w:after="0" w:line="311"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48" w:lineRule="exact"/>
        <w:rPr>
          <w:sz w:val="20"/>
          <w:szCs w:val="20"/>
          <w:color w:val="auto"/>
        </w:rPr>
      </w:pPr>
    </w:p>
    <w:p>
      <w:pPr>
        <w:ind w:left="980" w:right="300" w:hanging="400"/>
        <w:spacing w:after="0" w:line="257" w:lineRule="auto"/>
        <w:tabs>
          <w:tab w:leader="none" w:pos="9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Total shares available for grant under the 2021 Omnibus Plan and under the 2022 Director Plan as of December 31, 2022 were 11,464,941 and 797,378, respectively. Total shares projected to be available under the 2021 Omnibus Plan and under the 2022 Director Plan as of the Annual Meeting are projected to be 11,369,941 and 797,378, respectively.</w:t>
      </w:r>
    </w:p>
    <w:p>
      <w:pPr>
        <w:spacing w:after="0" w:line="76" w:lineRule="exact"/>
        <w:rPr>
          <w:rFonts w:ascii="Arial" w:cs="Arial" w:eastAsia="Arial" w:hAnsi="Arial"/>
          <w:sz w:val="15"/>
          <w:szCs w:val="15"/>
          <w:color w:val="auto"/>
        </w:rPr>
      </w:pPr>
    </w:p>
    <w:p>
      <w:pPr>
        <w:ind w:left="980" w:right="140" w:hanging="400"/>
        <w:spacing w:after="0" w:line="273" w:lineRule="auto"/>
        <w:tabs>
          <w:tab w:leader="none" w:pos="9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Total shares available for grant as full-value awards under the 2021 Omnibus Plan and under the 2022 Director Plan as of the Annual Meeting are projected to be 11,369,941 and 797,378, respectively.</w:t>
      </w:r>
    </w:p>
    <w:p>
      <w:pPr>
        <w:spacing w:after="0" w:line="143"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Based on our historical practice, the Board of Directors believes the shares available for grant under the 2023 Omnibus Plan will be sufficient to cover awards for approximately the next two to three years, depending on circumstances such as significant market value fluctuations, vesting levels of performance-based restricted stock unit awards, off-cycle awards, or acquisitions. Since our initial public offering in April 2014, we granted equity awards (gross equity grants, which do not reflect the impact of cancellations) representing a total of approximately 4,996,677 shares in 2014, 2,824,579 shares in 2015, 4,777,809 shares in 2016, 5,681,376 shares in 2017, 5,693,562 shares in 2018, 5,901,260 shares in 2019, 13,596,722 shares in 2020, 5,782,957 shares in 2021, and 9,904,798 shares in 2022. We expect to grant equity awards representing a total of approximately 95,000 through the date of the 2023 Annual Meeting. We have also approved the grant of awards contingent on the approval of the 2023 Omnibus Plan. See “—New Plan Benefits.”</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Summary of Terms of the 2023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jc w:val="both"/>
        <w:ind w:left="580" w:right="60"/>
        <w:spacing w:after="0" w:line="248" w:lineRule="auto"/>
        <w:rPr>
          <w:sz w:val="20"/>
          <w:szCs w:val="20"/>
          <w:color w:val="auto"/>
        </w:rPr>
      </w:pPr>
      <w:r>
        <w:rPr>
          <w:rFonts w:ascii="Arial" w:cs="Arial" w:eastAsia="Arial" w:hAnsi="Arial"/>
          <w:sz w:val="18"/>
          <w:szCs w:val="18"/>
          <w:color w:val="auto"/>
        </w:rPr>
        <w:t xml:space="preserve">The principal features of the 2023 Omnibus Plan are described below. This summary is qualified in its entirety by reference to the full text of the 2023 Omnibus Plan,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incorporated in this proxy statement by reference. Please refer to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more information.</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Term</w:t>
      </w:r>
    </w:p>
    <w:p>
      <w:pPr>
        <w:spacing w:after="0" w:line="88"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Awards under the 2023 Omnibus Plan may be granted for a term of ten years following the date that stockholders approve the 2023 Omnibus Plan at the 2023 Annual Meeting.</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Administration</w:t>
      </w:r>
    </w:p>
    <w:p>
      <w:pPr>
        <w:spacing w:after="0" w:line="88" w:lineRule="exact"/>
        <w:rPr>
          <w:sz w:val="20"/>
          <w:szCs w:val="20"/>
          <w:color w:val="auto"/>
        </w:rPr>
      </w:pPr>
    </w:p>
    <w:p>
      <w:pPr>
        <w:ind w:left="580"/>
        <w:spacing w:after="0" w:line="235" w:lineRule="auto"/>
        <w:rPr>
          <w:sz w:val="20"/>
          <w:szCs w:val="20"/>
          <w:color w:val="auto"/>
        </w:rPr>
      </w:pPr>
      <w:r>
        <w:rPr>
          <w:rFonts w:ascii="Arial" w:cs="Arial" w:eastAsia="Arial" w:hAnsi="Arial"/>
          <w:sz w:val="18"/>
          <w:szCs w:val="18"/>
          <w:color w:val="auto"/>
        </w:rPr>
        <w:t>The 2023 Omnibus Plan is administered by our Board of Directors, the Compensation Committee of our Board of Directors, or such other committee as designated by our Board of Directors (the “Committee”). Among the Committee’s powers under the 2023 Omnibus Plan is the power to determine those employees who will be granted awards and the amount, type, and other terms and conditions of awards. The Committee may also prescribe agreements evidencing or settling the terms of any awards, and any amendments thereto; grant awards alone or in addition to, in tandem with, or in substitution or exchange for (subject to restrictions on repricing stock options and stock appreciation rights, as described below), any other award, any award granted under the Prior Plans or that of any business entity we are acquiring, or any other right of the plan participant to receive payment from us.</w:t>
      </w:r>
    </w:p>
    <w:p>
      <w:pPr>
        <w:spacing w:after="0" w:line="159" w:lineRule="exact"/>
        <w:rPr>
          <w:sz w:val="20"/>
          <w:szCs w:val="20"/>
          <w:color w:val="auto"/>
        </w:rPr>
      </w:pPr>
    </w:p>
    <w:p>
      <w:pPr>
        <w:ind w:left="580" w:right="220"/>
        <w:spacing w:after="0" w:line="239" w:lineRule="auto"/>
        <w:rPr>
          <w:sz w:val="20"/>
          <w:szCs w:val="20"/>
          <w:color w:val="auto"/>
        </w:rPr>
      </w:pPr>
      <w:r>
        <w:rPr>
          <w:rFonts w:ascii="Arial" w:cs="Arial" w:eastAsia="Arial" w:hAnsi="Arial"/>
          <w:sz w:val="18"/>
          <w:szCs w:val="18"/>
          <w:color w:val="auto"/>
        </w:rPr>
        <w:t>“Prior Plans” mean the 2021 Omnibus Plan, the Sabre Corporation 2019 Omnibus Incentive Compensation Plan (the “2019 Omnibus Plan”), the Sabre Corporation 2016 Omnibus Incentive Compensation Plan (the “2016 Omnibus Plan”), the Sabre Corporation 2014 Omnibus Incentive Compensation Plan (the “2014 Omnibus Plan”), the Sovereign Holdings, Inc. 2012 Management Equity Incentive Plan (the “Sovereign 2012 MEIP”), the Sovereign Holdings, Inc. 2007 Management Equity Incentive Plan (as amended in 2010), and the Sovereign Holdings, Inc. Stock Incentive Plan (the “Sovereign MEIP”).</w:t>
      </w:r>
    </w:p>
    <w:p>
      <w:pPr>
        <w:spacing w:after="0" w:line="95"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5369560" cy="149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69560" cy="149225"/>
                    </a:xfrm>
                    <a:prstGeom prst="rect">
                      <a:avLst/>
                    </a:prstGeom>
                    <a:noFill/>
                  </pic:spPr>
                </pic:pic>
              </a:graphicData>
            </a:graphic>
          </wp:anchor>
        </w:drawing>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9" w:lineRule="exact"/>
        <w:rPr>
          <w:sz w:val="20"/>
          <w:szCs w:val="20"/>
          <w:color w:val="auto"/>
        </w:rPr>
      </w:pPr>
    </w:p>
    <w:p>
      <w:pPr>
        <w:ind w:left="580" w:right="100"/>
        <w:spacing w:after="0" w:line="248" w:lineRule="auto"/>
        <w:rPr>
          <w:sz w:val="20"/>
          <w:szCs w:val="20"/>
          <w:color w:val="auto"/>
        </w:rPr>
      </w:pPr>
      <w:r>
        <w:rPr>
          <w:rFonts w:ascii="Arial" w:cs="Arial" w:eastAsia="Arial" w:hAnsi="Arial"/>
          <w:sz w:val="18"/>
          <w:szCs w:val="18"/>
          <w:color w:val="auto"/>
        </w:rPr>
        <w:t>The Committee may delegate its powers and responsibilities under the 2023 Omnibus Plan, in writing, to a sub-committee of our Board of Directors, or delegate certain administration powers (not including the grant of awards) over the plan to one or more of our officers or employees.</w:t>
      </w:r>
    </w:p>
    <w:p>
      <w:pPr>
        <w:spacing w:after="0" w:line="150" w:lineRule="exact"/>
        <w:rPr>
          <w:sz w:val="20"/>
          <w:szCs w:val="20"/>
          <w:color w:val="auto"/>
        </w:rPr>
      </w:pPr>
    </w:p>
    <w:p>
      <w:pPr>
        <w:ind w:left="580" w:right="40"/>
        <w:spacing w:after="0" w:line="242" w:lineRule="auto"/>
        <w:rPr>
          <w:sz w:val="20"/>
          <w:szCs w:val="20"/>
          <w:color w:val="auto"/>
        </w:rPr>
      </w:pPr>
      <w:r>
        <w:rPr>
          <w:rFonts w:ascii="Arial" w:cs="Arial" w:eastAsia="Arial" w:hAnsi="Arial"/>
          <w:sz w:val="18"/>
          <w:szCs w:val="18"/>
          <w:color w:val="auto"/>
        </w:rPr>
        <w:t>The Committee has discretionary authority to interpret and construe any and all provisions of the 2023 Omnibus Plan and the terms of any award (or award agreement) granted thereunder and to adopt and amend such rules and regulations for the administration of the 2023 Omnibus Plan as it deems appropriate. Decisions of the Committee will be final, binding, and conclusive on all parties.</w:t>
      </w:r>
    </w:p>
    <w:p>
      <w:pPr>
        <w:spacing w:after="0" w:line="154" w:lineRule="exact"/>
        <w:rPr>
          <w:sz w:val="20"/>
          <w:szCs w:val="20"/>
          <w:color w:val="auto"/>
        </w:rPr>
      </w:pPr>
    </w:p>
    <w:p>
      <w:pPr>
        <w:ind w:left="580" w:right="60"/>
        <w:spacing w:after="0" w:line="233" w:lineRule="auto"/>
        <w:rPr>
          <w:sz w:val="20"/>
          <w:szCs w:val="20"/>
          <w:color w:val="auto"/>
        </w:rPr>
      </w:pPr>
      <w:r>
        <w:rPr>
          <w:rFonts w:ascii="Arial" w:cs="Arial" w:eastAsia="Arial" w:hAnsi="Arial"/>
          <w:sz w:val="18"/>
          <w:szCs w:val="18"/>
          <w:color w:val="auto"/>
        </w:rPr>
        <w:t>On or after the date of grant of any award, the Committee may accelerate the date on which any award becomes vested, exercisable, or transferable, provided that 95% of the shares underlying any stock-settled award must have a vesting period of at least one year from the date of grant.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2023 Omnibus Plan, any Prior Plan, or any equity compensation plan of any business entity we are acquiring (subject to restrictions on repricing stock options and stock appreciation rights, as described below); or provide for the payment of dividends or dividend equivalents with respect to any such award. The Committee does not have the authority and may not take any such action described in this section to the extent that the grant of such authority or the taking of such action would cause any tax to become due under Section 409A of the Internal Revenue Code of 1986, as amended (the “Code”).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not reprice any stock option or stock appreciation right without the approval of our stockholders.</w:t>
      </w:r>
    </w:p>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Shares Available for Issuance</w:t>
      </w:r>
    </w:p>
    <w:p>
      <w:pPr>
        <w:spacing w:after="0" w:line="100" w:lineRule="exact"/>
        <w:rPr>
          <w:sz w:val="20"/>
          <w:szCs w:val="20"/>
          <w:color w:val="auto"/>
        </w:rPr>
      </w:pPr>
    </w:p>
    <w:p>
      <w:pPr>
        <w:ind w:left="780" w:right="260" w:hanging="200"/>
        <w:spacing w:after="0" w:line="186" w:lineRule="auto"/>
        <w:tabs>
          <w:tab w:leader="none" w:pos="780" w:val="left"/>
        </w:tabs>
        <w:numPr>
          <w:ilvl w:val="0"/>
          <w:numId w:val="32"/>
        </w:numPr>
        <w:rPr>
          <w:rFonts w:ascii="Arial" w:cs="Arial" w:eastAsia="Arial" w:hAnsi="Arial"/>
          <w:sz w:val="34"/>
          <w:szCs w:val="34"/>
          <w:color w:val="auto"/>
          <w:vertAlign w:val="subscript"/>
        </w:rPr>
      </w:pPr>
      <w:r>
        <w:rPr>
          <w:rFonts w:ascii="Arial" w:cs="Arial" w:eastAsia="Arial" w:hAnsi="Arial"/>
          <w:sz w:val="15"/>
          <w:szCs w:val="15"/>
          <w:i w:val="1"/>
          <w:iCs w:val="1"/>
          <w:color w:val="auto"/>
        </w:rPr>
        <w:t>Available Shares</w:t>
      </w:r>
      <w:r>
        <w:rPr>
          <w:rFonts w:ascii="Arial" w:cs="Arial" w:eastAsia="Arial" w:hAnsi="Arial"/>
          <w:sz w:val="15"/>
          <w:szCs w:val="15"/>
          <w:color w:val="auto"/>
        </w:rPr>
        <w:t>. The aggregate number of shares of our common stock which may be issued under the 2023 Omnibus</w:t>
      </w:r>
      <w:r>
        <w:rPr>
          <w:rFonts w:ascii="Arial" w:cs="Arial" w:eastAsia="Arial" w:hAnsi="Arial"/>
          <w:sz w:val="15"/>
          <w:szCs w:val="15"/>
          <w:i w:val="1"/>
          <w:iCs w:val="1"/>
          <w:color w:val="auto"/>
        </w:rPr>
        <w:t xml:space="preserve"> </w:t>
      </w:r>
      <w:r>
        <w:rPr>
          <w:rFonts w:ascii="Arial" w:cs="Arial" w:eastAsia="Arial" w:hAnsi="Arial"/>
          <w:sz w:val="15"/>
          <w:szCs w:val="15"/>
          <w:color w:val="auto"/>
        </w:rPr>
        <w:t>Plan may not exceed the sum of:</w:t>
      </w:r>
    </w:p>
    <w:p>
      <w:pPr>
        <w:spacing w:after="0" w:line="70" w:lineRule="exact"/>
        <w:rPr>
          <w:rFonts w:ascii="Arial" w:cs="Arial" w:eastAsia="Arial" w:hAnsi="Arial"/>
          <w:sz w:val="34"/>
          <w:szCs w:val="34"/>
          <w:color w:val="auto"/>
          <w:vertAlign w:val="subscript"/>
        </w:rPr>
      </w:pPr>
    </w:p>
    <w:p>
      <w:pPr>
        <w:ind w:left="1560" w:hanging="486"/>
        <w:spacing w:after="0"/>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14,000,000 shares,</w:t>
      </w:r>
    </w:p>
    <w:p>
      <w:pPr>
        <w:spacing w:after="0" w:line="102" w:lineRule="exact"/>
        <w:rPr>
          <w:rFonts w:ascii="Arial" w:cs="Arial" w:eastAsia="Arial" w:hAnsi="Arial"/>
          <w:sz w:val="18"/>
          <w:szCs w:val="18"/>
          <w:color w:val="auto"/>
        </w:rPr>
      </w:pPr>
    </w:p>
    <w:p>
      <w:pPr>
        <w:ind w:left="1560" w:hanging="486"/>
        <w:spacing w:after="0"/>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number of shares that remain available for issuance under the Prior Plans as of April 26, 2023, and</w:t>
      </w:r>
    </w:p>
    <w:p>
      <w:pPr>
        <w:spacing w:after="0" w:line="102" w:lineRule="exact"/>
        <w:rPr>
          <w:rFonts w:ascii="Arial" w:cs="Arial" w:eastAsia="Arial" w:hAnsi="Arial"/>
          <w:sz w:val="18"/>
          <w:szCs w:val="18"/>
          <w:color w:val="auto"/>
        </w:rPr>
      </w:pPr>
    </w:p>
    <w:p>
      <w:pPr>
        <w:jc w:val="both"/>
        <w:ind w:left="1560" w:right="500" w:hanging="486"/>
        <w:spacing w:after="0" w:line="245" w:lineRule="auto"/>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number of shares subject to outstanding awards under the Prior Plans that may become available if the underlying awards expire, are forfeited, cancelled, or terminated, are settled for cash, or otherwise become available in accordance with the terms of such plans.</w:t>
      </w:r>
    </w:p>
    <w:p>
      <w:pPr>
        <w:spacing w:after="0" w:line="70" w:lineRule="exact"/>
        <w:rPr>
          <w:rFonts w:ascii="Arial" w:cs="Arial" w:eastAsia="Arial" w:hAnsi="Arial"/>
          <w:sz w:val="18"/>
          <w:szCs w:val="18"/>
          <w:color w:val="auto"/>
        </w:rPr>
      </w:pPr>
    </w:p>
    <w:p>
      <w:pPr>
        <w:ind w:left="780" w:right="240" w:hanging="200"/>
        <w:spacing w:after="0" w:line="186" w:lineRule="auto"/>
        <w:tabs>
          <w:tab w:leader="none" w:pos="780" w:val="left"/>
        </w:tabs>
        <w:numPr>
          <w:ilvl w:val="0"/>
          <w:numId w:val="32"/>
        </w:numPr>
        <w:rPr>
          <w:rFonts w:ascii="Arial" w:cs="Arial" w:eastAsia="Arial" w:hAnsi="Arial"/>
          <w:sz w:val="34"/>
          <w:szCs w:val="34"/>
          <w:color w:val="auto"/>
          <w:vertAlign w:val="subscript"/>
        </w:rPr>
      </w:pPr>
      <w:r>
        <w:rPr>
          <w:rFonts w:ascii="Arial" w:cs="Arial" w:eastAsia="Arial" w:hAnsi="Arial"/>
          <w:sz w:val="15"/>
          <w:szCs w:val="15"/>
          <w:i w:val="1"/>
          <w:iCs w:val="1"/>
          <w:color w:val="auto"/>
        </w:rPr>
        <w:t>Incentive Stock Options</w:t>
      </w:r>
      <w:r>
        <w:rPr>
          <w:rFonts w:ascii="Arial" w:cs="Arial" w:eastAsia="Arial" w:hAnsi="Arial"/>
          <w:sz w:val="15"/>
          <w:szCs w:val="15"/>
          <w:color w:val="auto"/>
        </w:rPr>
        <w:t>. The number of shares that may be covered by incentive stock options under the 2023 Omnibus</w:t>
      </w:r>
      <w:r>
        <w:rPr>
          <w:rFonts w:ascii="Arial" w:cs="Arial" w:eastAsia="Arial" w:hAnsi="Arial"/>
          <w:sz w:val="15"/>
          <w:szCs w:val="15"/>
          <w:i w:val="1"/>
          <w:iCs w:val="1"/>
          <w:color w:val="auto"/>
        </w:rPr>
        <w:t xml:space="preserve"> </w:t>
      </w:r>
      <w:r>
        <w:rPr>
          <w:rFonts w:ascii="Arial" w:cs="Arial" w:eastAsia="Arial" w:hAnsi="Arial"/>
          <w:sz w:val="15"/>
          <w:szCs w:val="15"/>
          <w:color w:val="auto"/>
        </w:rPr>
        <w:t>Plan may not exceed 14,000,000 shares in the aggregate.</w:t>
      </w:r>
    </w:p>
    <w:p>
      <w:pPr>
        <w:spacing w:after="0" w:line="70" w:lineRule="exact"/>
        <w:rPr>
          <w:rFonts w:ascii="Arial" w:cs="Arial" w:eastAsia="Arial" w:hAnsi="Arial"/>
          <w:sz w:val="34"/>
          <w:szCs w:val="34"/>
          <w:color w:val="auto"/>
          <w:vertAlign w:val="subscript"/>
        </w:rPr>
      </w:pPr>
    </w:p>
    <w:p>
      <w:pPr>
        <w:ind w:left="780" w:right="400" w:hanging="200"/>
        <w:spacing w:after="0" w:line="186" w:lineRule="auto"/>
        <w:tabs>
          <w:tab w:leader="none" w:pos="780" w:val="left"/>
        </w:tabs>
        <w:numPr>
          <w:ilvl w:val="0"/>
          <w:numId w:val="32"/>
        </w:numPr>
        <w:rPr>
          <w:rFonts w:ascii="Arial" w:cs="Arial" w:eastAsia="Arial" w:hAnsi="Arial"/>
          <w:sz w:val="34"/>
          <w:szCs w:val="34"/>
          <w:color w:val="auto"/>
          <w:vertAlign w:val="subscript"/>
        </w:rPr>
      </w:pPr>
      <w:r>
        <w:rPr>
          <w:rFonts w:ascii="Arial" w:cs="Arial" w:eastAsia="Arial" w:hAnsi="Arial"/>
          <w:sz w:val="15"/>
          <w:szCs w:val="15"/>
          <w:color w:val="auto"/>
        </w:rPr>
        <w:t>The shares to be delivered under the 2023 Omnibus Plan may be authorized and unissued shares or shares held in or acquired for our treasury, or both.</w:t>
      </w:r>
    </w:p>
    <w:p>
      <w:pPr>
        <w:spacing w:after="0" w:line="157"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In general, if awards under the 2023 Omnibus Plan expire or are forfeited, cancelled, or terminated without the issuance of shares, or are settled for cash in lieu of shares, or are exchanged for an award not involving shares, the shares covered by such awards will again become available for the grant of awards under the 2023 Omnibus Plan. However, if the exercise price or tax withholding requirements related to any award under the 2023 Omnibus Plan are satisfied through our withholding of shares otherwise then</w:t>
      </w:r>
    </w:p>
    <w:p>
      <w:pPr>
        <w:spacing w:after="0" w:line="95"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44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194310</wp:posOffset>
            </wp:positionV>
            <wp:extent cx="5314950" cy="149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14950" cy="149225"/>
                    </a:xfrm>
                    <a:prstGeom prst="rect">
                      <a:avLst/>
                    </a:prstGeom>
                    <a:noFill/>
                  </pic:spPr>
                </pic:pic>
              </a:graphicData>
            </a:graphic>
          </wp:anchor>
        </w:drawing>
      </w:r>
    </w:p>
    <w:p>
      <w:pPr>
        <w:spacing w:after="0" w:line="311"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9" w:lineRule="exact"/>
        <w:rPr>
          <w:sz w:val="20"/>
          <w:szCs w:val="20"/>
          <w:color w:val="auto"/>
        </w:rPr>
      </w:pPr>
    </w:p>
    <w:p>
      <w:pPr>
        <w:jc w:val="both"/>
        <w:ind w:left="580" w:right="320"/>
        <w:spacing w:after="0" w:line="248" w:lineRule="auto"/>
        <w:rPr>
          <w:sz w:val="20"/>
          <w:szCs w:val="20"/>
          <w:color w:val="auto"/>
        </w:rPr>
      </w:pPr>
      <w:r>
        <w:rPr>
          <w:rFonts w:ascii="Arial" w:cs="Arial" w:eastAsia="Arial" w:hAnsi="Arial"/>
          <w:sz w:val="18"/>
          <w:szCs w:val="18"/>
          <w:color w:val="auto"/>
        </w:rPr>
        <w:t>deliverable in respect of an award or through actual or constructive transfer to us of shares already owned, the number of shares equal to such withheld or transferred shares, as applicable, will no longer be available for issuance under the 2023 Omnibus Plan.</w:t>
      </w:r>
    </w:p>
    <w:p>
      <w:pPr>
        <w:spacing w:after="0" w:line="150" w:lineRule="exact"/>
        <w:rPr>
          <w:sz w:val="20"/>
          <w:szCs w:val="20"/>
          <w:color w:val="auto"/>
        </w:rPr>
      </w:pPr>
    </w:p>
    <w:p>
      <w:pPr>
        <w:jc w:val="both"/>
        <w:ind w:left="580" w:right="460"/>
        <w:spacing w:after="0" w:line="248" w:lineRule="auto"/>
        <w:rPr>
          <w:sz w:val="20"/>
          <w:szCs w:val="20"/>
          <w:color w:val="auto"/>
        </w:rPr>
      </w:pPr>
      <w:r>
        <w:rPr>
          <w:rFonts w:ascii="Arial" w:cs="Arial" w:eastAsia="Arial" w:hAnsi="Arial"/>
          <w:sz w:val="18"/>
          <w:szCs w:val="18"/>
          <w:color w:val="auto"/>
        </w:rPr>
        <w:t>Shares covered by awards granted pursuant to the 2023 Omnibus Plan in connection with the assumption, replacement, conversion, or adjustment of outstanding equity-based awards in the context of a corporate acquisition or merger will not count as issued under the 2023 Omnibus Plan.</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Individual Employee Share Limits Per Fiscal Year under the 2023 Omnibus Plan</w:t>
      </w:r>
    </w:p>
    <w:p>
      <w:pPr>
        <w:ind w:left="780" w:hanging="200"/>
        <w:spacing w:after="0" w:line="182" w:lineRule="auto"/>
        <w:tabs>
          <w:tab w:leader="none" w:pos="780" w:val="left"/>
        </w:tabs>
        <w:numPr>
          <w:ilvl w:val="0"/>
          <w:numId w:val="33"/>
        </w:numPr>
        <w:rPr>
          <w:rFonts w:ascii="Arial" w:cs="Arial" w:eastAsia="Arial" w:hAnsi="Arial"/>
          <w:sz w:val="39"/>
          <w:szCs w:val="39"/>
          <w:color w:val="auto"/>
          <w:vertAlign w:val="subscript"/>
        </w:rPr>
      </w:pPr>
      <w:r>
        <w:rPr>
          <w:rFonts w:ascii="Arial" w:cs="Arial" w:eastAsia="Arial" w:hAnsi="Arial"/>
          <w:sz w:val="17"/>
          <w:szCs w:val="17"/>
          <w:i w:val="1"/>
          <w:iCs w:val="1"/>
          <w:color w:val="auto"/>
        </w:rPr>
        <w:t>Options</w:t>
      </w:r>
      <w:r>
        <w:rPr>
          <w:rFonts w:ascii="Arial" w:cs="Arial" w:eastAsia="Arial" w:hAnsi="Arial"/>
          <w:sz w:val="17"/>
          <w:szCs w:val="17"/>
          <w:color w:val="auto"/>
        </w:rPr>
        <w:t>. 3,000,000 shares.</w:t>
      </w:r>
    </w:p>
    <w:p>
      <w:pPr>
        <w:spacing w:after="0" w:line="65" w:lineRule="exact"/>
        <w:rPr>
          <w:rFonts w:ascii="Arial" w:cs="Arial" w:eastAsia="Arial" w:hAnsi="Arial"/>
          <w:sz w:val="39"/>
          <w:szCs w:val="39"/>
          <w:color w:val="auto"/>
          <w:vertAlign w:val="subscript"/>
        </w:rPr>
      </w:pPr>
    </w:p>
    <w:p>
      <w:pPr>
        <w:ind w:left="780" w:hanging="200"/>
        <w:spacing w:after="0" w:line="184" w:lineRule="auto"/>
        <w:tabs>
          <w:tab w:leader="none" w:pos="780" w:val="left"/>
        </w:tabs>
        <w:numPr>
          <w:ilvl w:val="0"/>
          <w:numId w:val="33"/>
        </w:numPr>
        <w:rPr>
          <w:rFonts w:ascii="Arial" w:cs="Arial" w:eastAsia="Arial" w:hAnsi="Arial"/>
          <w:sz w:val="36"/>
          <w:szCs w:val="36"/>
          <w:color w:val="auto"/>
          <w:vertAlign w:val="subscript"/>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3,000,000 shares.</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33"/>
        </w:numPr>
        <w:rPr>
          <w:rFonts w:ascii="Arial" w:cs="Arial" w:eastAsia="Arial" w:hAnsi="Arial"/>
          <w:sz w:val="36"/>
          <w:szCs w:val="36"/>
          <w:color w:val="auto"/>
          <w:vertAlign w:val="subscript"/>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3,000,000 shares.</w:t>
      </w:r>
    </w:p>
    <w:p>
      <w:pPr>
        <w:spacing w:after="0" w:line="33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Individual Limits on Cash Incentive Awards</w:t>
      </w:r>
    </w:p>
    <w:p>
      <w:pPr>
        <w:spacing w:after="0" w:line="100" w:lineRule="exact"/>
        <w:rPr>
          <w:sz w:val="20"/>
          <w:szCs w:val="20"/>
          <w:color w:val="auto"/>
        </w:rPr>
      </w:pPr>
    </w:p>
    <w:p>
      <w:pPr>
        <w:ind w:left="780" w:right="380" w:hanging="200"/>
        <w:spacing w:after="0" w:line="186" w:lineRule="auto"/>
        <w:tabs>
          <w:tab w:leader="none" w:pos="780" w:val="left"/>
        </w:tabs>
        <w:numPr>
          <w:ilvl w:val="0"/>
          <w:numId w:val="34"/>
        </w:numPr>
        <w:rPr>
          <w:rFonts w:ascii="Arial" w:cs="Arial" w:eastAsia="Arial" w:hAnsi="Arial"/>
          <w:sz w:val="34"/>
          <w:szCs w:val="34"/>
          <w:color w:val="auto"/>
          <w:vertAlign w:val="subscript"/>
        </w:rPr>
      </w:pPr>
      <w:r>
        <w:rPr>
          <w:rFonts w:ascii="Arial" w:cs="Arial" w:eastAsia="Arial" w:hAnsi="Arial"/>
          <w:sz w:val="15"/>
          <w:szCs w:val="15"/>
          <w:i w:val="1"/>
          <w:iCs w:val="1"/>
          <w:color w:val="auto"/>
        </w:rPr>
        <w:t>Cash Incentive Awards</w:t>
      </w:r>
      <w:r>
        <w:rPr>
          <w:rFonts w:ascii="Arial" w:cs="Arial" w:eastAsia="Arial" w:hAnsi="Arial"/>
          <w:sz w:val="15"/>
          <w:szCs w:val="15"/>
          <w:color w:val="auto"/>
        </w:rPr>
        <w:t>. The amount payable in respect of a cash incentive award granted to any participant in a single</w:t>
      </w:r>
      <w:r>
        <w:rPr>
          <w:rFonts w:ascii="Arial" w:cs="Arial" w:eastAsia="Arial" w:hAnsi="Arial"/>
          <w:sz w:val="15"/>
          <w:szCs w:val="15"/>
          <w:i w:val="1"/>
          <w:iCs w:val="1"/>
          <w:color w:val="auto"/>
        </w:rPr>
        <w:t xml:space="preserve"> </w:t>
      </w:r>
      <w:r>
        <w:rPr>
          <w:rFonts w:ascii="Arial" w:cs="Arial" w:eastAsia="Arial" w:hAnsi="Arial"/>
          <w:sz w:val="15"/>
          <w:szCs w:val="15"/>
          <w:color w:val="auto"/>
        </w:rPr>
        <w:t>fiscal year that is subject to performance-based vesting may not exceed $5,000,000.</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Eligibility for Participation</w:t>
      </w:r>
    </w:p>
    <w:p>
      <w:pPr>
        <w:spacing w:after="0" w:line="88"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The individuals eligible to receive awards under the 2023 Omnibus Plan are our employees (including prospective employees who have been offered employment) and those of our subsidiaries, as selected by the Committee.</w:t>
      </w:r>
    </w:p>
    <w:p>
      <w:pPr>
        <w:spacing w:after="0" w:line="133" w:lineRule="exact"/>
        <w:rPr>
          <w:sz w:val="20"/>
          <w:szCs w:val="20"/>
          <w:color w:val="auto"/>
        </w:rPr>
      </w:pPr>
    </w:p>
    <w:p>
      <w:pPr>
        <w:ind w:left="580" w:right="120"/>
        <w:spacing w:after="0" w:line="267" w:lineRule="auto"/>
        <w:rPr>
          <w:sz w:val="20"/>
          <w:szCs w:val="20"/>
          <w:color w:val="auto"/>
        </w:rPr>
      </w:pPr>
      <w:r>
        <w:rPr>
          <w:rFonts w:ascii="Arial" w:cs="Arial" w:eastAsia="Arial" w:hAnsi="Arial"/>
          <w:sz w:val="18"/>
          <w:szCs w:val="18"/>
          <w:color w:val="auto"/>
        </w:rPr>
        <w:t>As of December 31, 2022, approximately 7,471 employees would be eligible to participate in the 2023 Omnibus Plan. During 2022, a total of approximately 911 individuals received awards under the 2021 Omnibus Plan.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Cash Incentive Awards</w:t>
      </w:r>
    </w:p>
    <w:p>
      <w:pPr>
        <w:spacing w:after="0" w:line="88"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The Committee may grant cash incentive awards. Cash incentive awards may be settled in cash or in other property, including shares of our common stock.</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88" w:lineRule="exact"/>
        <w:rPr>
          <w:sz w:val="20"/>
          <w:szCs w:val="20"/>
          <w:color w:val="auto"/>
        </w:rPr>
      </w:pPr>
    </w:p>
    <w:p>
      <w:pPr>
        <w:ind w:left="580" w:right="140"/>
        <w:spacing w:after="0" w:line="237" w:lineRule="auto"/>
        <w:rPr>
          <w:sz w:val="20"/>
          <w:szCs w:val="20"/>
          <w:color w:val="auto"/>
        </w:rPr>
      </w:pPr>
      <w:r>
        <w:rPr>
          <w:rFonts w:ascii="Arial" w:cs="Arial" w:eastAsia="Arial" w:hAnsi="Arial"/>
          <w:sz w:val="18"/>
          <w:szCs w:val="18"/>
          <w:color w:val="auto"/>
        </w:rPr>
        <w:t>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may not be less than 100% of the fair market value of a share of our common stock on the date of grant.</w:t>
      </w:r>
    </w:p>
    <w:p>
      <w:pPr>
        <w:spacing w:after="0" w:line="158" w:lineRule="exact"/>
        <w:rPr>
          <w:sz w:val="20"/>
          <w:szCs w:val="20"/>
          <w:color w:val="auto"/>
        </w:rPr>
      </w:pPr>
    </w:p>
    <w:p>
      <w:pPr>
        <w:ind w:left="580" w:right="500"/>
        <w:spacing w:after="0" w:line="267" w:lineRule="auto"/>
        <w:rPr>
          <w:sz w:val="20"/>
          <w:szCs w:val="20"/>
          <w:color w:val="auto"/>
        </w:rPr>
      </w:pPr>
      <w:r>
        <w:rPr>
          <w:rFonts w:ascii="Arial" w:cs="Arial" w:eastAsia="Arial" w:hAnsi="Arial"/>
          <w:sz w:val="18"/>
          <w:szCs w:val="18"/>
          <w:color w:val="auto"/>
        </w:rPr>
        <w:t>Additionally, with respect to “incentive stock options” (within the meaning of Section 422 of the Code), the aggregate fair market value of shares with respect to incentive stock options that are exercisable for the</w:t>
      </w:r>
    </w:p>
    <w:p>
      <w:pPr>
        <w:spacing w:after="0" w:line="72"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5369560" cy="149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69560" cy="149225"/>
                    </a:xfrm>
                    <a:prstGeom prst="rect">
                      <a:avLst/>
                    </a:prstGeom>
                    <a:noFill/>
                  </pic:spPr>
                </pic:pic>
              </a:graphicData>
            </a:graphic>
          </wp:anchor>
        </w:drawing>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9" w:lineRule="exact"/>
        <w:rPr>
          <w:sz w:val="20"/>
          <w:szCs w:val="20"/>
          <w:color w:val="auto"/>
        </w:rPr>
      </w:pPr>
    </w:p>
    <w:p>
      <w:pPr>
        <w:ind w:left="580"/>
        <w:spacing w:after="0" w:line="236" w:lineRule="auto"/>
        <w:rPr>
          <w:sz w:val="20"/>
          <w:szCs w:val="20"/>
          <w:color w:val="auto"/>
        </w:rPr>
      </w:pPr>
      <w:r>
        <w:rPr>
          <w:rFonts w:ascii="Arial" w:cs="Arial" w:eastAsia="Arial" w:hAnsi="Arial"/>
          <w:sz w:val="18"/>
          <w:szCs w:val="18"/>
          <w:color w:val="auto"/>
        </w:rPr>
        <w:t>first time by a participant during any calendar year under the 2023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our common stock at the time such incentive stock option is granted and such incentive stock option is not exercisable after the expiration of five years from the date such incentive stock option is granted.</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Stock-Based Awards</w:t>
      </w:r>
    </w:p>
    <w:p>
      <w:pPr>
        <w:spacing w:after="0" w:line="88" w:lineRule="exact"/>
        <w:rPr>
          <w:sz w:val="20"/>
          <w:szCs w:val="20"/>
          <w:color w:val="auto"/>
        </w:rPr>
      </w:pPr>
    </w:p>
    <w:p>
      <w:pPr>
        <w:ind w:left="580" w:right="80"/>
        <w:spacing w:after="0" w:line="235" w:lineRule="auto"/>
        <w:rPr>
          <w:sz w:val="20"/>
          <w:szCs w:val="20"/>
          <w:color w:val="auto"/>
        </w:rPr>
      </w:pPr>
      <w:r>
        <w:rPr>
          <w:rFonts w:ascii="Arial" w:cs="Arial" w:eastAsia="Arial" w:hAnsi="Arial"/>
          <w:sz w:val="18"/>
          <w:szCs w:val="18"/>
          <w:color w:val="auto"/>
        </w:rPr>
        <w:t>The Committee may grant other stock, stock-based, or stock-related awards in such amounts and subject to such terms and conditions as determined by the Committee. Each such other stock-based award may (i) involve the transfer of actual shares of our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award must be denominated in, or must have a value determined by reference to, a number of shares of our common stock that is specified at the time of the grant of such award.</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Performance-Based Compensation, Performance Goals and Measures</w:t>
      </w:r>
    </w:p>
    <w:p>
      <w:pPr>
        <w:spacing w:after="0" w:line="88" w:lineRule="exact"/>
        <w:rPr>
          <w:sz w:val="20"/>
          <w:szCs w:val="20"/>
          <w:color w:val="auto"/>
        </w:rPr>
      </w:pPr>
    </w:p>
    <w:p>
      <w:pPr>
        <w:ind w:left="580"/>
        <w:spacing w:after="0" w:line="233" w:lineRule="auto"/>
        <w:rPr>
          <w:sz w:val="20"/>
          <w:szCs w:val="20"/>
          <w:color w:val="auto"/>
        </w:rPr>
      </w:pPr>
      <w:r>
        <w:rPr>
          <w:rFonts w:ascii="Arial" w:cs="Arial" w:eastAsia="Arial" w:hAnsi="Arial"/>
          <w:sz w:val="18"/>
          <w:szCs w:val="18"/>
          <w:color w:val="auto"/>
        </w:rPr>
        <w:t>The Committee may grant performance-based compensation to a participant payable upon the attainment of specific performance goals. The performance goals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improvements or attainment of working capital levels or debt reduction, or such other measures as the Committee may determine from time to time.</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Performance goals may relate to individual performance, company performance, or business unit performance.</w:t>
      </w:r>
    </w:p>
    <w:p>
      <w:pPr>
        <w:spacing w:after="0" w:line="189" w:lineRule="exact"/>
        <w:rPr>
          <w:sz w:val="20"/>
          <w:szCs w:val="20"/>
          <w:color w:val="auto"/>
        </w:rPr>
      </w:pPr>
    </w:p>
    <w:p>
      <w:pPr>
        <w:ind w:left="580" w:right="160"/>
        <w:spacing w:after="0" w:line="242" w:lineRule="auto"/>
        <w:rPr>
          <w:sz w:val="20"/>
          <w:szCs w:val="20"/>
          <w:color w:val="auto"/>
        </w:rPr>
      </w:pPr>
      <w:r>
        <w:rPr>
          <w:rFonts w:ascii="Arial" w:cs="Arial" w:eastAsia="Arial" w:hAnsi="Arial"/>
          <w:sz w:val="18"/>
          <w:szCs w:val="18"/>
          <w:color w:val="auto"/>
        </w:rPr>
        <w:t>In addition, any performance measure may be used to measure the performance of Sabre or a subsidiary as a whole or any business unit of Sabre or a subsidiary or any combination thereof, as the Committee may deem appropriate, or any of the above performance measures as compared to the performance of a group of comparator companies, or a published or special index that the Committee deems appropriate.</w:t>
      </w:r>
    </w:p>
    <w:p>
      <w:pPr>
        <w:spacing w:after="0" w:line="154"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The Committee may, subject to the terms of the 2023 Omnibus Plan, amend previously granted awards whose grant, vesting, or payment is subject to performance-based measures.</w:t>
      </w:r>
    </w:p>
    <w:p>
      <w:pPr>
        <w:spacing w:after="0" w:line="72"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46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194310</wp:posOffset>
            </wp:positionV>
            <wp:extent cx="5314950" cy="1492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14950" cy="149225"/>
                    </a:xfrm>
                    <a:prstGeom prst="rect">
                      <a:avLst/>
                    </a:prstGeom>
                    <a:noFill/>
                  </pic:spPr>
                </pic:pic>
              </a:graphicData>
            </a:graphic>
          </wp:anchor>
        </w:drawing>
      </w:r>
    </w:p>
    <w:p>
      <w:pPr>
        <w:spacing w:after="0" w:line="311"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Stockholder Rights</w:t>
      </w:r>
    </w:p>
    <w:p>
      <w:pPr>
        <w:spacing w:after="0" w:line="88" w:lineRule="exact"/>
        <w:rPr>
          <w:sz w:val="20"/>
          <w:szCs w:val="20"/>
          <w:color w:val="auto"/>
        </w:rPr>
      </w:pPr>
    </w:p>
    <w:p>
      <w:pPr>
        <w:ind w:left="580" w:right="60"/>
        <w:spacing w:after="0" w:line="267" w:lineRule="auto"/>
        <w:rPr>
          <w:sz w:val="20"/>
          <w:szCs w:val="20"/>
          <w:color w:val="auto"/>
        </w:rPr>
      </w:pPr>
      <w:r>
        <w:rPr>
          <w:rFonts w:ascii="Arial" w:cs="Arial" w:eastAsia="Arial" w:hAnsi="Arial"/>
          <w:sz w:val="18"/>
          <w:szCs w:val="18"/>
          <w:color w:val="auto"/>
        </w:rPr>
        <w:t>No person will have any rights as a stockholder with respect to any shares of our common stock covered by or relating to any award granted pursuant to the 2023 Omnibus Plan until the date of the issuance of such shares on our books and records.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Amendment and Termination</w:t>
      </w:r>
    </w:p>
    <w:p>
      <w:pPr>
        <w:spacing w:after="0" w:line="88" w:lineRule="exact"/>
        <w:rPr>
          <w:sz w:val="20"/>
          <w:szCs w:val="20"/>
          <w:color w:val="auto"/>
        </w:rPr>
      </w:pPr>
    </w:p>
    <w:p>
      <w:pPr>
        <w:ind w:left="580" w:right="20"/>
        <w:spacing w:after="0" w:line="242" w:lineRule="auto"/>
        <w:rPr>
          <w:sz w:val="20"/>
          <w:szCs w:val="20"/>
          <w:color w:val="auto"/>
        </w:rPr>
      </w:pPr>
      <w:r>
        <w:rPr>
          <w:rFonts w:ascii="Arial" w:cs="Arial" w:eastAsia="Arial" w:hAnsi="Arial"/>
          <w:sz w:val="18"/>
          <w:szCs w:val="18"/>
          <w:color w:val="auto"/>
        </w:rPr>
        <w:t>Notwithstanding any other provision of the 2023 Omnibus Plan, our Board of Directors may at any time suspend or discontinue the plan or revise or amend it in any respect whatsoever; provided, however, that to the extent that any applicable law, regulation, or rule of a national securities exchange requires stockholder approval for any such revision or amendment to be effective, such revision or amendment will not be effective without such approval.</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Transferability</w:t>
      </w:r>
    </w:p>
    <w:p>
      <w:pPr>
        <w:spacing w:after="0" w:line="88" w:lineRule="exact"/>
        <w:rPr>
          <w:sz w:val="20"/>
          <w:szCs w:val="20"/>
          <w:color w:val="auto"/>
        </w:rPr>
      </w:pPr>
    </w:p>
    <w:p>
      <w:pPr>
        <w:ind w:left="580" w:right="100"/>
        <w:spacing w:after="0" w:line="239" w:lineRule="auto"/>
        <w:rPr>
          <w:sz w:val="20"/>
          <w:szCs w:val="20"/>
          <w:color w:val="auto"/>
        </w:rPr>
      </w:pPr>
      <w:r>
        <w:rPr>
          <w:rFonts w:ascii="Arial" w:cs="Arial" w:eastAsia="Arial" w:hAnsi="Arial"/>
          <w:sz w:val="18"/>
          <w:szCs w:val="18"/>
          <w:color w:val="auto"/>
        </w:rPr>
        <w:t>Awards granted under the 2023 Omnibus Plan are generally nontransferable (other than by will or the laws of descent and distribution), except that the Committee may provide for the transferability of non-qualified stock options subject to conditions and limitations as determined by the Committee; however, awards (other than incentive stock options and tandem stock appreciation rights) may be transferred during the lifetime of the participant, and may be exercised by these transferees during the lifetime of the participant, but only to the extent the transfers are permitted by the Committee.</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Change in Control</w:t>
      </w:r>
    </w:p>
    <w:p>
      <w:pPr>
        <w:spacing w:after="0" w:line="88" w:lineRule="exact"/>
        <w:rPr>
          <w:sz w:val="20"/>
          <w:szCs w:val="20"/>
          <w:color w:val="auto"/>
        </w:rPr>
      </w:pPr>
    </w:p>
    <w:p>
      <w:pPr>
        <w:jc w:val="both"/>
        <w:ind w:left="580" w:right="100"/>
        <w:spacing w:after="0" w:line="245" w:lineRule="auto"/>
        <w:rPr>
          <w:sz w:val="20"/>
          <w:szCs w:val="20"/>
          <w:color w:val="auto"/>
        </w:rPr>
      </w:pPr>
      <w:r>
        <w:rPr>
          <w:rFonts w:ascii="Arial" w:cs="Arial" w:eastAsia="Arial" w:hAnsi="Arial"/>
          <w:sz w:val="18"/>
          <w:szCs w:val="18"/>
          <w:color w:val="auto"/>
        </w:rPr>
        <w:t>Except as otherwise set forth in a participant’s award agreement, in the event (i) a participant has a qualifying termination of employment following a change in control of Sabre or (ii) of a change in control of Sabre in which outstanding awards are not assumed, continued, or substituted by the surviving corporation:</w:t>
      </w:r>
    </w:p>
    <w:p>
      <w:pPr>
        <w:spacing w:after="0" w:line="71" w:lineRule="exact"/>
        <w:rPr>
          <w:sz w:val="20"/>
          <w:szCs w:val="20"/>
          <w:color w:val="auto"/>
        </w:rPr>
      </w:pPr>
    </w:p>
    <w:p>
      <w:pPr>
        <w:ind w:left="780" w:right="40" w:hanging="200"/>
        <w:spacing w:after="0" w:line="181" w:lineRule="auto"/>
        <w:tabs>
          <w:tab w:leader="none" w:pos="780" w:val="left"/>
        </w:tabs>
        <w:numPr>
          <w:ilvl w:val="0"/>
          <w:numId w:val="35"/>
        </w:numPr>
        <w:rPr>
          <w:rFonts w:ascii="Arial" w:cs="Arial" w:eastAsia="Arial" w:hAnsi="Arial"/>
          <w:sz w:val="39"/>
          <w:szCs w:val="39"/>
          <w:color w:val="auto"/>
          <w:vertAlign w:val="subscript"/>
        </w:rPr>
      </w:pPr>
      <w:r>
        <w:rPr>
          <w:rFonts w:ascii="Arial" w:cs="Arial" w:eastAsia="Arial" w:hAnsi="Arial"/>
          <w:sz w:val="17"/>
          <w:szCs w:val="17"/>
          <w:color w:val="auto"/>
        </w:rPr>
        <w:t>All deferral of settlement, forfeiture conditions, and other restrictions applicable to awards granted under the 2023 Omnibus Plan will lapse, and such awards will be deemed fully vested as of the time of the change-in-control transaction without regard to deferral and vesting conditions, and</w:t>
      </w:r>
    </w:p>
    <w:p>
      <w:pPr>
        <w:spacing w:after="0" w:line="71" w:lineRule="exact"/>
        <w:rPr>
          <w:rFonts w:ascii="Arial" w:cs="Arial" w:eastAsia="Arial" w:hAnsi="Arial"/>
          <w:sz w:val="39"/>
          <w:szCs w:val="39"/>
          <w:color w:val="auto"/>
          <w:vertAlign w:val="subscript"/>
        </w:rPr>
      </w:pPr>
    </w:p>
    <w:p>
      <w:pPr>
        <w:ind w:left="780" w:right="360" w:hanging="200"/>
        <w:spacing w:after="0" w:line="186" w:lineRule="auto"/>
        <w:tabs>
          <w:tab w:leader="none" w:pos="780" w:val="left"/>
        </w:tabs>
        <w:numPr>
          <w:ilvl w:val="0"/>
          <w:numId w:val="35"/>
        </w:numPr>
        <w:rPr>
          <w:rFonts w:ascii="Arial" w:cs="Arial" w:eastAsia="Arial" w:hAnsi="Arial"/>
          <w:sz w:val="34"/>
          <w:szCs w:val="34"/>
          <w:color w:val="auto"/>
          <w:vertAlign w:val="subscript"/>
        </w:rPr>
      </w:pPr>
      <w:r>
        <w:rPr>
          <w:rFonts w:ascii="Arial" w:cs="Arial" w:eastAsia="Arial" w:hAnsi="Arial"/>
          <w:sz w:val="15"/>
          <w:szCs w:val="15"/>
          <w:color w:val="auto"/>
        </w:rPr>
        <w:t>Any award carrying a right to exercise that was not previously exercisable and vested will become fully exercisable and vested as of the time of the change in control of Sabre.</w:t>
      </w:r>
    </w:p>
    <w:p>
      <w:pPr>
        <w:spacing w:after="0" w:line="157"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For purposes of this provision, a “qualifying termination of employment” means with respect to a participant, (i) a termination of such participant’s employment by Sabre, the surviving corporation (or any of Sabre’s or the surviving corporation’s then-affiliated entities) without cause or by the participant for good reason (as such terms are defined in the 2023 Omnibus Plan), or (ii) a termination of such participant’s employment in the event of the participant’s death or disability, in each case, following a change in control of Sabre.</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340"/>
        <w:spacing w:after="0" w:line="267" w:lineRule="auto"/>
        <w:rPr>
          <w:sz w:val="20"/>
          <w:szCs w:val="20"/>
          <w:color w:val="auto"/>
        </w:rPr>
      </w:pPr>
      <w:r>
        <w:rPr>
          <w:rFonts w:ascii="Arial" w:cs="Arial" w:eastAsia="Arial" w:hAnsi="Arial"/>
          <w:sz w:val="18"/>
          <w:szCs w:val="18"/>
          <w:color w:val="auto"/>
        </w:rPr>
        <w:t>Other than as set forth in the table below, all awards made under the 2023 Omnibus Plan are discretionary. Therefore, the benefits and amounts that will be received or allocated under the 2023 Omnibus Plan are not determinable at this time.</w:t>
      </w:r>
    </w:p>
    <w:p>
      <w:pPr>
        <w:spacing w:after="0" w:line="72"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5369560" cy="149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69560" cy="149225"/>
                    </a:xfrm>
                    <a:prstGeom prst="rect">
                      <a:avLst/>
                    </a:prstGeom>
                    <a:noFill/>
                  </pic:spPr>
                </pic:pic>
              </a:graphicData>
            </a:graphic>
          </wp:anchor>
        </w:drawing>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9" w:lineRule="exact"/>
        <w:rPr>
          <w:sz w:val="20"/>
          <w:szCs w:val="20"/>
          <w:color w:val="auto"/>
        </w:rPr>
      </w:pPr>
    </w:p>
    <w:p>
      <w:pPr>
        <w:ind w:left="580" w:right="20"/>
        <w:spacing w:after="0" w:line="235" w:lineRule="auto"/>
        <w:rPr>
          <w:sz w:val="20"/>
          <w:szCs w:val="20"/>
          <w:color w:val="auto"/>
        </w:rPr>
      </w:pPr>
      <w:r>
        <w:rPr>
          <w:rFonts w:ascii="Arial" w:cs="Arial" w:eastAsia="Arial" w:hAnsi="Arial"/>
          <w:sz w:val="18"/>
          <w:szCs w:val="18"/>
          <w:color w:val="auto"/>
        </w:rPr>
        <w:t>The Compensation Committee has approved the grant of performance-based restricted stock unit (“PSU”) awards and time-based restricted stock unit (“RSU”) awards to executive officers and delegated authority to a committee consisting of the CEO and the Chief People Officer to approve the grant of PSUs and RSUs to non-executive officers under the 2023 Omnibus Plan, which awards remain subject to and contingent upon approval of the 2023 Omnibus Plan by stockholders at the Annual Meeting (the ‘”Contingent Awards’”). Pursuant to our policy on the grant of equity-based compensation, as amended, the grant date of the Contingent Awards will be May 15, 2023. See “Compensation Discussion and Analysis—Other Compensation Policies and Programs—Equity Award Grant Policy.” The Contingent Awards will be cancelled if the 2023 Omnibus Plan is not approved by stockholders at the Annual Meeting.</w:t>
      </w:r>
    </w:p>
    <w:p>
      <w:pPr>
        <w:spacing w:after="0" w:line="25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New Plan Benefits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Sabre Corporation 2023 Omnibus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6122670</wp:posOffset>
            </wp:positionH>
            <wp:positionV relativeFrom="paragraph">
              <wp:posOffset>137795</wp:posOffset>
            </wp:positionV>
            <wp:extent cx="15875" cy="16090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875" cy="16090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137795</wp:posOffset>
            </wp:positionV>
            <wp:extent cx="15875" cy="16090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875" cy="160909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6800" w:type="dxa"/>
            <w:vAlign w:val="bottom"/>
            <w:shd w:val="clear" w:color="auto" w:fill="666666"/>
          </w:tcPr>
          <w:p>
            <w:pPr>
              <w:spacing w:after="0"/>
              <w:rPr>
                <w:sz w:val="14"/>
                <w:szCs w:val="14"/>
                <w:color w:val="auto"/>
              </w:rPr>
            </w:pPr>
          </w:p>
        </w:tc>
        <w:tc>
          <w:tcPr>
            <w:tcW w:w="1440" w:type="dxa"/>
            <w:vAlign w:val="bottom"/>
            <w:shd w:val="clear" w:color="auto" w:fill="666666"/>
          </w:tcPr>
          <w:p>
            <w:pPr>
              <w:spacing w:after="0"/>
              <w:rPr>
                <w:sz w:val="14"/>
                <w:szCs w:val="14"/>
                <w:color w:val="auto"/>
              </w:rPr>
            </w:pPr>
          </w:p>
        </w:tc>
        <w:tc>
          <w:tcPr>
            <w:tcW w:w="920" w:type="dxa"/>
            <w:vAlign w:val="bottom"/>
            <w:shd w:val="clear" w:color="auto" w:fill="666666"/>
          </w:tcPr>
          <w:p>
            <w:pPr>
              <w:spacing w:after="0"/>
              <w:rPr>
                <w:sz w:val="14"/>
                <w:szCs w:val="14"/>
                <w:color w:val="auto"/>
              </w:rPr>
            </w:pPr>
          </w:p>
        </w:tc>
        <w:tc>
          <w:tcPr>
            <w:tcW w:w="9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Number of</w:t>
            </w:r>
          </w:p>
        </w:tc>
      </w:tr>
      <w:tr>
        <w:trPr>
          <w:trHeight w:val="173"/>
        </w:trPr>
        <w:tc>
          <w:tcPr>
            <w:tcW w:w="6800" w:type="dxa"/>
            <w:vAlign w:val="bottom"/>
            <w:shd w:val="clear" w:color="auto" w:fill="666666"/>
          </w:tcPr>
          <w:p>
            <w:pPr>
              <w:spacing w:after="0"/>
              <w:rPr>
                <w:sz w:val="15"/>
                <w:szCs w:val="15"/>
                <w:color w:val="auto"/>
              </w:rPr>
            </w:pPr>
          </w:p>
        </w:tc>
        <w:tc>
          <w:tcPr>
            <w:tcW w:w="1440" w:type="dxa"/>
            <w:vAlign w:val="bottom"/>
            <w:shd w:val="clear" w:color="auto" w:fill="666666"/>
          </w:tcPr>
          <w:p>
            <w:pPr>
              <w:spacing w:after="0"/>
              <w:rPr>
                <w:sz w:val="15"/>
                <w:szCs w:val="15"/>
                <w:color w:val="auto"/>
              </w:rPr>
            </w:pPr>
          </w:p>
        </w:tc>
        <w:tc>
          <w:tcPr>
            <w:tcW w:w="920" w:type="dxa"/>
            <w:vAlign w:val="bottom"/>
            <w:shd w:val="clear" w:color="auto" w:fill="666666"/>
          </w:tcPr>
          <w:p>
            <w:pPr>
              <w:spacing w:after="0"/>
              <w:rPr>
                <w:sz w:val="15"/>
                <w:szCs w:val="15"/>
                <w:color w:val="auto"/>
              </w:rPr>
            </w:pPr>
          </w:p>
        </w:tc>
        <w:tc>
          <w:tcPr>
            <w:tcW w:w="9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Shares</w:t>
            </w:r>
          </w:p>
        </w:tc>
      </w:tr>
      <w:tr>
        <w:trPr>
          <w:trHeight w:val="173"/>
        </w:trPr>
        <w:tc>
          <w:tcPr>
            <w:tcW w:w="6800" w:type="dxa"/>
            <w:vAlign w:val="bottom"/>
            <w:shd w:val="clear" w:color="auto" w:fill="666666"/>
          </w:tcPr>
          <w:p>
            <w:pPr>
              <w:spacing w:after="0"/>
              <w:rPr>
                <w:sz w:val="15"/>
                <w:szCs w:val="15"/>
                <w:color w:val="auto"/>
              </w:rPr>
            </w:pPr>
          </w:p>
        </w:tc>
        <w:tc>
          <w:tcPr>
            <w:tcW w:w="1440" w:type="dxa"/>
            <w:vAlign w:val="bottom"/>
            <w:shd w:val="clear" w:color="auto" w:fill="666666"/>
          </w:tcPr>
          <w:p>
            <w:pPr>
              <w:spacing w:after="0"/>
              <w:rPr>
                <w:sz w:val="15"/>
                <w:szCs w:val="15"/>
                <w:color w:val="auto"/>
              </w:rPr>
            </w:pPr>
          </w:p>
        </w:tc>
        <w:tc>
          <w:tcPr>
            <w:tcW w:w="920" w:type="dxa"/>
            <w:vAlign w:val="bottom"/>
            <w:shd w:val="clear" w:color="auto" w:fill="666666"/>
          </w:tcPr>
          <w:p>
            <w:pPr>
              <w:spacing w:after="0"/>
              <w:rPr>
                <w:sz w:val="15"/>
                <w:szCs w:val="15"/>
                <w:color w:val="auto"/>
              </w:rPr>
            </w:pPr>
          </w:p>
        </w:tc>
        <w:tc>
          <w:tcPr>
            <w:tcW w:w="9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Underlying</w:t>
            </w:r>
          </w:p>
        </w:tc>
      </w:tr>
      <w:tr>
        <w:trPr>
          <w:trHeight w:val="173"/>
        </w:trPr>
        <w:tc>
          <w:tcPr>
            <w:tcW w:w="6800" w:type="dxa"/>
            <w:vAlign w:val="bottom"/>
            <w:shd w:val="clear" w:color="auto" w:fill="666666"/>
          </w:tcPr>
          <w:p>
            <w:pPr>
              <w:spacing w:after="0"/>
              <w:rPr>
                <w:sz w:val="15"/>
                <w:szCs w:val="15"/>
                <w:color w:val="auto"/>
              </w:rPr>
            </w:pPr>
          </w:p>
        </w:tc>
        <w:tc>
          <w:tcPr>
            <w:tcW w:w="1440" w:type="dxa"/>
            <w:vAlign w:val="bottom"/>
            <w:shd w:val="clear" w:color="auto" w:fill="666666"/>
          </w:tcPr>
          <w:p>
            <w:pPr>
              <w:spacing w:after="0"/>
              <w:rPr>
                <w:sz w:val="15"/>
                <w:szCs w:val="15"/>
                <w:color w:val="auto"/>
              </w:rPr>
            </w:pPr>
          </w:p>
        </w:tc>
        <w:tc>
          <w:tcPr>
            <w:tcW w:w="920" w:type="dxa"/>
            <w:vAlign w:val="bottom"/>
            <w:shd w:val="clear" w:color="auto" w:fill="666666"/>
          </w:tcPr>
          <w:p>
            <w:pPr>
              <w:spacing w:after="0"/>
              <w:rPr>
                <w:sz w:val="15"/>
                <w:szCs w:val="15"/>
                <w:color w:val="auto"/>
              </w:rPr>
            </w:pPr>
          </w:p>
        </w:tc>
        <w:tc>
          <w:tcPr>
            <w:tcW w:w="9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PSUs and</w:t>
            </w:r>
          </w:p>
        </w:tc>
      </w:tr>
      <w:tr>
        <w:trPr>
          <w:trHeight w:val="185"/>
        </w:trPr>
        <w:tc>
          <w:tcPr>
            <w:tcW w:w="6800" w:type="dxa"/>
            <w:vAlign w:val="bottom"/>
            <w:shd w:val="clear" w:color="auto" w:fill="666666"/>
          </w:tcPr>
          <w:p>
            <w:pPr>
              <w:spacing w:after="0"/>
              <w:rPr>
                <w:sz w:val="20"/>
                <w:szCs w:val="20"/>
                <w:color w:val="auto"/>
              </w:rPr>
            </w:pPr>
            <w:r>
              <w:rPr>
                <w:rFonts w:ascii="Arial" w:cs="Arial" w:eastAsia="Arial" w:hAnsi="Arial"/>
                <w:sz w:val="15"/>
                <w:szCs w:val="15"/>
                <w:b w:val="1"/>
                <w:bCs w:val="1"/>
                <w:color w:val="FFFFFF"/>
              </w:rPr>
              <w:t>Name and Position</w:t>
            </w:r>
          </w:p>
        </w:tc>
        <w:tc>
          <w:tcPr>
            <w:tcW w:w="1440" w:type="dxa"/>
            <w:vAlign w:val="bottom"/>
            <w:shd w:val="clear" w:color="auto" w:fill="666666"/>
          </w:tcPr>
          <w:p>
            <w:pPr>
              <w:spacing w:after="0"/>
              <w:rPr>
                <w:sz w:val="16"/>
                <w:szCs w:val="16"/>
                <w:color w:val="auto"/>
              </w:rPr>
            </w:pPr>
          </w:p>
        </w:tc>
        <w:tc>
          <w:tcPr>
            <w:tcW w:w="920" w:type="dxa"/>
            <w:vAlign w:val="bottom"/>
            <w:shd w:val="clear" w:color="auto" w:fill="666666"/>
          </w:tcPr>
          <w:p>
            <w:pPr>
              <w:jc w:val="right"/>
              <w:ind w:right="199"/>
              <w:spacing w:after="0"/>
              <w:rPr>
                <w:sz w:val="20"/>
                <w:szCs w:val="20"/>
                <w:color w:val="auto"/>
              </w:rPr>
            </w:pPr>
            <w:r>
              <w:rPr>
                <w:rFonts w:ascii="Arial" w:cs="Arial" w:eastAsia="Arial" w:hAnsi="Arial"/>
                <w:sz w:val="15"/>
                <w:szCs w:val="15"/>
                <w:b w:val="1"/>
                <w:bCs w:val="1"/>
                <w:color w:val="FFFFFF"/>
                <w:w w:val="99"/>
              </w:rPr>
              <w:t>Value ($)</w:t>
            </w:r>
          </w:p>
        </w:tc>
        <w:tc>
          <w:tcPr>
            <w:tcW w:w="920" w:type="dxa"/>
            <w:vAlign w:val="bottom"/>
            <w:shd w:val="clear" w:color="auto" w:fill="666666"/>
          </w:tcPr>
          <w:p>
            <w:pPr>
              <w:jc w:val="center"/>
              <w:spacing w:after="0" w:line="186" w:lineRule="exact"/>
              <w:rPr>
                <w:sz w:val="20"/>
                <w:szCs w:val="20"/>
                <w:color w:val="auto"/>
              </w:rPr>
            </w:pPr>
            <w:r>
              <w:rPr>
                <w:rFonts w:ascii="Arial" w:cs="Arial" w:eastAsia="Arial" w:hAnsi="Arial"/>
                <w:sz w:val="14"/>
                <w:szCs w:val="14"/>
                <w:b w:val="1"/>
                <w:bCs w:val="1"/>
                <w:color w:val="FFFFFF"/>
                <w:w w:val="98"/>
              </w:rPr>
              <w:t>RSUs (#)</w:t>
            </w:r>
            <w:r>
              <w:rPr>
                <w:rFonts w:ascii="Arial" w:cs="Arial" w:eastAsia="Arial" w:hAnsi="Arial"/>
                <w:sz w:val="21"/>
                <w:szCs w:val="21"/>
                <w:b w:val="1"/>
                <w:bCs w:val="1"/>
                <w:color w:val="FFFFFF"/>
                <w:w w:val="98"/>
                <w:vertAlign w:val="superscript"/>
              </w:rPr>
              <w:t>(1)</w:t>
            </w:r>
          </w:p>
        </w:tc>
      </w:tr>
      <w:tr>
        <w:trPr>
          <w:trHeight w:val="185"/>
        </w:trPr>
        <w:tc>
          <w:tcPr>
            <w:tcW w:w="68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Named Executive Officers:</w:t>
            </w:r>
          </w:p>
        </w:tc>
        <w:tc>
          <w:tcPr>
            <w:tcW w:w="144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r>
      <w:tr>
        <w:trPr>
          <w:trHeight w:val="185"/>
        </w:trPr>
        <w:tc>
          <w:tcPr>
            <w:tcW w:w="6800" w:type="dxa"/>
            <w:vAlign w:val="bottom"/>
          </w:tcPr>
          <w:p>
            <w:pPr>
              <w:spacing w:after="0"/>
              <w:rPr>
                <w:sz w:val="20"/>
                <w:szCs w:val="20"/>
                <w:color w:val="auto"/>
              </w:rPr>
            </w:pPr>
            <w:r>
              <w:rPr>
                <w:rFonts w:ascii="Arial" w:cs="Arial" w:eastAsia="Arial" w:hAnsi="Arial"/>
                <w:sz w:val="16"/>
                <w:szCs w:val="16"/>
                <w:color w:val="auto"/>
              </w:rPr>
              <w:t>Sean Menke, Chair of the Board and CEO</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2,000,000</w:t>
            </w:r>
          </w:p>
        </w:tc>
        <w:tc>
          <w:tcPr>
            <w:tcW w:w="920" w:type="dxa"/>
            <w:vAlign w:val="bottom"/>
          </w:tcPr>
          <w:p>
            <w:pPr>
              <w:jc w:val="right"/>
              <w:spacing w:after="0"/>
              <w:rPr>
                <w:sz w:val="20"/>
                <w:szCs w:val="20"/>
                <w:color w:val="auto"/>
              </w:rPr>
            </w:pPr>
            <w:r>
              <w:rPr>
                <w:rFonts w:ascii="Arial" w:cs="Arial" w:eastAsia="Arial" w:hAnsi="Arial"/>
                <w:sz w:val="16"/>
                <w:szCs w:val="16"/>
                <w:color w:val="auto"/>
              </w:rPr>
              <w:t>395,257</w:t>
            </w:r>
          </w:p>
        </w:tc>
      </w:tr>
      <w:tr>
        <w:trPr>
          <w:trHeight w:val="185"/>
        </w:trPr>
        <w:tc>
          <w:tcPr>
            <w:tcW w:w="6800" w:type="dxa"/>
            <w:vAlign w:val="bottom"/>
            <w:shd w:val="clear" w:color="auto" w:fill="E5E5E5"/>
          </w:tcPr>
          <w:p>
            <w:pPr>
              <w:spacing w:after="0"/>
              <w:rPr>
                <w:sz w:val="20"/>
                <w:szCs w:val="20"/>
                <w:color w:val="auto"/>
              </w:rPr>
            </w:pPr>
            <w:r>
              <w:rPr>
                <w:rFonts w:ascii="Arial" w:cs="Arial" w:eastAsia="Arial" w:hAnsi="Arial"/>
                <w:sz w:val="16"/>
                <w:szCs w:val="16"/>
                <w:color w:val="auto"/>
              </w:rPr>
              <w:t>Michael Randolfi, Executive Vice President and Chief Financial Officer</w:t>
            </w: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1,500,000</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296,443</w:t>
            </w:r>
          </w:p>
        </w:tc>
      </w:tr>
      <w:tr>
        <w:trPr>
          <w:trHeight w:val="185"/>
        </w:trPr>
        <w:tc>
          <w:tcPr>
            <w:tcW w:w="6800" w:type="dxa"/>
            <w:vAlign w:val="bottom"/>
          </w:tcPr>
          <w:p>
            <w:pPr>
              <w:spacing w:after="0"/>
              <w:rPr>
                <w:sz w:val="20"/>
                <w:szCs w:val="20"/>
                <w:color w:val="auto"/>
              </w:rPr>
            </w:pPr>
            <w:r>
              <w:rPr>
                <w:rFonts w:ascii="Arial" w:cs="Arial" w:eastAsia="Arial" w:hAnsi="Arial"/>
                <w:sz w:val="16"/>
                <w:szCs w:val="16"/>
                <w:color w:val="auto"/>
              </w:rPr>
              <w:t>Kurt Ekert, President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5,500,000</w:t>
            </w:r>
          </w:p>
        </w:tc>
        <w:tc>
          <w:tcPr>
            <w:tcW w:w="920" w:type="dxa"/>
            <w:vAlign w:val="bottom"/>
          </w:tcPr>
          <w:p>
            <w:pPr>
              <w:jc w:val="right"/>
              <w:spacing w:after="0"/>
              <w:rPr>
                <w:sz w:val="20"/>
                <w:szCs w:val="20"/>
                <w:color w:val="auto"/>
              </w:rPr>
            </w:pPr>
            <w:r>
              <w:rPr>
                <w:rFonts w:ascii="Arial" w:cs="Arial" w:eastAsia="Arial" w:hAnsi="Arial"/>
                <w:sz w:val="16"/>
                <w:szCs w:val="16"/>
                <w:color w:val="auto"/>
              </w:rPr>
              <w:t>1,086,957</w:t>
            </w:r>
          </w:p>
        </w:tc>
      </w:tr>
      <w:tr>
        <w:trPr>
          <w:trHeight w:val="185"/>
        </w:trPr>
        <w:tc>
          <w:tcPr>
            <w:tcW w:w="6800" w:type="dxa"/>
            <w:vAlign w:val="bottom"/>
            <w:shd w:val="clear" w:color="auto" w:fill="E5E5E5"/>
          </w:tcPr>
          <w:p>
            <w:pPr>
              <w:spacing w:after="0"/>
              <w:rPr>
                <w:sz w:val="20"/>
                <w:szCs w:val="20"/>
                <w:color w:val="auto"/>
              </w:rPr>
            </w:pPr>
            <w:r>
              <w:rPr>
                <w:rFonts w:ascii="Arial" w:cs="Arial" w:eastAsia="Arial" w:hAnsi="Arial"/>
                <w:sz w:val="16"/>
                <w:szCs w:val="16"/>
                <w:color w:val="auto"/>
              </w:rPr>
              <w:t>David Moore, Executive Vice President and Chief Technology Officer</w:t>
            </w: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1,500,000</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296,443</w:t>
            </w:r>
          </w:p>
        </w:tc>
      </w:tr>
      <w:tr>
        <w:trPr>
          <w:trHeight w:val="185"/>
        </w:trPr>
        <w:tc>
          <w:tcPr>
            <w:tcW w:w="6800" w:type="dxa"/>
            <w:vAlign w:val="bottom"/>
          </w:tcPr>
          <w:p>
            <w:pPr>
              <w:spacing w:after="0"/>
              <w:rPr>
                <w:sz w:val="20"/>
                <w:szCs w:val="20"/>
                <w:color w:val="auto"/>
              </w:rPr>
            </w:pPr>
            <w:r>
              <w:rPr>
                <w:rFonts w:ascii="Arial" w:cs="Arial" w:eastAsia="Arial" w:hAnsi="Arial"/>
                <w:sz w:val="16"/>
                <w:szCs w:val="16"/>
                <w:color w:val="auto"/>
              </w:rPr>
              <w:t>Scott Wilson, Executive Vice President and President, Hospitality Solutions</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1,500,000</w:t>
            </w:r>
          </w:p>
        </w:tc>
        <w:tc>
          <w:tcPr>
            <w:tcW w:w="920" w:type="dxa"/>
            <w:vAlign w:val="bottom"/>
          </w:tcPr>
          <w:p>
            <w:pPr>
              <w:jc w:val="right"/>
              <w:spacing w:after="0"/>
              <w:rPr>
                <w:sz w:val="20"/>
                <w:szCs w:val="20"/>
                <w:color w:val="auto"/>
              </w:rPr>
            </w:pPr>
            <w:r>
              <w:rPr>
                <w:rFonts w:ascii="Arial" w:cs="Arial" w:eastAsia="Arial" w:hAnsi="Arial"/>
                <w:sz w:val="16"/>
                <w:szCs w:val="16"/>
                <w:color w:val="auto"/>
              </w:rPr>
              <w:t>296,443</w:t>
            </w:r>
          </w:p>
        </w:tc>
      </w:tr>
      <w:tr>
        <w:trPr>
          <w:trHeight w:val="185"/>
        </w:trPr>
        <w:tc>
          <w:tcPr>
            <w:tcW w:w="68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All Current Executive Officers as a Group</w:t>
            </w: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99"/>
              </w:rPr>
              <w:t>18,000,000</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3,557,312</w:t>
            </w:r>
          </w:p>
        </w:tc>
      </w:tr>
      <w:tr>
        <w:trPr>
          <w:trHeight w:val="185"/>
        </w:trPr>
        <w:tc>
          <w:tcPr>
            <w:tcW w:w="6800" w:type="dxa"/>
            <w:vAlign w:val="bottom"/>
          </w:tcPr>
          <w:p>
            <w:pPr>
              <w:spacing w:after="0"/>
              <w:rPr>
                <w:sz w:val="20"/>
                <w:szCs w:val="20"/>
                <w:color w:val="auto"/>
              </w:rPr>
            </w:pPr>
            <w:r>
              <w:rPr>
                <w:rFonts w:ascii="Arial" w:cs="Arial" w:eastAsia="Arial" w:hAnsi="Arial"/>
                <w:sz w:val="16"/>
                <w:szCs w:val="16"/>
                <w:b w:val="1"/>
                <w:bCs w:val="1"/>
                <w:color w:val="auto"/>
              </w:rPr>
              <w:t>All Current Non-Employee Directors as a Group</w:t>
            </w:r>
          </w:p>
        </w:tc>
        <w:tc>
          <w:tcPr>
            <w:tcW w:w="1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68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All Other Employees as a Group</w:t>
            </w: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99"/>
              </w:rPr>
              <w:t>56,940,000</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11,252,964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53" w:lineRule="exact"/>
        <w:rPr>
          <w:sz w:val="20"/>
          <w:szCs w:val="20"/>
          <w:color w:val="auto"/>
        </w:rPr>
      </w:pPr>
    </w:p>
    <w:p>
      <w:pPr>
        <w:ind w:left="980" w:right="20" w:hanging="400"/>
        <w:spacing w:after="0" w:line="257" w:lineRule="auto"/>
        <w:tabs>
          <w:tab w:leader="none" w:pos="9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the closing price of our common stock, as reported on the Nasdaq Stock Market, on February 28, 2023 of $5.06 per share. The actual number of shares underlying the PSUs and RSUs that comprise the Contingent Award will be based on the grant date fair value of the awards as of the date of grant of May 15, 2023.</w:t>
      </w:r>
    </w:p>
    <w:p>
      <w:pPr>
        <w:spacing w:after="0" w:line="154" w:lineRule="exact"/>
        <w:rPr>
          <w:sz w:val="20"/>
          <w:szCs w:val="20"/>
          <w:color w:val="auto"/>
        </w:rPr>
      </w:pPr>
    </w:p>
    <w:p>
      <w:pPr>
        <w:ind w:left="580" w:right="600"/>
        <w:spacing w:after="0" w:line="267" w:lineRule="auto"/>
        <w:rPr>
          <w:sz w:val="20"/>
          <w:szCs w:val="20"/>
          <w:color w:val="auto"/>
        </w:rPr>
      </w:pPr>
      <w:r>
        <w:rPr>
          <w:rFonts w:ascii="Arial" w:cs="Arial" w:eastAsia="Arial" w:hAnsi="Arial"/>
          <w:sz w:val="18"/>
          <w:szCs w:val="18"/>
          <w:color w:val="auto"/>
        </w:rPr>
        <w:t>See “Executive Compensation—2022 Grants of Plan-Based Awards,” which provides information on the equity awards granted to the named executive officers in 2022.</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right="120"/>
        <w:spacing w:after="0" w:line="239" w:lineRule="auto"/>
        <w:rPr>
          <w:sz w:val="20"/>
          <w:szCs w:val="20"/>
          <w:color w:val="auto"/>
        </w:rPr>
      </w:pPr>
      <w:r>
        <w:rPr>
          <w:rFonts w:ascii="Arial" w:cs="Arial" w:eastAsia="Arial" w:hAnsi="Arial"/>
          <w:sz w:val="18"/>
          <w:szCs w:val="18"/>
          <w:color w:val="auto"/>
        </w:rPr>
        <w:t>The following is a summary of certain federal income tax consequences of the awards to be made under the 2023 Omnibus Plan based upon the laws in effect on the date hereof. The discussion is general in nature and does not take into account a number of considerations which may apply in light of the circumstances of a particular participant under the 2023 Omnibus Plan. The income tax consequences under applicable state and local tax laws may not be the same as under federal income tax laws.</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Non-Qualified Stock Options</w:t>
      </w:r>
    </w:p>
    <w:p>
      <w:pPr>
        <w:spacing w:after="0" w:line="88" w:lineRule="exact"/>
        <w:rPr>
          <w:sz w:val="20"/>
          <w:szCs w:val="20"/>
          <w:color w:val="auto"/>
        </w:rPr>
      </w:pPr>
    </w:p>
    <w:p>
      <w:pPr>
        <w:ind w:left="580" w:right="160"/>
        <w:spacing w:after="0" w:line="267" w:lineRule="auto"/>
        <w:rPr>
          <w:sz w:val="20"/>
          <w:szCs w:val="20"/>
          <w:color w:val="auto"/>
        </w:rPr>
      </w:pPr>
      <w:r>
        <w:rPr>
          <w:rFonts w:ascii="Arial" w:cs="Arial" w:eastAsia="Arial" w:hAnsi="Arial"/>
          <w:sz w:val="18"/>
          <w:szCs w:val="18"/>
          <w:color w:val="auto"/>
        </w:rPr>
        <w:t>A participant will not recognize taxable income at the time of grant of a non-qualified stock option, and we will not be entitled to a tax deduction at such time. A participant will recognize compensation taxable as</w:t>
      </w:r>
    </w:p>
    <w:p>
      <w:pPr>
        <w:spacing w:after="0" w:line="72"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48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194310</wp:posOffset>
            </wp:positionV>
            <wp:extent cx="5314950" cy="149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14950" cy="149225"/>
                    </a:xfrm>
                    <a:prstGeom prst="rect">
                      <a:avLst/>
                    </a:prstGeom>
                    <a:noFill/>
                  </pic:spPr>
                </pic:pic>
              </a:graphicData>
            </a:graphic>
          </wp:anchor>
        </w:drawing>
      </w:r>
    </w:p>
    <w:p>
      <w:pPr>
        <w:spacing w:after="0" w:line="311"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9" w:lineRule="exact"/>
        <w:rPr>
          <w:sz w:val="20"/>
          <w:szCs w:val="20"/>
          <w:color w:val="auto"/>
        </w:rPr>
      </w:pPr>
    </w:p>
    <w:p>
      <w:pPr>
        <w:ind w:left="580" w:right="80"/>
        <w:spacing w:after="0" w:line="248" w:lineRule="auto"/>
        <w:rPr>
          <w:sz w:val="20"/>
          <w:szCs w:val="20"/>
          <w:color w:val="auto"/>
        </w:rPr>
      </w:pPr>
      <w:r>
        <w:rPr>
          <w:rFonts w:ascii="Arial" w:cs="Arial" w:eastAsia="Arial" w:hAnsi="Arial"/>
          <w:sz w:val="18"/>
          <w:szCs w:val="18"/>
          <w:color w:val="auto"/>
        </w:rPr>
        <w:t>ordinary income (and subject to income tax withholding in respect of an employee) upon exercise of a non-qualified stock option equal to the excess of the fair market value of the shares purchased over their exercise price, and we generally will be entitled to a corresponding tax deduction, except to the extent the deduction limits of Section 162(m) of the Code apply.</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Incentive Stock Options</w:t>
      </w:r>
    </w:p>
    <w:p>
      <w:pPr>
        <w:spacing w:after="0" w:line="88" w:lineRule="exact"/>
        <w:rPr>
          <w:sz w:val="20"/>
          <w:szCs w:val="20"/>
          <w:color w:val="auto"/>
        </w:rPr>
      </w:pPr>
    </w:p>
    <w:p>
      <w:pPr>
        <w:ind w:left="580" w:right="40"/>
        <w:spacing w:after="0" w:line="234" w:lineRule="auto"/>
        <w:rPr>
          <w:sz w:val="20"/>
          <w:szCs w:val="20"/>
          <w:color w:val="auto"/>
        </w:rPr>
      </w:pPr>
      <w:r>
        <w:rPr>
          <w:rFonts w:ascii="Arial" w:cs="Arial" w:eastAsia="Arial" w:hAnsi="Arial"/>
          <w:sz w:val="18"/>
          <w:szCs w:val="18"/>
          <w:color w:val="auto"/>
        </w:rPr>
        <w:t>A participant will not recognize taxable income at the time of grant of an incentive stock option, and we will not be entitled to a tax deduction at such time. A participant will not recognize taxable income (except for purposes of the alternative minimum tax) upon exercise of an incentive stock option. If the shares acquired by exercise of an incentive stock option are held for the longer of two years from the date the stock option was granted and one year from the date the shares were transferred to the participant in connection with the exercise of such incentive stock option, any gain or loss arising from a taxable disposition of such shares will be taxed as long-term capital gain or loss, and we will not be entitled to any tax deduction. If, however, such shares are disposed of within such two- or one-year periods, then in the year of such disposition the participant will recognize compensation taxable as ordinary income equal to the excess of the lesser of the amount realized upon such disposition and the fair market value of such shares on the date of exercise over the exercise price, and we generally will be entitled to a corresponding tax deduction, except to the extent the deduction limits of Section 162(m) of the Code apply.</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 Appreciation Rights</w:t>
      </w:r>
    </w:p>
    <w:p>
      <w:pPr>
        <w:spacing w:after="0" w:line="88" w:lineRule="exact"/>
        <w:rPr>
          <w:sz w:val="20"/>
          <w:szCs w:val="20"/>
          <w:color w:val="auto"/>
        </w:rPr>
      </w:pPr>
    </w:p>
    <w:p>
      <w:pPr>
        <w:jc w:val="both"/>
        <w:ind w:left="580"/>
        <w:spacing w:after="0" w:line="239" w:lineRule="auto"/>
        <w:rPr>
          <w:sz w:val="20"/>
          <w:szCs w:val="20"/>
          <w:color w:val="auto"/>
        </w:rPr>
      </w:pPr>
      <w:r>
        <w:rPr>
          <w:rFonts w:ascii="Arial" w:cs="Arial" w:eastAsia="Arial" w:hAnsi="Arial"/>
          <w:sz w:val="18"/>
          <w:szCs w:val="18"/>
          <w:color w:val="auto"/>
        </w:rPr>
        <w:t>A participant will not recognize taxable income at the time of grant of a stock appreciation right, and we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us, and we generally will be entitled to a corresponding tax deduction, except to the extent the deduction limits of Section 162(m) of the Code apply.</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Restricted Stock</w:t>
      </w:r>
    </w:p>
    <w:p>
      <w:pPr>
        <w:spacing w:after="0" w:line="88" w:lineRule="exact"/>
        <w:rPr>
          <w:sz w:val="20"/>
          <w:szCs w:val="20"/>
          <w:color w:val="auto"/>
        </w:rPr>
      </w:pPr>
    </w:p>
    <w:p>
      <w:pPr>
        <w:ind w:left="580" w:right="20"/>
        <w:spacing w:after="0" w:line="233" w:lineRule="auto"/>
        <w:rPr>
          <w:sz w:val="20"/>
          <w:szCs w:val="20"/>
          <w:color w:val="auto"/>
        </w:rPr>
      </w:pPr>
      <w:r>
        <w:rPr>
          <w:rFonts w:ascii="Arial" w:cs="Arial" w:eastAsia="Arial" w:hAnsi="Arial"/>
          <w:sz w:val="18"/>
          <w:szCs w:val="18"/>
          <w:color w:val="auto"/>
        </w:rPr>
        <w:t>A participant will not recognize taxable income at the time of grant of shares of restricted stock award, and we will not be entitled to a tax deduction at such time, unless the participant makes an election under Section 83(b) of the Code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We are entitled to a corresponding tax deduction at the time the ordinary income is recognized by the participant, except to the extent the deduction limits of Section 162(m) of the Code apply. In addition, a participant receiving dividends with respect to restricted stock for which the above-described election has not been made and prior to the time the restrictions lapse will recognize compensation taxable as ordinary income (and subject to income tax withholding in respect of an employee), rather than dividend income. We will be entitled to a corresponding tax deduction, except to the extent the deduction limits of Section 162(m) of the Code apply.</w:t>
      </w:r>
    </w:p>
    <w:p>
      <w:pPr>
        <w:spacing w:after="0" w:line="96"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5369560" cy="1492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69560" cy="149225"/>
                    </a:xfrm>
                    <a:prstGeom prst="rect">
                      <a:avLst/>
                    </a:prstGeom>
                    <a:noFill/>
                  </pic:spPr>
                </pic:pic>
              </a:graphicData>
            </a:graphic>
          </wp:anchor>
        </w:drawing>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Restricted Stock Units</w:t>
      </w:r>
    </w:p>
    <w:p>
      <w:pPr>
        <w:spacing w:after="0" w:line="88"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A participant will not recognize taxable income at the time of grant of a restricted stock unit, and we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and the amount of cash paid by us, and we will be entitled to a corresponding deduction, except to the extent the deduction limits of Section 162(m) of the Code apply.</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Other Stock-Based Awards</w:t>
      </w:r>
    </w:p>
    <w:p>
      <w:pPr>
        <w:spacing w:after="0" w:line="88" w:lineRule="exact"/>
        <w:rPr>
          <w:sz w:val="20"/>
          <w:szCs w:val="20"/>
          <w:color w:val="auto"/>
        </w:rPr>
      </w:pPr>
    </w:p>
    <w:p>
      <w:pPr>
        <w:ind w:left="580" w:right="140"/>
        <w:spacing w:after="0" w:line="267" w:lineRule="auto"/>
        <w:rPr>
          <w:sz w:val="20"/>
          <w:szCs w:val="20"/>
          <w:color w:val="auto"/>
        </w:rPr>
      </w:pPr>
      <w:r>
        <w:rPr>
          <w:rFonts w:ascii="Arial" w:cs="Arial" w:eastAsia="Arial" w:hAnsi="Arial"/>
          <w:sz w:val="18"/>
          <w:szCs w:val="18"/>
          <w:color w:val="auto"/>
        </w:rPr>
        <w:t>The grant, exercise or settlement of other stock-based awards granted under the 2023 Omnibus Plan may be taxable based on the specific terms and conditions of such awards.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Section 162(m) Limitations</w:t>
      </w:r>
    </w:p>
    <w:p>
      <w:pPr>
        <w:spacing w:after="0" w:line="88" w:lineRule="exact"/>
        <w:rPr>
          <w:sz w:val="20"/>
          <w:szCs w:val="20"/>
          <w:color w:val="auto"/>
        </w:rPr>
      </w:pPr>
    </w:p>
    <w:p>
      <w:pPr>
        <w:ind w:left="580" w:right="80"/>
        <w:spacing w:after="0" w:line="248" w:lineRule="auto"/>
        <w:rPr>
          <w:sz w:val="20"/>
          <w:szCs w:val="20"/>
          <w:color w:val="auto"/>
        </w:rPr>
      </w:pPr>
      <w:r>
        <w:rPr>
          <w:rFonts w:ascii="Arial" w:cs="Arial" w:eastAsia="Arial" w:hAnsi="Arial"/>
          <w:sz w:val="18"/>
          <w:szCs w:val="18"/>
          <w:color w:val="auto"/>
        </w:rPr>
        <w:t>Section 162(m) of the Code generally places a $1 million annual limit on a public company’s federal income tax deduction for compensation paid to certain senior executives. Thus, it is possible that Section 162(m) of the Code may disallow compensation deductions that would otherwise be available to us.</w:t>
      </w:r>
    </w:p>
    <w:p>
      <w:pPr>
        <w:spacing w:after="0" w:line="150" w:lineRule="exact"/>
        <w:rPr>
          <w:sz w:val="20"/>
          <w:szCs w:val="20"/>
          <w:color w:val="auto"/>
        </w:rPr>
      </w:pPr>
    </w:p>
    <w:p>
      <w:pPr>
        <w:ind w:left="580" w:right="200"/>
        <w:spacing w:after="0" w:line="242" w:lineRule="auto"/>
        <w:rPr>
          <w:sz w:val="20"/>
          <w:szCs w:val="20"/>
          <w:color w:val="auto"/>
        </w:rPr>
      </w:pPr>
      <w:r>
        <w:rPr>
          <w:rFonts w:ascii="Arial" w:cs="Arial" w:eastAsia="Arial" w:hAnsi="Arial"/>
          <w:sz w:val="18"/>
          <w:szCs w:val="18"/>
          <w:color w:val="auto"/>
        </w:rPr>
        <w:t>The foregoing general tax discussion is intended for the information of stockholders considering how to vote with respect to this proposal and not as tax guidance to participants in the 2023 Omnibus Plan. Participants are strongly urged to consult their own tax advisors regarding the federal, state, local, foreign, and other tax consequences to them of participating in the 2023 Omnibus Plan.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40"/>
        <w:spacing w:after="0" w:line="248" w:lineRule="auto"/>
        <w:rPr>
          <w:sz w:val="20"/>
          <w:szCs w:val="20"/>
          <w:color w:val="auto"/>
        </w:rPr>
      </w:pPr>
      <w:r>
        <w:rPr>
          <w:rFonts w:ascii="Arial" w:cs="Arial" w:eastAsia="Arial" w:hAnsi="Arial"/>
          <w:sz w:val="18"/>
          <w:szCs w:val="18"/>
          <w:color w:val="auto"/>
        </w:rPr>
        <w:t>At the Annual Meeting, stockholders will be asked to approve the 2023 Omnibus Plan. This proposal requires the affirmative vote of the holders of not less than a majority of the voting power of the outstanding common stock entitled to vote and present, in person or by proxy, at the meeting.</w:t>
      </w:r>
    </w:p>
    <w:p>
      <w:pPr>
        <w:spacing w:after="0" w:line="150" w:lineRule="exact"/>
        <w:rPr>
          <w:sz w:val="20"/>
          <w:szCs w:val="20"/>
          <w:color w:val="auto"/>
        </w:rPr>
      </w:pPr>
    </w:p>
    <w:p>
      <w:pPr>
        <w:ind w:left="580" w:right="80"/>
        <w:spacing w:after="0" w:line="267" w:lineRule="auto"/>
        <w:rPr>
          <w:sz w:val="20"/>
          <w:szCs w:val="20"/>
          <w:color w:val="auto"/>
        </w:rPr>
      </w:pPr>
      <w:r>
        <w:rPr>
          <w:rFonts w:ascii="Arial" w:cs="Arial" w:eastAsia="Arial" w:hAnsi="Arial"/>
          <w:sz w:val="18"/>
          <w:szCs w:val="18"/>
          <w:color w:val="auto"/>
        </w:rPr>
        <w:t>Abstentions will be counted toward the tabulation of votes cast on the approval of the proposal to approve the 2023 Omnibus Plan, and will have the same effect as votes against that proposal.</w:t>
      </w:r>
    </w:p>
    <w:p>
      <w:pPr>
        <w:spacing w:after="0" w:line="133" w:lineRule="exact"/>
        <w:rPr>
          <w:sz w:val="20"/>
          <w:szCs w:val="20"/>
          <w:color w:val="auto"/>
        </w:rPr>
      </w:pPr>
    </w:p>
    <w:p>
      <w:pPr>
        <w:ind w:left="580" w:right="460"/>
        <w:spacing w:after="0" w:line="27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CF0A2C"/>
        </w:rPr>
        <w:t>FOR</w:t>
      </w:r>
      <w:r>
        <w:rPr>
          <w:rFonts w:ascii="Arial" w:cs="Arial" w:eastAsia="Arial" w:hAnsi="Arial"/>
          <w:sz w:val="18"/>
          <w:szCs w:val="18"/>
          <w:b w:val="1"/>
          <w:bCs w:val="1"/>
          <w:color w:val="auto"/>
        </w:rPr>
        <w:t xml:space="preserve"> approval of the Sabre Corporation 2023 Omnibus Incentive Compensation Plan.</w:t>
      </w:r>
    </w:p>
    <w:p>
      <w:pPr>
        <w:spacing w:after="0" w:line="56"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50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194310</wp:posOffset>
            </wp:positionV>
            <wp:extent cx="5314950" cy="149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14950" cy="149225"/>
                    </a:xfrm>
                    <a:prstGeom prst="rect">
                      <a:avLst/>
                    </a:prstGeom>
                    <a:noFill/>
                  </pic:spPr>
                </pic:pic>
              </a:graphicData>
            </a:graphic>
          </wp:anchor>
        </w:drawing>
      </w:r>
    </w:p>
    <w:p>
      <w:pPr>
        <w:spacing w:after="0" w:line="311"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FFFFFF"/>
        </w:rPr>
        <w:t>PROPOSAL 3: APPROVAL OF THE SABRE CORPORATION 2023 OMNIBUS INCENTIVE COMPENSATION PLAN</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0"/>
        <w:spacing w:after="0" w:line="267" w:lineRule="auto"/>
        <w:rPr>
          <w:sz w:val="20"/>
          <w:szCs w:val="20"/>
          <w:color w:val="auto"/>
        </w:rPr>
      </w:pPr>
      <w:r>
        <w:rPr>
          <w:rFonts w:ascii="Arial" w:cs="Arial" w:eastAsia="Arial" w:hAnsi="Arial"/>
          <w:sz w:val="18"/>
          <w:szCs w:val="18"/>
          <w:color w:val="auto"/>
        </w:rPr>
        <w:t>The following table gives information about our common stock that may be issued upon the exercise of options, warrants, and rights under all of our equity compensation plans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113665</wp:posOffset>
            </wp:positionV>
            <wp:extent cx="15875" cy="10833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875" cy="108331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113665</wp:posOffset>
            </wp:positionV>
            <wp:extent cx="15875" cy="10833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875" cy="108331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113665</wp:posOffset>
            </wp:positionV>
            <wp:extent cx="15875" cy="10833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75" cy="1083310"/>
                    </a:xfrm>
                    <a:prstGeom prst="rect">
                      <a:avLst/>
                    </a:prstGeom>
                    <a:noFill/>
                  </pic:spPr>
                </pic:pic>
              </a:graphicData>
            </a:graphic>
          </wp:anchor>
        </w:drawing>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260" w:type="dxa"/>
            <w:vAlign w:val="bottom"/>
            <w:shd w:val="clear" w:color="auto" w:fill="666666"/>
          </w:tcPr>
          <w:p>
            <w:pPr>
              <w:spacing w:after="0"/>
              <w:rPr>
                <w:sz w:val="14"/>
                <w:szCs w:val="14"/>
                <w:color w:val="auto"/>
              </w:rPr>
            </w:pPr>
          </w:p>
        </w:tc>
        <w:tc>
          <w:tcPr>
            <w:tcW w:w="1680" w:type="dxa"/>
            <w:vAlign w:val="bottom"/>
            <w:shd w:val="clear" w:color="auto" w:fill="666666"/>
          </w:tcPr>
          <w:p>
            <w:pPr>
              <w:spacing w:after="0"/>
              <w:rPr>
                <w:sz w:val="14"/>
                <w:szCs w:val="14"/>
                <w:color w:val="auto"/>
              </w:rPr>
            </w:pPr>
          </w:p>
        </w:tc>
        <w:tc>
          <w:tcPr>
            <w:tcW w:w="1560" w:type="dxa"/>
            <w:vAlign w:val="bottom"/>
            <w:shd w:val="clear" w:color="auto" w:fill="666666"/>
          </w:tcPr>
          <w:p>
            <w:pPr>
              <w:spacing w:after="0"/>
              <w:rPr>
                <w:sz w:val="14"/>
                <w:szCs w:val="14"/>
                <w:color w:val="auto"/>
              </w:rPr>
            </w:pPr>
          </w:p>
        </w:tc>
        <w:tc>
          <w:tcPr>
            <w:tcW w:w="15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Number of securities</w:t>
            </w:r>
          </w:p>
        </w:tc>
      </w:tr>
      <w:tr>
        <w:trPr>
          <w:trHeight w:val="173"/>
        </w:trPr>
        <w:tc>
          <w:tcPr>
            <w:tcW w:w="5260" w:type="dxa"/>
            <w:vAlign w:val="bottom"/>
            <w:shd w:val="clear" w:color="auto" w:fill="666666"/>
          </w:tcPr>
          <w:p>
            <w:pPr>
              <w:spacing w:after="0"/>
              <w:rPr>
                <w:sz w:val="15"/>
                <w:szCs w:val="15"/>
                <w:color w:val="auto"/>
              </w:rPr>
            </w:pPr>
          </w:p>
        </w:tc>
        <w:tc>
          <w:tcPr>
            <w:tcW w:w="16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Number of securities</w:t>
            </w:r>
          </w:p>
        </w:tc>
        <w:tc>
          <w:tcPr>
            <w:tcW w:w="1560" w:type="dxa"/>
            <w:vAlign w:val="bottom"/>
            <w:shd w:val="clear" w:color="auto" w:fill="666666"/>
          </w:tcPr>
          <w:p>
            <w:pPr>
              <w:spacing w:after="0"/>
              <w:rPr>
                <w:sz w:val="15"/>
                <w:szCs w:val="15"/>
                <w:color w:val="auto"/>
              </w:rPr>
            </w:pPr>
          </w:p>
        </w:tc>
        <w:tc>
          <w:tcPr>
            <w:tcW w:w="1580" w:type="dxa"/>
            <w:vAlign w:val="bottom"/>
            <w:shd w:val="clear" w:color="auto" w:fill="666666"/>
          </w:tcPr>
          <w:p>
            <w:pPr>
              <w:jc w:val="center"/>
              <w:ind w:left="4"/>
              <w:spacing w:after="0"/>
              <w:rPr>
                <w:sz w:val="20"/>
                <w:szCs w:val="20"/>
                <w:color w:val="auto"/>
              </w:rPr>
            </w:pPr>
            <w:r>
              <w:rPr>
                <w:rFonts w:ascii="Arial" w:cs="Arial" w:eastAsia="Arial" w:hAnsi="Arial"/>
                <w:sz w:val="15"/>
                <w:szCs w:val="15"/>
                <w:b w:val="1"/>
                <w:bCs w:val="1"/>
                <w:color w:val="FFFFFF"/>
                <w:w w:val="99"/>
              </w:rPr>
              <w:t>remaining available</w:t>
            </w:r>
          </w:p>
        </w:tc>
      </w:tr>
      <w:tr>
        <w:trPr>
          <w:trHeight w:val="173"/>
        </w:trPr>
        <w:tc>
          <w:tcPr>
            <w:tcW w:w="5260" w:type="dxa"/>
            <w:vAlign w:val="bottom"/>
            <w:shd w:val="clear" w:color="auto" w:fill="666666"/>
          </w:tcPr>
          <w:p>
            <w:pPr>
              <w:spacing w:after="0"/>
              <w:rPr>
                <w:sz w:val="15"/>
                <w:szCs w:val="15"/>
                <w:color w:val="auto"/>
              </w:rPr>
            </w:pPr>
          </w:p>
        </w:tc>
        <w:tc>
          <w:tcPr>
            <w:tcW w:w="16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to be issued upon</w:t>
            </w:r>
          </w:p>
        </w:tc>
        <w:tc>
          <w:tcPr>
            <w:tcW w:w="156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Weighted average</w:t>
            </w:r>
          </w:p>
        </w:tc>
        <w:tc>
          <w:tcPr>
            <w:tcW w:w="1580" w:type="dxa"/>
            <w:vAlign w:val="bottom"/>
            <w:shd w:val="clear" w:color="auto" w:fill="666666"/>
          </w:tcPr>
          <w:p>
            <w:pPr>
              <w:jc w:val="center"/>
              <w:ind w:left="4"/>
              <w:spacing w:after="0"/>
              <w:rPr>
                <w:sz w:val="20"/>
                <w:szCs w:val="20"/>
                <w:color w:val="auto"/>
              </w:rPr>
            </w:pPr>
            <w:r>
              <w:rPr>
                <w:rFonts w:ascii="Arial" w:cs="Arial" w:eastAsia="Arial" w:hAnsi="Arial"/>
                <w:sz w:val="15"/>
                <w:szCs w:val="15"/>
                <w:b w:val="1"/>
                <w:bCs w:val="1"/>
                <w:color w:val="FFFFFF"/>
                <w:w w:val="99"/>
              </w:rPr>
              <w:t>for future issuance</w:t>
            </w:r>
          </w:p>
        </w:tc>
      </w:tr>
      <w:tr>
        <w:trPr>
          <w:trHeight w:val="173"/>
        </w:trPr>
        <w:tc>
          <w:tcPr>
            <w:tcW w:w="5260" w:type="dxa"/>
            <w:vAlign w:val="bottom"/>
            <w:shd w:val="clear" w:color="auto" w:fill="666666"/>
          </w:tcPr>
          <w:p>
            <w:pPr>
              <w:spacing w:after="0"/>
              <w:rPr>
                <w:sz w:val="15"/>
                <w:szCs w:val="15"/>
                <w:color w:val="auto"/>
              </w:rPr>
            </w:pPr>
          </w:p>
        </w:tc>
        <w:tc>
          <w:tcPr>
            <w:tcW w:w="16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6"/>
              </w:rPr>
              <w:t>exercise of</w:t>
            </w:r>
          </w:p>
        </w:tc>
        <w:tc>
          <w:tcPr>
            <w:tcW w:w="156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exercise price of</w:t>
            </w:r>
          </w:p>
        </w:tc>
        <w:tc>
          <w:tcPr>
            <w:tcW w:w="1580" w:type="dxa"/>
            <w:vAlign w:val="bottom"/>
            <w:shd w:val="clear" w:color="auto" w:fill="666666"/>
          </w:tcPr>
          <w:p>
            <w:pPr>
              <w:jc w:val="center"/>
              <w:ind w:left="4"/>
              <w:spacing w:after="0"/>
              <w:rPr>
                <w:sz w:val="20"/>
                <w:szCs w:val="20"/>
                <w:color w:val="auto"/>
              </w:rPr>
            </w:pPr>
            <w:r>
              <w:rPr>
                <w:rFonts w:ascii="Arial" w:cs="Arial" w:eastAsia="Arial" w:hAnsi="Arial"/>
                <w:sz w:val="15"/>
                <w:szCs w:val="15"/>
                <w:b w:val="1"/>
                <w:bCs w:val="1"/>
                <w:color w:val="FFFFFF"/>
                <w:w w:val="99"/>
              </w:rPr>
              <w:t>under equity</w:t>
            </w:r>
          </w:p>
        </w:tc>
      </w:tr>
      <w:tr>
        <w:trPr>
          <w:trHeight w:val="173"/>
        </w:trPr>
        <w:tc>
          <w:tcPr>
            <w:tcW w:w="5260" w:type="dxa"/>
            <w:vAlign w:val="bottom"/>
            <w:shd w:val="clear" w:color="auto" w:fill="666666"/>
          </w:tcPr>
          <w:p>
            <w:pPr>
              <w:spacing w:after="0"/>
              <w:rPr>
                <w:sz w:val="15"/>
                <w:szCs w:val="15"/>
                <w:color w:val="auto"/>
              </w:rPr>
            </w:pPr>
          </w:p>
        </w:tc>
        <w:tc>
          <w:tcPr>
            <w:tcW w:w="16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outstanding options</w:t>
            </w:r>
          </w:p>
        </w:tc>
        <w:tc>
          <w:tcPr>
            <w:tcW w:w="156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outstanding options</w:t>
            </w:r>
          </w:p>
        </w:tc>
        <w:tc>
          <w:tcPr>
            <w:tcW w:w="1580" w:type="dxa"/>
            <w:vAlign w:val="bottom"/>
            <w:shd w:val="clear" w:color="auto" w:fill="666666"/>
          </w:tcPr>
          <w:p>
            <w:pPr>
              <w:jc w:val="center"/>
              <w:ind w:left="4"/>
              <w:spacing w:after="0"/>
              <w:rPr>
                <w:sz w:val="20"/>
                <w:szCs w:val="20"/>
                <w:color w:val="auto"/>
              </w:rPr>
            </w:pPr>
            <w:r>
              <w:rPr>
                <w:rFonts w:ascii="Arial" w:cs="Arial" w:eastAsia="Arial" w:hAnsi="Arial"/>
                <w:sz w:val="15"/>
                <w:szCs w:val="15"/>
                <w:b w:val="1"/>
                <w:bCs w:val="1"/>
                <w:color w:val="FFFFFF"/>
                <w:w w:val="97"/>
              </w:rPr>
              <w:t>compensation plans</w:t>
            </w:r>
          </w:p>
        </w:tc>
      </w:tr>
      <w:tr>
        <w:trPr>
          <w:trHeight w:val="215"/>
        </w:trPr>
        <w:tc>
          <w:tcPr>
            <w:tcW w:w="5260" w:type="dxa"/>
            <w:vAlign w:val="bottom"/>
            <w:tcBorders>
              <w:bottom w:val="single" w:sz="8" w:color="666666"/>
            </w:tcBorders>
            <w:shd w:val="clear" w:color="auto" w:fill="666666"/>
          </w:tcPr>
          <w:p>
            <w:pPr>
              <w:spacing w:after="0"/>
              <w:rPr>
                <w:sz w:val="18"/>
                <w:szCs w:val="18"/>
                <w:color w:val="auto"/>
              </w:rPr>
            </w:pPr>
          </w:p>
        </w:tc>
        <w:tc>
          <w:tcPr>
            <w:tcW w:w="1680" w:type="dxa"/>
            <w:vAlign w:val="bottom"/>
            <w:tcBorders>
              <w:bottom w:val="single" w:sz="8" w:color="666666"/>
            </w:tcBorders>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(a)</w:t>
            </w:r>
          </w:p>
        </w:tc>
        <w:tc>
          <w:tcPr>
            <w:tcW w:w="1560" w:type="dxa"/>
            <w:vAlign w:val="bottom"/>
            <w:tcBorders>
              <w:bottom w:val="single" w:sz="8" w:color="666666"/>
            </w:tcBorders>
            <w:shd w:val="clear" w:color="auto" w:fill="666666"/>
          </w:tcPr>
          <w:p>
            <w:pPr>
              <w:jc w:val="center"/>
              <w:spacing w:after="0"/>
              <w:rPr>
                <w:sz w:val="20"/>
                <w:szCs w:val="20"/>
                <w:color w:val="auto"/>
              </w:rPr>
            </w:pPr>
            <w:r>
              <w:rPr>
                <w:rFonts w:ascii="Arial" w:cs="Arial" w:eastAsia="Arial" w:hAnsi="Arial"/>
                <w:sz w:val="15"/>
                <w:szCs w:val="15"/>
                <w:b w:val="1"/>
                <w:bCs w:val="1"/>
                <w:color w:val="FFFFFF"/>
                <w:w w:val="93"/>
              </w:rPr>
              <w:t>(b)</w:t>
            </w:r>
          </w:p>
        </w:tc>
        <w:tc>
          <w:tcPr>
            <w:tcW w:w="1580" w:type="dxa"/>
            <w:vAlign w:val="bottom"/>
            <w:tcBorders>
              <w:bottom w:val="single" w:sz="8" w:color="666666"/>
            </w:tcBorders>
            <w:shd w:val="clear" w:color="auto" w:fill="666666"/>
          </w:tcPr>
          <w:p>
            <w:pPr>
              <w:jc w:val="center"/>
              <w:ind w:left="4"/>
              <w:spacing w:after="0"/>
              <w:rPr>
                <w:sz w:val="20"/>
                <w:szCs w:val="20"/>
                <w:color w:val="auto"/>
              </w:rPr>
            </w:pPr>
            <w:r>
              <w:rPr>
                <w:rFonts w:ascii="Arial" w:cs="Arial" w:eastAsia="Arial" w:hAnsi="Arial"/>
                <w:sz w:val="15"/>
                <w:szCs w:val="15"/>
                <w:b w:val="1"/>
                <w:bCs w:val="1"/>
                <w:color w:val="FFFFFF"/>
                <w:w w:val="97"/>
              </w:rPr>
              <w:t>(c)</w:t>
            </w:r>
          </w:p>
        </w:tc>
      </w:tr>
      <w:tr>
        <w:trPr>
          <w:trHeight w:val="289"/>
        </w:trPr>
        <w:tc>
          <w:tcPr>
            <w:tcW w:w="5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Equity compensation plans approved by stockholders</w:t>
            </w:r>
          </w:p>
        </w:tc>
        <w:tc>
          <w:tcPr>
            <w:tcW w:w="1680" w:type="dxa"/>
            <w:vAlign w:val="bottom"/>
            <w:tcBorders>
              <w:bottom w:val="single" w:sz="8" w:color="E5E5E5"/>
            </w:tcBorders>
            <w:shd w:val="clear" w:color="auto" w:fill="E5E5E5"/>
          </w:tcPr>
          <w:p>
            <w:pPr>
              <w:jc w:val="right"/>
              <w:ind w:right="3"/>
              <w:spacing w:after="0"/>
              <w:rPr>
                <w:sz w:val="20"/>
                <w:szCs w:val="20"/>
                <w:color w:val="auto"/>
              </w:rPr>
            </w:pPr>
            <w:r>
              <w:rPr>
                <w:rFonts w:ascii="Arial" w:cs="Arial" w:eastAsia="Arial" w:hAnsi="Arial"/>
                <w:sz w:val="16"/>
                <w:szCs w:val="16"/>
                <w:color w:val="auto"/>
              </w:rPr>
              <w:t>17,207,035</w:t>
            </w:r>
          </w:p>
        </w:tc>
        <w:tc>
          <w:tcPr>
            <w:tcW w:w="1560" w:type="dxa"/>
            <w:vAlign w:val="bottom"/>
            <w:tcBorders>
              <w:bottom w:val="single" w:sz="8" w:color="E5E5E5"/>
            </w:tcBorders>
            <w:shd w:val="clear" w:color="auto" w:fill="E5E5E5"/>
          </w:tcPr>
          <w:p>
            <w:pPr>
              <w:jc w:val="right"/>
              <w:ind w:right="283"/>
              <w:spacing w:after="0"/>
              <w:rPr>
                <w:sz w:val="20"/>
                <w:szCs w:val="20"/>
                <w:color w:val="auto"/>
              </w:rPr>
            </w:pPr>
            <w:r>
              <w:rPr>
                <w:rFonts w:ascii="Arial" w:cs="Arial" w:eastAsia="Arial" w:hAnsi="Arial"/>
                <w:sz w:val="16"/>
                <w:szCs w:val="16"/>
                <w:color w:val="auto"/>
              </w:rPr>
              <w:t>$13.64</w:t>
            </w:r>
          </w:p>
        </w:tc>
        <w:tc>
          <w:tcPr>
            <w:tcW w:w="15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12,262,319</w:t>
            </w:r>
          </w:p>
        </w:tc>
      </w:tr>
      <w:tr>
        <w:trPr>
          <w:trHeight w:val="287"/>
        </w:trPr>
        <w:tc>
          <w:tcPr>
            <w:tcW w:w="526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stockholders</w:t>
            </w:r>
          </w:p>
        </w:tc>
        <w:tc>
          <w:tcPr>
            <w:tcW w:w="16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100330</wp:posOffset>
            </wp:positionV>
            <wp:extent cx="70675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63" w:lineRule="exact"/>
        <w:rPr>
          <w:sz w:val="20"/>
          <w:szCs w:val="20"/>
          <w:color w:val="auto"/>
        </w:rPr>
      </w:pPr>
    </w:p>
    <w:p>
      <w:pPr>
        <w:ind w:left="980" w:right="60" w:hanging="400"/>
        <w:spacing w:after="0" w:line="249" w:lineRule="auto"/>
        <w:tabs>
          <w:tab w:leader="none" w:pos="9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Includes shares of common stock to be issued upon the exercise of outstanding options under our 2022 Director Plan, 2021 Omnibus Plan, 2019 Omnibus Plan, 2019 Director Plan, 2016 Omnibus Plan, 2014 Omnibus Plan and the Sovereign 2012 MEIP. Also includes 14,571,479 restricted stock units under our 2021 Omnibus Plan, 2019 Omnibus Plan, 2016 Omnibus Plan, and 2014 Omnibus Plan (including shares that may be issued pursuant to outstanding performance-based restricted stock units, assuming the target award is met; actual shares may vary, depending on actual performance. Performance-based restricted stock units granted prior to 2022 reflect the current expected payout of 125%).</w:t>
      </w:r>
    </w:p>
    <w:p>
      <w:pPr>
        <w:spacing w:after="0" w:line="81" w:lineRule="exact"/>
        <w:rPr>
          <w:rFonts w:ascii="Arial" w:cs="Arial" w:eastAsia="Arial" w:hAnsi="Arial"/>
          <w:sz w:val="15"/>
          <w:szCs w:val="15"/>
          <w:color w:val="auto"/>
        </w:rPr>
      </w:pPr>
    </w:p>
    <w:p>
      <w:pPr>
        <w:ind w:left="980" w:hanging="400"/>
        <w:spacing w:after="0"/>
        <w:tabs>
          <w:tab w:leader="none" w:pos="9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Excludes restricted stock unit awards, which do not have an exercise price.</w:t>
      </w:r>
    </w:p>
    <w:p>
      <w:pPr>
        <w:spacing w:after="0" w:line="111" w:lineRule="exact"/>
        <w:rPr>
          <w:rFonts w:ascii="Arial" w:cs="Arial" w:eastAsia="Arial" w:hAnsi="Arial"/>
          <w:sz w:val="15"/>
          <w:szCs w:val="15"/>
          <w:color w:val="auto"/>
        </w:rPr>
      </w:pPr>
    </w:p>
    <w:p>
      <w:pPr>
        <w:ind w:left="980" w:hanging="400"/>
        <w:spacing w:after="0"/>
        <w:tabs>
          <w:tab w:leader="none" w:pos="9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Excludes securities reflected in column (a).</w:t>
      </w:r>
    </w:p>
    <w:p>
      <w:pPr>
        <w:spacing w:after="0" w:line="128"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5621020" cy="149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21020" cy="149225"/>
                    </a:xfrm>
                    <a:prstGeom prst="rect">
                      <a:avLst/>
                    </a:prstGeom>
                    <a:noFill/>
                  </pic:spPr>
                </pic:pic>
              </a:graphicData>
            </a:graphic>
          </wp:anchor>
        </w:drawing>
      </w:r>
    </w:p>
    <w:p>
      <w:pPr>
        <w:spacing w:after="0" w:line="31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FFFFFF"/>
        </w:rPr>
        <w:t>PROPOSAL 4: ADVISORY, NON-BINDING VOTE ON THE COMPENSATION OF OUR NAMED EXECUTIVE OFFICERS</w:t>
      </w:r>
    </w:p>
    <w:p>
      <w:pPr>
        <w:spacing w:after="0" w:line="228" w:lineRule="exact"/>
        <w:rPr>
          <w:sz w:val="20"/>
          <w:szCs w:val="20"/>
          <w:color w:val="auto"/>
        </w:rPr>
      </w:pPr>
    </w:p>
    <w:p>
      <w:pPr>
        <w:ind w:left="580" w:right="120"/>
        <w:spacing w:after="0" w:line="293" w:lineRule="auto"/>
        <w:rPr>
          <w:sz w:val="20"/>
          <w:szCs w:val="20"/>
          <w:color w:val="auto"/>
        </w:rPr>
      </w:pPr>
      <w:r>
        <w:rPr>
          <w:rFonts w:ascii="Arial" w:cs="Arial" w:eastAsia="Arial" w:hAnsi="Arial"/>
          <w:sz w:val="36"/>
          <w:szCs w:val="36"/>
          <w:b w:val="1"/>
          <w:bCs w:val="1"/>
          <w:color w:val="CF0A2C"/>
        </w:rPr>
        <w:t>PROPOSAL 4: ADVISORY, NON-BINDING VOTE ON THE COMPENSATION OF OUR NAMED EXECUTIVE OFFICERS</w:t>
      </w:r>
    </w:p>
    <w:p>
      <w:pPr>
        <w:spacing w:after="0" w:line="39" w:lineRule="exact"/>
        <w:rPr>
          <w:sz w:val="20"/>
          <w:szCs w:val="20"/>
          <w:color w:val="auto"/>
        </w:rPr>
      </w:pPr>
    </w:p>
    <w:p>
      <w:pPr>
        <w:ind w:left="580" w:right="40"/>
        <w:spacing w:after="0" w:line="239" w:lineRule="auto"/>
        <w:rPr>
          <w:sz w:val="20"/>
          <w:szCs w:val="20"/>
          <w:color w:val="auto"/>
        </w:rPr>
      </w:pPr>
      <w:r>
        <w:rPr>
          <w:rFonts w:ascii="Arial" w:cs="Arial" w:eastAsia="Arial" w:hAnsi="Arial"/>
          <w:sz w:val="18"/>
          <w:szCs w:val="18"/>
          <w:color w:val="auto"/>
        </w:rPr>
        <w:t>In “Compensation Discussion and Analysis” and the executive compensation tables following that section, we describe in detail our executive compensation program, including its objectives, policies and components. As discussed in Compensation Discussion and Analysis, the Compensation Committee seeks to observe the following principles, while balancing them with the context of the ongoing uncertainties arising from the COVID-19 pandemic environment and the corresponding need to respond quickly to any related challenging circumstances:</w:t>
      </w:r>
    </w:p>
    <w:p>
      <w:pPr>
        <w:spacing w:after="0" w:line="70" w:lineRule="exact"/>
        <w:rPr>
          <w:sz w:val="20"/>
          <w:szCs w:val="20"/>
          <w:color w:val="auto"/>
        </w:rPr>
      </w:pPr>
    </w:p>
    <w:p>
      <w:pPr>
        <w:ind w:left="780" w:right="140" w:hanging="200"/>
        <w:spacing w:after="0" w:line="186" w:lineRule="auto"/>
        <w:tabs>
          <w:tab w:leader="none" w:pos="780" w:val="left"/>
        </w:tabs>
        <w:numPr>
          <w:ilvl w:val="0"/>
          <w:numId w:val="38"/>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Retain and hire top-caliber executive officers</w:t>
      </w:r>
      <w:r>
        <w:rPr>
          <w:rFonts w:ascii="Arial" w:cs="Arial" w:eastAsia="Arial" w:hAnsi="Arial"/>
          <w:sz w:val="15"/>
          <w:szCs w:val="15"/>
          <w:color w:val="auto"/>
        </w:rPr>
        <w:t>. Executive officers should have base salaries and employee benefits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market competitive and that permit us to hire and retain high-caliber individuals at all levels.</w:t>
      </w:r>
    </w:p>
    <w:p>
      <w:pPr>
        <w:spacing w:after="0" w:line="70" w:lineRule="exact"/>
        <w:rPr>
          <w:rFonts w:ascii="Arial" w:cs="Arial" w:eastAsia="Arial" w:hAnsi="Arial"/>
          <w:sz w:val="34"/>
          <w:szCs w:val="34"/>
          <w:color w:val="auto"/>
          <w:vertAlign w:val="subscript"/>
        </w:rPr>
      </w:pPr>
    </w:p>
    <w:p>
      <w:pPr>
        <w:ind w:left="780" w:right="140" w:hanging="200"/>
        <w:spacing w:after="0" w:line="181" w:lineRule="auto"/>
        <w:tabs>
          <w:tab w:leader="none" w:pos="780" w:val="left"/>
        </w:tabs>
        <w:numPr>
          <w:ilvl w:val="0"/>
          <w:numId w:val="38"/>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Pay for performance</w:t>
      </w:r>
      <w:r>
        <w:rPr>
          <w:rFonts w:ascii="Arial" w:cs="Arial" w:eastAsia="Arial" w:hAnsi="Arial"/>
          <w:sz w:val="17"/>
          <w:szCs w:val="17"/>
          <w:color w:val="auto"/>
        </w:rPr>
        <w:t>. A significant portion of the target total direct compensation opportunities of our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should vary with annual and long-term business performance and each individual’s contribution to that performance, while the level of “at-risk” compensation should increase as the scope of the executive officer’s responsibility increases.</w:t>
      </w:r>
    </w:p>
    <w:p>
      <w:pPr>
        <w:spacing w:after="0" w:line="71" w:lineRule="exact"/>
        <w:rPr>
          <w:rFonts w:ascii="Arial" w:cs="Arial" w:eastAsia="Arial" w:hAnsi="Arial"/>
          <w:sz w:val="39"/>
          <w:szCs w:val="39"/>
          <w:color w:val="auto"/>
          <w:vertAlign w:val="subscript"/>
        </w:rPr>
      </w:pPr>
    </w:p>
    <w:p>
      <w:pPr>
        <w:ind w:left="780" w:right="240" w:hanging="200"/>
        <w:spacing w:after="0" w:line="186" w:lineRule="auto"/>
        <w:tabs>
          <w:tab w:leader="none" w:pos="780" w:val="left"/>
        </w:tabs>
        <w:numPr>
          <w:ilvl w:val="0"/>
          <w:numId w:val="38"/>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Reward long-term growth and profitability</w:t>
      </w:r>
      <w:r>
        <w:rPr>
          <w:rFonts w:ascii="Arial" w:cs="Arial" w:eastAsia="Arial" w:hAnsi="Arial"/>
          <w:sz w:val="15"/>
          <w:szCs w:val="15"/>
          <w:color w:val="auto"/>
        </w:rPr>
        <w:t>. Executive officers should be rewarded for achieving long-term results,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these rewards should be aligned with the interests of our stockholders.</w:t>
      </w:r>
    </w:p>
    <w:p>
      <w:pPr>
        <w:spacing w:after="0" w:line="70" w:lineRule="exact"/>
        <w:rPr>
          <w:rFonts w:ascii="Arial" w:cs="Arial" w:eastAsia="Arial" w:hAnsi="Arial"/>
          <w:sz w:val="34"/>
          <w:szCs w:val="34"/>
          <w:color w:val="auto"/>
          <w:vertAlign w:val="subscript"/>
        </w:rPr>
      </w:pPr>
    </w:p>
    <w:p>
      <w:pPr>
        <w:ind w:left="780" w:hanging="200"/>
        <w:spacing w:after="0" w:line="186" w:lineRule="auto"/>
        <w:tabs>
          <w:tab w:leader="none" w:pos="780" w:val="left"/>
        </w:tabs>
        <w:numPr>
          <w:ilvl w:val="0"/>
          <w:numId w:val="38"/>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Align compensation with stockholder interests</w:t>
      </w:r>
      <w:r>
        <w:rPr>
          <w:rFonts w:ascii="Arial" w:cs="Arial" w:eastAsia="Arial" w:hAnsi="Arial"/>
          <w:sz w:val="15"/>
          <w:szCs w:val="15"/>
          <w:color w:val="auto"/>
        </w:rPr>
        <w:t>. The interests of our executive officers should be linked with those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through the risks and rewards of the ownership of shares of our common stock.</w:t>
      </w:r>
    </w:p>
    <w:p>
      <w:pPr>
        <w:spacing w:after="0" w:line="70" w:lineRule="exact"/>
        <w:rPr>
          <w:rFonts w:ascii="Arial" w:cs="Arial" w:eastAsia="Arial" w:hAnsi="Arial"/>
          <w:sz w:val="34"/>
          <w:szCs w:val="34"/>
          <w:color w:val="auto"/>
          <w:vertAlign w:val="subscript"/>
        </w:rPr>
      </w:pPr>
    </w:p>
    <w:p>
      <w:pPr>
        <w:ind w:left="780" w:right="160" w:hanging="200"/>
        <w:spacing w:after="0" w:line="186" w:lineRule="auto"/>
        <w:tabs>
          <w:tab w:leader="none" w:pos="780" w:val="left"/>
        </w:tabs>
        <w:numPr>
          <w:ilvl w:val="0"/>
          <w:numId w:val="38"/>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Provide limited personal benefits</w:t>
      </w:r>
      <w:r>
        <w:rPr>
          <w:rFonts w:ascii="Arial" w:cs="Arial" w:eastAsia="Arial" w:hAnsi="Arial"/>
          <w:sz w:val="15"/>
          <w:szCs w:val="15"/>
          <w:color w:val="auto"/>
        </w:rPr>
        <w:t>. Perquisites and other personal benefits for our executive officers should be limited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items that serve a reasonable business purpose.</w:t>
      </w:r>
    </w:p>
    <w:p>
      <w:pPr>
        <w:spacing w:after="0" w:line="70" w:lineRule="exact"/>
        <w:rPr>
          <w:rFonts w:ascii="Arial" w:cs="Arial" w:eastAsia="Arial" w:hAnsi="Arial"/>
          <w:sz w:val="34"/>
          <w:szCs w:val="34"/>
          <w:color w:val="auto"/>
          <w:vertAlign w:val="subscript"/>
        </w:rPr>
      </w:pPr>
    </w:p>
    <w:p>
      <w:pPr>
        <w:ind w:left="780" w:right="80" w:hanging="200"/>
        <w:spacing w:after="0" w:line="181" w:lineRule="auto"/>
        <w:tabs>
          <w:tab w:leader="none" w:pos="780" w:val="left"/>
        </w:tabs>
        <w:numPr>
          <w:ilvl w:val="0"/>
          <w:numId w:val="38"/>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Promote transparency</w:t>
      </w:r>
      <w:r>
        <w:rPr>
          <w:rFonts w:ascii="Arial" w:cs="Arial" w:eastAsia="Arial" w:hAnsi="Arial"/>
          <w:sz w:val="17"/>
          <w:szCs w:val="17"/>
          <w:color w:val="auto"/>
        </w:rPr>
        <w:t>. We seek to establish an efficient, simple, and transparent process for executives in designing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arrangements, setting performance objectives for annual and long-term incentive compensation opportunities, and making compensation decisions.</w:t>
      </w:r>
    </w:p>
    <w:p>
      <w:pPr>
        <w:spacing w:after="0" w:line="158" w:lineRule="exact"/>
        <w:rPr>
          <w:sz w:val="20"/>
          <w:szCs w:val="20"/>
          <w:color w:val="auto"/>
        </w:rPr>
      </w:pPr>
    </w:p>
    <w:p>
      <w:pPr>
        <w:ind w:left="580" w:right="40"/>
        <w:spacing w:after="0" w:line="239" w:lineRule="auto"/>
        <w:rPr>
          <w:sz w:val="20"/>
          <w:szCs w:val="20"/>
          <w:color w:val="auto"/>
        </w:rPr>
      </w:pPr>
      <w:r>
        <w:rPr>
          <w:rFonts w:ascii="Arial" w:cs="Arial" w:eastAsia="Arial" w:hAnsi="Arial"/>
          <w:sz w:val="18"/>
          <w:szCs w:val="18"/>
          <w:color w:val="auto"/>
        </w:rPr>
        <w:t>For a more detailed discussion of how our executive compensation program reflects these objectives, policies, and principles, including information about the 2022 compensation of our named executive officers, see “Compensation Discussion and Analysis.” The Compensation Committee and our Board of Directors believe that the policies, practices, and compensation components described in “Compensation Discussion and Analysis” are effective in achieving our objectives in light of the current environment.</w:t>
      </w:r>
    </w:p>
    <w:p>
      <w:pPr>
        <w:spacing w:after="0" w:line="156" w:lineRule="exact"/>
        <w:rPr>
          <w:sz w:val="20"/>
          <w:szCs w:val="20"/>
          <w:color w:val="auto"/>
        </w:rPr>
      </w:pPr>
    </w:p>
    <w:p>
      <w:pPr>
        <w:ind w:left="580" w:right="60"/>
        <w:spacing w:after="0" w:line="239" w:lineRule="auto"/>
        <w:rPr>
          <w:sz w:val="20"/>
          <w:szCs w:val="20"/>
          <w:color w:val="auto"/>
        </w:rPr>
      </w:pPr>
      <w:r>
        <w:rPr>
          <w:rFonts w:ascii="Arial" w:cs="Arial" w:eastAsia="Arial" w:hAnsi="Arial"/>
          <w:sz w:val="18"/>
          <w:szCs w:val="18"/>
          <w:color w:val="auto"/>
        </w:rPr>
        <w:t>We are asking our stockholders to indicate their support for our executive compensation as described in this proxy statement. This proposal, commonly known as a “say-on-pay” proposal, gives our stockholders the opportunity to express their views on our executive compensation program. This vote is not intended to address any specific item of compensation, but rather the overall compensation of our executive officers and the objectives, policies, and practices described in this proxy statement. Accordingly, we will ask our stockholders to vote on the following resolution at the Annual Meeting:</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RESOLVED, that the compensation paid to the Corporation’s named executive officers, as disclosed pursuant to</w:t>
      </w:r>
    </w:p>
    <w:p>
      <w:pPr>
        <w:spacing w:after="0" w:line="9" w:lineRule="exact"/>
        <w:rPr>
          <w:sz w:val="20"/>
          <w:szCs w:val="20"/>
          <w:color w:val="auto"/>
        </w:rPr>
      </w:pPr>
    </w:p>
    <w:p>
      <w:pPr>
        <w:ind w:left="1080" w:right="140"/>
        <w:spacing w:after="0" w:line="246" w:lineRule="auto"/>
        <w:rPr>
          <w:sz w:val="20"/>
          <w:szCs w:val="20"/>
          <w:color w:val="auto"/>
        </w:rPr>
      </w:pPr>
      <w:r>
        <w:rPr>
          <w:rFonts w:ascii="Arial" w:cs="Arial" w:eastAsia="Arial" w:hAnsi="Arial"/>
          <w:sz w:val="18"/>
          <w:szCs w:val="18"/>
          <w:color w:val="auto"/>
        </w:rPr>
        <w:t>Item 402 of Regulation S-K, including the Compensation Discussion and Analysis, compensation tables, and narrative discussion, is hereby approved.</w:t>
      </w:r>
    </w:p>
    <w:p>
      <w:pPr>
        <w:spacing w:after="0" w:line="90"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52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194310</wp:posOffset>
            </wp:positionV>
            <wp:extent cx="5511165" cy="149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11165" cy="149225"/>
                    </a:xfrm>
                    <a:prstGeom prst="rect">
                      <a:avLst/>
                    </a:prstGeom>
                    <a:noFill/>
                  </pic:spPr>
                </pic:pic>
              </a:graphicData>
            </a:graphic>
          </wp:anchor>
        </w:drawing>
      </w:r>
    </w:p>
    <w:p>
      <w:pPr>
        <w:spacing w:after="0" w:line="311"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FFFFFF"/>
        </w:rPr>
        <w:t>PROPOSAL 4: ADVISORY, NON-BINDING VOTE ON THE COMPENSATION OF OUR NAMED EXECUTIVE OFFICERS</w:t>
      </w:r>
    </w:p>
    <w:p>
      <w:pPr>
        <w:spacing w:after="0" w:line="239" w:lineRule="exact"/>
        <w:rPr>
          <w:sz w:val="20"/>
          <w:szCs w:val="20"/>
          <w:color w:val="auto"/>
        </w:rPr>
      </w:pPr>
    </w:p>
    <w:p>
      <w:pPr>
        <w:ind w:left="580" w:right="20"/>
        <w:spacing w:after="0" w:line="239" w:lineRule="auto"/>
        <w:rPr>
          <w:sz w:val="20"/>
          <w:szCs w:val="20"/>
          <w:color w:val="auto"/>
        </w:rPr>
      </w:pPr>
      <w:r>
        <w:rPr>
          <w:rFonts w:ascii="Arial" w:cs="Arial" w:eastAsia="Arial" w:hAnsi="Arial"/>
          <w:sz w:val="18"/>
          <w:szCs w:val="18"/>
          <w:color w:val="auto"/>
        </w:rPr>
        <w:t>This proposal is being presented pursuant to Section 14A of the Exchange Act. The say-on-pay vote is advisory and is therefore not binding on us, the Compensation Committee, or our Board of Directors. The Compensation Committee and our Board of Directors value the opinions of our stockholders and, to the extent there is any significant vote against our executive compensation program as disclosed in this proxy statement, will consider our stockholders’ concerns, and the Compensation Committee will evaluate whether any actions are necessary to address those concerns.</w:t>
      </w:r>
    </w:p>
    <w:p>
      <w:pPr>
        <w:spacing w:after="0" w:line="156" w:lineRule="exact"/>
        <w:rPr>
          <w:sz w:val="20"/>
          <w:szCs w:val="20"/>
          <w:color w:val="auto"/>
        </w:rPr>
      </w:pPr>
    </w:p>
    <w:p>
      <w:pPr>
        <w:jc w:val="both"/>
        <w:ind w:left="580" w:right="560"/>
        <w:spacing w:after="0" w:line="27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color w:val="CF0A2C"/>
        </w:rPr>
        <w:t>FOR</w:t>
      </w:r>
      <w:r>
        <w:rPr>
          <w:rFonts w:ascii="Arial" w:cs="Arial" w:eastAsia="Arial" w:hAnsi="Arial"/>
          <w:sz w:val="18"/>
          <w:szCs w:val="18"/>
          <w:b w:val="1"/>
          <w:bCs w:val="1"/>
          <w:color w:val="auto"/>
        </w:rPr>
        <w:t xml:space="preserve"> the approval of the compensation of our named executive officers, as disclosed in this proxy statement pursuant to the SEC’s compensation disclosure rules.</w:t>
      </w:r>
    </w:p>
    <w:p>
      <w:pPr>
        <w:spacing w:after="0" w:line="56" w:lineRule="exact"/>
        <w:rPr>
          <w:sz w:val="20"/>
          <w:szCs w:val="20"/>
          <w:color w:val="auto"/>
        </w:rPr>
      </w:pPr>
    </w:p>
    <w:p>
      <w:pPr>
        <w:jc w:val="right"/>
        <w:spacing w:after="0"/>
        <w:tabs>
          <w:tab w:leader="none" w:pos="2580" w:val="left"/>
          <w:tab w:leader="none" w:pos="540" w:val="left"/>
          <w:tab w:leader="none" w:pos="18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-107315</wp:posOffset>
            </wp:positionV>
            <wp:extent cx="415925" cy="1022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COMPENSATION DISCUSSION AND ANALYSIS</w:t>
      </w:r>
    </w:p>
    <w:p>
      <w:pPr>
        <w:spacing w:after="0" w:line="215" w:lineRule="exact"/>
        <w:rPr>
          <w:sz w:val="20"/>
          <w:szCs w:val="20"/>
          <w:color w:val="auto"/>
        </w:rPr>
      </w:pPr>
    </w:p>
    <w:p>
      <w:pPr>
        <w:ind w:left="580" w:right="240"/>
        <w:spacing w:after="0" w:line="248" w:lineRule="auto"/>
        <w:rPr>
          <w:sz w:val="20"/>
          <w:szCs w:val="20"/>
          <w:color w:val="auto"/>
        </w:rPr>
      </w:pPr>
      <w:r>
        <w:rPr>
          <w:rFonts w:ascii="Arial" w:cs="Arial" w:eastAsia="Arial" w:hAnsi="Arial"/>
          <w:sz w:val="18"/>
          <w:szCs w:val="18"/>
          <w:color w:val="auto"/>
        </w:rPr>
        <w:t>This Compensation Discussion and Analysis addresses the principles underlying our executive compensation program and the policies and practices that contributed to our executive compensation actions and decisions for the year ended December 31, 2022 for our named executive officers. For 2022,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124460</wp:posOffset>
            </wp:positionV>
            <wp:extent cx="15875" cy="147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875" cy="1475740"/>
                    </a:xfrm>
                    <a:prstGeom prst="rect">
                      <a:avLst/>
                    </a:prstGeom>
                    <a:noFill/>
                  </pic:spPr>
                </pic:pic>
              </a:graphicData>
            </a:graphic>
          </wp:anchor>
        </w:drawing>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2740" w:type="dxa"/>
            <w:vAlign w:val="bottom"/>
            <w:tcBorders>
              <w:bottom w:val="single" w:sz="8" w:color="666666"/>
            </w:tcBorders>
            <w:shd w:val="clear" w:color="auto" w:fill="666666"/>
          </w:tcPr>
          <w:p>
            <w:pPr>
              <w:ind w:left="60"/>
              <w:spacing w:after="0"/>
              <w:rPr>
                <w:sz w:val="20"/>
                <w:szCs w:val="20"/>
                <w:color w:val="auto"/>
              </w:rPr>
            </w:pPr>
            <w:r>
              <w:rPr>
                <w:rFonts w:ascii="Arial" w:cs="Arial" w:eastAsia="Arial" w:hAnsi="Arial"/>
                <w:sz w:val="15"/>
                <w:szCs w:val="15"/>
                <w:b w:val="1"/>
                <w:bCs w:val="1"/>
                <w:color w:val="FFFFFF"/>
              </w:rPr>
              <w:t>Name</w:t>
            </w:r>
          </w:p>
        </w:tc>
        <w:tc>
          <w:tcPr>
            <w:tcW w:w="7340" w:type="dxa"/>
            <w:vAlign w:val="bottom"/>
            <w:tcBorders>
              <w:bottom w:val="single" w:sz="8" w:color="666666"/>
            </w:tcBorders>
            <w:shd w:val="clear" w:color="auto" w:fill="666666"/>
          </w:tcPr>
          <w:p>
            <w:pPr>
              <w:ind w:left="100"/>
              <w:spacing w:after="0"/>
              <w:rPr>
                <w:sz w:val="20"/>
                <w:szCs w:val="20"/>
                <w:color w:val="auto"/>
              </w:rPr>
            </w:pPr>
            <w:r>
              <w:rPr>
                <w:rFonts w:ascii="Arial" w:cs="Arial" w:eastAsia="Arial" w:hAnsi="Arial"/>
                <w:sz w:val="15"/>
                <w:szCs w:val="15"/>
                <w:b w:val="1"/>
                <w:bCs w:val="1"/>
                <w:color w:val="FFFFFF"/>
              </w:rPr>
              <w:t>Position</w:t>
            </w:r>
          </w:p>
        </w:tc>
      </w:tr>
      <w:tr>
        <w:trPr>
          <w:trHeight w:val="260"/>
        </w:trPr>
        <w:tc>
          <w:tcPr>
            <w:tcW w:w="274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Sean Menke</w:t>
            </w:r>
          </w:p>
        </w:tc>
        <w:tc>
          <w:tcPr>
            <w:tcW w:w="7340" w:type="dxa"/>
            <w:vAlign w:val="bottom"/>
            <w:shd w:val="clear" w:color="auto" w:fill="E5E5E5"/>
          </w:tcPr>
          <w:p>
            <w:pPr>
              <w:ind w:left="100"/>
              <w:spacing w:after="0" w:line="259" w:lineRule="exact"/>
              <w:rPr>
                <w:sz w:val="20"/>
                <w:szCs w:val="20"/>
                <w:color w:val="auto"/>
              </w:rPr>
            </w:pPr>
            <w:r>
              <w:rPr>
                <w:rFonts w:ascii="Arial" w:cs="Arial" w:eastAsia="Arial" w:hAnsi="Arial"/>
                <w:sz w:val="16"/>
                <w:szCs w:val="16"/>
                <w:color w:val="auto"/>
              </w:rPr>
              <w:t>Chair of the Board and Chief Executive Officer</w:t>
            </w:r>
            <w:r>
              <w:rPr>
                <w:rFonts w:ascii="Arial" w:cs="Arial" w:eastAsia="Arial" w:hAnsi="Arial"/>
                <w:sz w:val="24"/>
                <w:szCs w:val="24"/>
                <w:color w:val="auto"/>
                <w:vertAlign w:val="superscript"/>
              </w:rPr>
              <w:t>(1)</w:t>
            </w:r>
          </w:p>
        </w:tc>
      </w:tr>
      <w:tr>
        <w:trPr>
          <w:trHeight w:val="260"/>
        </w:trPr>
        <w:tc>
          <w:tcPr>
            <w:tcW w:w="2740" w:type="dxa"/>
            <w:vAlign w:val="bottom"/>
          </w:tcPr>
          <w:p>
            <w:pPr>
              <w:ind w:left="60"/>
              <w:spacing w:after="0"/>
              <w:rPr>
                <w:sz w:val="20"/>
                <w:szCs w:val="20"/>
                <w:color w:val="auto"/>
              </w:rPr>
            </w:pPr>
            <w:r>
              <w:rPr>
                <w:rFonts w:ascii="Arial" w:cs="Arial" w:eastAsia="Arial" w:hAnsi="Arial"/>
                <w:sz w:val="16"/>
                <w:szCs w:val="16"/>
                <w:color w:val="auto"/>
              </w:rPr>
              <w:t>Michael Randolfi</w:t>
            </w:r>
          </w:p>
        </w:tc>
        <w:tc>
          <w:tcPr>
            <w:tcW w:w="7340" w:type="dxa"/>
            <w:vAlign w:val="bottom"/>
          </w:tcPr>
          <w:p>
            <w:pPr>
              <w:ind w:left="100"/>
              <w:spacing w:after="0" w:line="259" w:lineRule="exact"/>
              <w:rPr>
                <w:sz w:val="20"/>
                <w:szCs w:val="20"/>
                <w:color w:val="auto"/>
              </w:rPr>
            </w:pPr>
            <w:r>
              <w:rPr>
                <w:rFonts w:ascii="Arial" w:cs="Arial" w:eastAsia="Arial" w:hAnsi="Arial"/>
                <w:sz w:val="16"/>
                <w:szCs w:val="16"/>
                <w:color w:val="auto"/>
              </w:rPr>
              <w:t>Executive Vice President and Chief Financial Officer</w:t>
            </w:r>
            <w:r>
              <w:rPr>
                <w:rFonts w:ascii="Arial" w:cs="Arial" w:eastAsia="Arial" w:hAnsi="Arial"/>
                <w:sz w:val="24"/>
                <w:szCs w:val="24"/>
                <w:color w:val="auto"/>
                <w:vertAlign w:val="superscript"/>
              </w:rPr>
              <w:t>(2)</w:t>
            </w:r>
          </w:p>
        </w:tc>
      </w:tr>
      <w:tr>
        <w:trPr>
          <w:trHeight w:val="260"/>
        </w:trPr>
        <w:tc>
          <w:tcPr>
            <w:tcW w:w="2740" w:type="dxa"/>
            <w:vAlign w:val="bottom"/>
            <w:shd w:val="clear" w:color="auto" w:fill="E5E5E5"/>
          </w:tcPr>
          <w:p>
            <w:pPr>
              <w:ind w:left="60"/>
              <w:spacing w:after="0"/>
              <w:rPr>
                <w:sz w:val="20"/>
                <w:szCs w:val="20"/>
                <w:color w:val="auto"/>
              </w:rPr>
            </w:pPr>
            <w:r>
              <w:rPr>
                <w:rFonts w:ascii="Arial" w:cs="Arial" w:eastAsia="Arial" w:hAnsi="Arial"/>
                <w:sz w:val="16"/>
                <w:szCs w:val="16"/>
                <w:color w:val="auto"/>
              </w:rPr>
              <w:t>Kurt Ekert</w:t>
            </w:r>
          </w:p>
        </w:tc>
        <w:tc>
          <w:tcPr>
            <w:tcW w:w="7340" w:type="dxa"/>
            <w:vAlign w:val="bottom"/>
            <w:shd w:val="clear" w:color="auto" w:fill="E5E5E5"/>
          </w:tcPr>
          <w:p>
            <w:pPr>
              <w:ind w:left="100"/>
              <w:spacing w:after="0" w:line="259" w:lineRule="exact"/>
              <w:rPr>
                <w:sz w:val="20"/>
                <w:szCs w:val="20"/>
                <w:color w:val="auto"/>
              </w:rPr>
            </w:pPr>
            <w:r>
              <w:rPr>
                <w:rFonts w:ascii="Arial" w:cs="Arial" w:eastAsia="Arial" w:hAnsi="Arial"/>
                <w:sz w:val="16"/>
                <w:szCs w:val="16"/>
                <w:color w:val="auto"/>
              </w:rPr>
              <w:t>President</w:t>
            </w:r>
            <w:r>
              <w:rPr>
                <w:rFonts w:ascii="Arial" w:cs="Arial" w:eastAsia="Arial" w:hAnsi="Arial"/>
                <w:sz w:val="24"/>
                <w:szCs w:val="24"/>
                <w:color w:val="auto"/>
                <w:vertAlign w:val="superscript"/>
              </w:rPr>
              <w:t>(3)</w:t>
            </w: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color w:val="auto"/>
              </w:rPr>
              <w:t>David Moore</w:t>
            </w:r>
          </w:p>
        </w:tc>
        <w:tc>
          <w:tcPr>
            <w:tcW w:w="7340" w:type="dxa"/>
            <w:vAlign w:val="bottom"/>
          </w:tcPr>
          <w:p>
            <w:pPr>
              <w:ind w:left="100"/>
              <w:spacing w:after="0"/>
              <w:rPr>
                <w:sz w:val="20"/>
                <w:szCs w:val="20"/>
                <w:color w:val="auto"/>
              </w:rPr>
            </w:pPr>
            <w:r>
              <w:rPr>
                <w:rFonts w:ascii="Arial" w:cs="Arial" w:eastAsia="Arial" w:hAnsi="Arial"/>
                <w:sz w:val="16"/>
                <w:szCs w:val="16"/>
                <w:color w:val="auto"/>
              </w:rPr>
              <w:t>Executive Vice President and Chief Technology Officer</w:t>
            </w:r>
          </w:p>
        </w:tc>
      </w:tr>
      <w:tr>
        <w:trPr>
          <w:trHeight w:val="22"/>
        </w:trPr>
        <w:tc>
          <w:tcPr>
            <w:tcW w:w="27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40"/>
        </w:trPr>
        <w:tc>
          <w:tcPr>
            <w:tcW w:w="27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Scott Wilson</w:t>
            </w:r>
          </w:p>
        </w:tc>
        <w:tc>
          <w:tcPr>
            <w:tcW w:w="73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6"/>
                <w:szCs w:val="16"/>
                <w:color w:val="auto"/>
              </w:rPr>
              <w:t>Executive Vice President and President, Hospitality Solutions</w:t>
            </w:r>
          </w:p>
        </w:tc>
      </w:tr>
      <w:tr>
        <w:trPr>
          <w:trHeight w:val="260"/>
        </w:trPr>
        <w:tc>
          <w:tcPr>
            <w:tcW w:w="2740" w:type="dxa"/>
            <w:vAlign w:val="bottom"/>
          </w:tcPr>
          <w:p>
            <w:pPr>
              <w:ind w:left="60"/>
              <w:spacing w:after="0"/>
              <w:rPr>
                <w:sz w:val="20"/>
                <w:szCs w:val="20"/>
                <w:color w:val="auto"/>
              </w:rPr>
            </w:pPr>
            <w:r>
              <w:rPr>
                <w:rFonts w:ascii="Arial" w:cs="Arial" w:eastAsia="Arial" w:hAnsi="Arial"/>
                <w:sz w:val="16"/>
                <w:szCs w:val="16"/>
                <w:color w:val="auto"/>
              </w:rPr>
              <w:t>Douglas Barnett</w:t>
            </w:r>
          </w:p>
        </w:tc>
        <w:tc>
          <w:tcPr>
            <w:tcW w:w="7340" w:type="dxa"/>
            <w:vAlign w:val="bottom"/>
          </w:tcPr>
          <w:p>
            <w:pPr>
              <w:ind w:left="100"/>
              <w:spacing w:after="0" w:line="259" w:lineRule="exact"/>
              <w:rPr>
                <w:sz w:val="20"/>
                <w:szCs w:val="20"/>
                <w:color w:val="auto"/>
              </w:rPr>
            </w:pPr>
            <w:r>
              <w:rPr>
                <w:rFonts w:ascii="Arial" w:cs="Arial" w:eastAsia="Arial" w:hAnsi="Arial"/>
                <w:sz w:val="16"/>
                <w:szCs w:val="16"/>
                <w:color w:val="auto"/>
              </w:rPr>
              <w:t>Former Executive Vice President and Chief Financial Officer</w:t>
            </w:r>
            <w:r>
              <w:rPr>
                <w:rFonts w:ascii="Arial" w:cs="Arial" w:eastAsia="Arial" w:hAnsi="Arial"/>
                <w:sz w:val="24"/>
                <w:szCs w:val="24"/>
                <w:color w:val="auto"/>
                <w:vertAlign w:val="superscript"/>
              </w:rPr>
              <w:t>(4)</w:t>
            </w:r>
          </w:p>
        </w:tc>
      </w:tr>
      <w:tr>
        <w:trPr>
          <w:trHeight w:val="260"/>
        </w:trPr>
        <w:tc>
          <w:tcPr>
            <w:tcW w:w="2740" w:type="dxa"/>
            <w:vAlign w:val="bottom"/>
            <w:shd w:val="clear" w:color="auto" w:fill="E5E5E5"/>
          </w:tcPr>
          <w:p>
            <w:pPr>
              <w:ind w:left="60"/>
              <w:spacing w:after="0"/>
              <w:rPr>
                <w:sz w:val="20"/>
                <w:szCs w:val="20"/>
                <w:color w:val="auto"/>
              </w:rPr>
            </w:pPr>
            <w:r>
              <w:rPr>
                <w:rFonts w:ascii="Arial" w:cs="Arial" w:eastAsia="Arial" w:hAnsi="Arial"/>
                <w:sz w:val="16"/>
                <w:szCs w:val="16"/>
                <w:color w:val="auto"/>
              </w:rPr>
              <w:t>Wade Jones</w:t>
            </w:r>
          </w:p>
        </w:tc>
        <w:tc>
          <w:tcPr>
            <w:tcW w:w="7340" w:type="dxa"/>
            <w:vAlign w:val="bottom"/>
            <w:shd w:val="clear" w:color="auto" w:fill="E5E5E5"/>
          </w:tcPr>
          <w:p>
            <w:pPr>
              <w:ind w:left="100"/>
              <w:spacing w:after="0" w:line="259" w:lineRule="exact"/>
              <w:rPr>
                <w:sz w:val="20"/>
                <w:szCs w:val="20"/>
                <w:color w:val="auto"/>
              </w:rPr>
            </w:pPr>
            <w:r>
              <w:rPr>
                <w:rFonts w:ascii="Arial" w:cs="Arial" w:eastAsia="Arial" w:hAnsi="Arial"/>
                <w:sz w:val="16"/>
                <w:szCs w:val="16"/>
                <w:color w:val="auto"/>
              </w:rPr>
              <w:t>Former Executive Vice President and Chief Product Officer</w:t>
            </w:r>
            <w:r>
              <w:rPr>
                <w:rFonts w:ascii="Arial" w:cs="Arial" w:eastAsia="Arial" w:hAnsi="Arial"/>
                <w:sz w:val="24"/>
                <w:szCs w:val="24"/>
                <w:color w:val="auto"/>
                <w:vertAlign w:val="superscript"/>
              </w:rPr>
              <w:t>(4)</w:t>
            </w:r>
          </w:p>
        </w:tc>
      </w:tr>
      <w:tr>
        <w:trPr>
          <w:trHeight w:val="356"/>
        </w:trPr>
        <w:tc>
          <w:tcPr>
            <w:tcW w:w="2740" w:type="dxa"/>
            <w:vAlign w:val="bottom"/>
          </w:tcPr>
          <w:p>
            <w:pPr>
              <w:ind w:left="60"/>
              <w:spacing w:after="0"/>
              <w:rPr>
                <w:sz w:val="20"/>
                <w:szCs w:val="20"/>
                <w:color w:val="auto"/>
              </w:rPr>
            </w:pPr>
            <w:r>
              <w:rPr>
                <w:rFonts w:ascii="Arial" w:cs="Arial" w:eastAsia="Arial" w:hAnsi="Arial"/>
                <w:sz w:val="16"/>
                <w:szCs w:val="16"/>
                <w:color w:val="auto"/>
              </w:rPr>
              <w:t>Cem Tanyel</w:t>
            </w:r>
          </w:p>
        </w:tc>
        <w:tc>
          <w:tcPr>
            <w:tcW w:w="7340" w:type="dxa"/>
            <w:vAlign w:val="bottom"/>
          </w:tcPr>
          <w:p>
            <w:pPr>
              <w:ind w:left="100"/>
              <w:spacing w:after="0"/>
              <w:rPr>
                <w:sz w:val="20"/>
                <w:szCs w:val="20"/>
                <w:color w:val="auto"/>
              </w:rPr>
            </w:pPr>
            <w:r>
              <w:rPr>
                <w:rFonts w:ascii="Arial" w:cs="Arial" w:eastAsia="Arial" w:hAnsi="Arial"/>
                <w:sz w:val="16"/>
                <w:szCs w:val="16"/>
                <w:color w:val="auto"/>
              </w:rPr>
              <w:t>Former Executive Vice President and Chief Services Officer</w:t>
            </w:r>
            <w:r>
              <w:rPr>
                <w:rFonts w:ascii="Arial" w:cs="Arial" w:eastAsia="Arial" w:hAnsi="Arial"/>
                <w:sz w:val="24"/>
                <w:szCs w:val="24"/>
                <w:color w:val="auto"/>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24765</wp:posOffset>
            </wp:positionV>
            <wp:extent cx="70675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57" w:lineRule="exact"/>
        <w:rPr>
          <w:sz w:val="20"/>
          <w:szCs w:val="20"/>
          <w:color w:val="auto"/>
        </w:rPr>
      </w:pPr>
    </w:p>
    <w:p>
      <w:pPr>
        <w:ind w:left="980" w:right="580" w:hanging="400"/>
        <w:spacing w:after="0" w:line="273" w:lineRule="auto"/>
        <w:tabs>
          <w:tab w:leader="none" w:pos="9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Menke was elected Chair of the Board effective as of April 28, 2022. Effective as of April 27, 2023, Mr. Menke will transition to be solely Executive Chair of the Board.</w:t>
      </w:r>
    </w:p>
    <w:p>
      <w:pPr>
        <w:spacing w:after="0" w:line="65" w:lineRule="exact"/>
        <w:rPr>
          <w:rFonts w:ascii="Arial" w:cs="Arial" w:eastAsia="Arial" w:hAnsi="Arial"/>
          <w:sz w:val="15"/>
          <w:szCs w:val="15"/>
          <w:color w:val="auto"/>
        </w:rPr>
      </w:pPr>
    </w:p>
    <w:p>
      <w:pPr>
        <w:ind w:left="980" w:hanging="400"/>
        <w:spacing w:after="0"/>
        <w:tabs>
          <w:tab w:leader="none" w:pos="9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Randolfi was elected Executive Vice President and Chief Financial Officer effective as of August 22, 2022.</w:t>
      </w:r>
    </w:p>
    <w:p>
      <w:pPr>
        <w:spacing w:after="0" w:line="111" w:lineRule="exact"/>
        <w:rPr>
          <w:rFonts w:ascii="Arial" w:cs="Arial" w:eastAsia="Arial" w:hAnsi="Arial"/>
          <w:sz w:val="15"/>
          <w:szCs w:val="15"/>
          <w:color w:val="auto"/>
        </w:rPr>
      </w:pPr>
    </w:p>
    <w:p>
      <w:pPr>
        <w:ind w:left="980" w:hanging="400"/>
        <w:spacing w:after="0"/>
        <w:tabs>
          <w:tab w:leader="none" w:pos="9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Effective as of April 27, 2023, Mr. Ekert has been elected as Chief Executive Officer and President.</w:t>
      </w:r>
    </w:p>
    <w:p>
      <w:pPr>
        <w:spacing w:after="0" w:line="111" w:lineRule="exact"/>
        <w:rPr>
          <w:rFonts w:ascii="Arial" w:cs="Arial" w:eastAsia="Arial" w:hAnsi="Arial"/>
          <w:sz w:val="15"/>
          <w:szCs w:val="15"/>
          <w:color w:val="auto"/>
        </w:rPr>
      </w:pPr>
    </w:p>
    <w:p>
      <w:pPr>
        <w:ind w:left="980" w:right="60" w:hanging="400"/>
        <w:spacing w:after="0" w:line="251" w:lineRule="auto"/>
        <w:tabs>
          <w:tab w:leader="none" w:pos="9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Barnett ceased serving as Executive Vice President and Chief Financial Officer effective as of August 22, 2022, and his last day of employment was October 31, 2022. Mr. Jones and Mr. Tanyel ceased serving as Executive Vice President and Chief Product Officer and Executive Vice President and Chief Services Officer, respectively, effective as of July 31, 2022, and their last day of employment with Sabre was September 30, 2022.</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Business Overview</w:t>
      </w:r>
    </w:p>
    <w:p>
      <w:pPr>
        <w:spacing w:after="0" w:line="88" w:lineRule="exact"/>
        <w:rPr>
          <w:sz w:val="20"/>
          <w:szCs w:val="20"/>
          <w:color w:val="auto"/>
        </w:rPr>
      </w:pPr>
    </w:p>
    <w:p>
      <w:pPr>
        <w:ind w:left="580" w:right="20"/>
        <w:spacing w:after="0" w:line="245" w:lineRule="auto"/>
        <w:rPr>
          <w:sz w:val="20"/>
          <w:szCs w:val="20"/>
          <w:color w:val="auto"/>
        </w:rPr>
      </w:pPr>
      <w:r>
        <w:rPr>
          <w:rFonts w:ascii="Arial" w:cs="Arial" w:eastAsia="Arial" w:hAnsi="Arial"/>
          <w:sz w:val="18"/>
          <w:szCs w:val="18"/>
          <w:color w:val="auto"/>
        </w:rPr>
        <w:t>We continued to experience a recovery in 2022 from the effects of the COVID-19 pandemic on the global travel industry. In addition, we continued to achieve our interim technology transformation milestones, leading to initial incremental savings from our migration efforts and infrastructure investments. These items were reflected in our full-year 2022 results:</w:t>
      </w:r>
    </w:p>
    <w:p>
      <w:pPr>
        <w:ind w:left="780" w:hanging="200"/>
        <w:spacing w:after="0" w:line="180" w:lineRule="auto"/>
        <w:tabs>
          <w:tab w:leader="none" w:pos="780" w:val="left"/>
        </w:tabs>
        <w:numPr>
          <w:ilvl w:val="0"/>
          <w:numId w:val="40"/>
        </w:numPr>
        <w:rPr>
          <w:rFonts w:ascii="Arial" w:cs="Arial" w:eastAsia="Arial" w:hAnsi="Arial"/>
          <w:sz w:val="36"/>
          <w:szCs w:val="36"/>
          <w:color w:val="auto"/>
          <w:vertAlign w:val="subscript"/>
        </w:rPr>
      </w:pPr>
      <w:r>
        <w:rPr>
          <w:rFonts w:ascii="Arial" w:cs="Arial" w:eastAsia="Arial" w:hAnsi="Arial"/>
          <w:sz w:val="16"/>
          <w:szCs w:val="16"/>
          <w:color w:val="auto"/>
        </w:rPr>
        <w:t>Revenue totaled $2.5 billion, a 50% improvement versus revenue of $1.7 billion in 2021.</w:t>
      </w:r>
    </w:p>
    <w:p>
      <w:pPr>
        <w:spacing w:after="0" w:line="143" w:lineRule="exact"/>
        <w:rPr>
          <w:rFonts w:ascii="Arial" w:cs="Arial" w:eastAsia="Arial" w:hAnsi="Arial"/>
          <w:sz w:val="36"/>
          <w:szCs w:val="36"/>
          <w:color w:val="auto"/>
          <w:vertAlign w:val="subscript"/>
        </w:rPr>
      </w:pPr>
    </w:p>
    <w:p>
      <w:pPr>
        <w:ind w:left="780" w:right="280" w:hanging="200"/>
        <w:spacing w:after="0" w:line="186" w:lineRule="auto"/>
        <w:tabs>
          <w:tab w:leader="none" w:pos="780" w:val="left"/>
        </w:tabs>
        <w:numPr>
          <w:ilvl w:val="0"/>
          <w:numId w:val="40"/>
        </w:numPr>
        <w:rPr>
          <w:rFonts w:ascii="Arial" w:cs="Arial" w:eastAsia="Arial" w:hAnsi="Arial"/>
          <w:sz w:val="34"/>
          <w:szCs w:val="34"/>
          <w:color w:val="auto"/>
          <w:vertAlign w:val="subscript"/>
        </w:rPr>
      </w:pPr>
      <w:r>
        <w:rPr>
          <w:rFonts w:ascii="Arial" w:cs="Arial" w:eastAsia="Arial" w:hAnsi="Arial"/>
          <w:sz w:val="15"/>
          <w:szCs w:val="15"/>
          <w:color w:val="auto"/>
        </w:rPr>
        <w:t>Net loss attributable to common stockholders totaled $457 million, a 52% improvement versus net loss of $950 million in 2021, and diluted net loss attributable to common stockholders per share was $1.40 versus $2.96 in 2021.</w:t>
      </w:r>
    </w:p>
    <w:p>
      <w:pPr>
        <w:spacing w:after="0" w:line="1"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40"/>
        </w:numPr>
        <w:rPr>
          <w:rFonts w:ascii="Arial" w:cs="Arial" w:eastAsia="Arial" w:hAnsi="Arial"/>
          <w:sz w:val="35"/>
          <w:szCs w:val="35"/>
          <w:color w:val="auto"/>
          <w:vertAlign w:val="subscript"/>
        </w:rPr>
      </w:pPr>
      <w:r>
        <w:rPr>
          <w:rFonts w:ascii="Arial" w:cs="Arial" w:eastAsia="Arial" w:hAnsi="Arial"/>
          <w:sz w:val="16"/>
          <w:szCs w:val="16"/>
          <w:color w:val="auto"/>
        </w:rPr>
        <w:t>Adjusted EBITDA was $65 million, a 125% improvement versus Adjusted EBITDA of negative $261 million in 2021.</w:t>
      </w:r>
    </w:p>
    <w:p>
      <w:pPr>
        <w:spacing w:after="0" w:line="65" w:lineRule="exact"/>
        <w:rPr>
          <w:rFonts w:ascii="Arial" w:cs="Arial" w:eastAsia="Arial" w:hAnsi="Arial"/>
          <w:sz w:val="35"/>
          <w:szCs w:val="35"/>
          <w:color w:val="auto"/>
          <w:vertAlign w:val="subscript"/>
        </w:rPr>
      </w:pPr>
    </w:p>
    <w:p>
      <w:pPr>
        <w:ind w:left="780" w:hanging="200"/>
        <w:spacing w:after="0" w:line="184" w:lineRule="auto"/>
        <w:tabs>
          <w:tab w:leader="none" w:pos="780" w:val="left"/>
        </w:tabs>
        <w:numPr>
          <w:ilvl w:val="0"/>
          <w:numId w:val="40"/>
        </w:numPr>
        <w:rPr>
          <w:rFonts w:ascii="Arial" w:cs="Arial" w:eastAsia="Arial" w:hAnsi="Arial"/>
          <w:sz w:val="36"/>
          <w:szCs w:val="36"/>
          <w:color w:val="auto"/>
          <w:vertAlign w:val="subscript"/>
        </w:rPr>
      </w:pPr>
      <w:r>
        <w:rPr>
          <w:rFonts w:ascii="Arial" w:cs="Arial" w:eastAsia="Arial" w:hAnsi="Arial"/>
          <w:sz w:val="16"/>
          <w:szCs w:val="16"/>
          <w:color w:val="auto"/>
        </w:rPr>
        <w:t>Adjusted EPS was ($1.14), versus $(2.21) in 2021.</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40"/>
        </w:numPr>
        <w:rPr>
          <w:rFonts w:ascii="Arial" w:cs="Arial" w:eastAsia="Arial" w:hAnsi="Arial"/>
          <w:sz w:val="36"/>
          <w:szCs w:val="36"/>
          <w:color w:val="auto"/>
          <w:vertAlign w:val="subscript"/>
        </w:rPr>
      </w:pPr>
      <w:r>
        <w:rPr>
          <w:rFonts w:ascii="Arial" w:cs="Arial" w:eastAsia="Arial" w:hAnsi="Arial"/>
          <w:sz w:val="16"/>
          <w:szCs w:val="16"/>
          <w:color w:val="auto"/>
        </w:rPr>
        <w:t>With regards to Sabre’s full year 2022 cash flows (versus prior year):</w:t>
      </w:r>
    </w:p>
    <w:p>
      <w:pPr>
        <w:spacing w:after="0" w:line="139" w:lineRule="exact"/>
        <w:rPr>
          <w:rFonts w:ascii="Arial" w:cs="Arial" w:eastAsia="Arial" w:hAnsi="Arial"/>
          <w:sz w:val="36"/>
          <w:szCs w:val="36"/>
          <w:color w:val="auto"/>
          <w:vertAlign w:val="subscript"/>
        </w:rPr>
      </w:pPr>
    </w:p>
    <w:p>
      <w:pPr>
        <w:ind w:left="780"/>
        <w:spacing w:after="0"/>
        <w:rPr>
          <w:rFonts w:ascii="Arial" w:cs="Arial" w:eastAsia="Arial" w:hAnsi="Arial"/>
          <w:sz w:val="36"/>
          <w:szCs w:val="36"/>
          <w:color w:val="auto"/>
          <w:vertAlign w:val="subscript"/>
        </w:rPr>
      </w:pPr>
      <w:r>
        <w:rPr>
          <w:rFonts w:ascii="Arial" w:cs="Arial" w:eastAsia="Arial" w:hAnsi="Arial"/>
          <w:sz w:val="22"/>
          <w:szCs w:val="22"/>
          <w:color w:val="CF0A2C"/>
        </w:rPr>
        <w:t xml:space="preserve">•  </w:t>
      </w:r>
      <w:r>
        <w:rPr>
          <w:rFonts w:ascii="Arial" w:cs="Arial" w:eastAsia="Arial" w:hAnsi="Arial"/>
          <w:sz w:val="18"/>
          <w:szCs w:val="18"/>
          <w:color w:val="000000"/>
        </w:rPr>
        <w:t>Cash used in operating activities totaled $276 million (versus $415 million),</w:t>
      </w:r>
    </w:p>
    <w:p>
      <w:pPr>
        <w:spacing w:after="0" w:line="14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54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26" w:lineRule="exact"/>
        <w:rPr>
          <w:sz w:val="20"/>
          <w:szCs w:val="20"/>
          <w:color w:val="auto"/>
        </w:rPr>
      </w:pPr>
    </w:p>
    <w:p>
      <w:pPr>
        <w:ind w:left="1080" w:hanging="302"/>
        <w:spacing w:after="0"/>
        <w:tabs>
          <w:tab w:leader="none" w:pos="1080" w:val="left"/>
        </w:tabs>
        <w:numPr>
          <w:ilvl w:val="0"/>
          <w:numId w:val="41"/>
        </w:numPr>
        <w:rPr>
          <w:rFonts w:ascii="Arial" w:cs="Arial" w:eastAsia="Arial" w:hAnsi="Arial"/>
          <w:sz w:val="22"/>
          <w:szCs w:val="22"/>
          <w:color w:val="CF0A2C"/>
        </w:rPr>
      </w:pPr>
      <w:r>
        <w:rPr>
          <w:rFonts w:ascii="Arial" w:cs="Arial" w:eastAsia="Arial" w:hAnsi="Arial"/>
          <w:sz w:val="18"/>
          <w:szCs w:val="18"/>
          <w:color w:val="auto"/>
        </w:rPr>
        <w:t>Cash provided by investing activities totaled $174 million (versus cash used of $29 million),</w:t>
      </w:r>
    </w:p>
    <w:p>
      <w:pPr>
        <w:spacing w:after="0" w:line="117" w:lineRule="exact"/>
        <w:rPr>
          <w:rFonts w:ascii="Arial" w:cs="Arial" w:eastAsia="Arial" w:hAnsi="Arial"/>
          <w:sz w:val="22"/>
          <w:szCs w:val="22"/>
          <w:color w:val="CF0A2C"/>
        </w:rPr>
      </w:pPr>
    </w:p>
    <w:p>
      <w:pPr>
        <w:ind w:left="1080" w:hanging="302"/>
        <w:spacing w:after="0"/>
        <w:tabs>
          <w:tab w:leader="none" w:pos="1080" w:val="left"/>
        </w:tabs>
        <w:numPr>
          <w:ilvl w:val="0"/>
          <w:numId w:val="41"/>
        </w:numPr>
        <w:rPr>
          <w:rFonts w:ascii="Arial" w:cs="Arial" w:eastAsia="Arial" w:hAnsi="Arial"/>
          <w:sz w:val="22"/>
          <w:szCs w:val="22"/>
          <w:color w:val="CF0A2C"/>
        </w:rPr>
      </w:pPr>
      <w:r>
        <w:rPr>
          <w:rFonts w:ascii="Arial" w:cs="Arial" w:eastAsia="Arial" w:hAnsi="Arial"/>
          <w:sz w:val="18"/>
          <w:szCs w:val="18"/>
          <w:color w:val="auto"/>
        </w:rPr>
        <w:t>Cash used in financing activities totaled $75 million (versus $51 million),</w:t>
      </w:r>
    </w:p>
    <w:p>
      <w:pPr>
        <w:spacing w:after="0" w:line="117" w:lineRule="exact"/>
        <w:rPr>
          <w:rFonts w:ascii="Arial" w:cs="Arial" w:eastAsia="Arial" w:hAnsi="Arial"/>
          <w:sz w:val="22"/>
          <w:szCs w:val="22"/>
          <w:color w:val="CF0A2C"/>
        </w:rPr>
      </w:pPr>
    </w:p>
    <w:p>
      <w:pPr>
        <w:ind w:left="1080" w:hanging="302"/>
        <w:spacing w:after="0"/>
        <w:tabs>
          <w:tab w:leader="none" w:pos="1080" w:val="left"/>
        </w:tabs>
        <w:numPr>
          <w:ilvl w:val="0"/>
          <w:numId w:val="41"/>
        </w:numPr>
        <w:rPr>
          <w:rFonts w:ascii="Arial" w:cs="Arial" w:eastAsia="Arial" w:hAnsi="Arial"/>
          <w:sz w:val="22"/>
          <w:szCs w:val="22"/>
          <w:color w:val="CF0A2C"/>
        </w:rPr>
      </w:pPr>
      <w:r>
        <w:rPr>
          <w:rFonts w:ascii="Arial" w:cs="Arial" w:eastAsia="Arial" w:hAnsi="Arial"/>
          <w:sz w:val="18"/>
          <w:szCs w:val="18"/>
          <w:color w:val="auto"/>
        </w:rPr>
        <w:t>Capitalized expenditures totaled $69 million (versus $54 million), and</w:t>
      </w:r>
    </w:p>
    <w:p>
      <w:pPr>
        <w:spacing w:after="0" w:line="117" w:lineRule="exact"/>
        <w:rPr>
          <w:rFonts w:ascii="Arial" w:cs="Arial" w:eastAsia="Arial" w:hAnsi="Arial"/>
          <w:sz w:val="22"/>
          <w:szCs w:val="22"/>
          <w:color w:val="CF0A2C"/>
        </w:rPr>
      </w:pPr>
    </w:p>
    <w:p>
      <w:pPr>
        <w:ind w:left="1080" w:hanging="302"/>
        <w:spacing w:after="0"/>
        <w:tabs>
          <w:tab w:leader="none" w:pos="1080" w:val="left"/>
        </w:tabs>
        <w:numPr>
          <w:ilvl w:val="0"/>
          <w:numId w:val="41"/>
        </w:numPr>
        <w:rPr>
          <w:rFonts w:ascii="Arial" w:cs="Arial" w:eastAsia="Arial" w:hAnsi="Arial"/>
          <w:sz w:val="22"/>
          <w:szCs w:val="22"/>
          <w:color w:val="CF0A2C"/>
        </w:rPr>
      </w:pPr>
      <w:r>
        <w:rPr>
          <w:rFonts w:ascii="Arial" w:cs="Arial" w:eastAsia="Arial" w:hAnsi="Arial"/>
          <w:sz w:val="18"/>
          <w:szCs w:val="18"/>
          <w:color w:val="auto"/>
        </w:rPr>
        <w:t>Free Cash Flow was negative $346 million (versus negative $469 million).</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for a reconciliation of certain non-GAAP and GAAP financial measures presented.</w:t>
      </w:r>
    </w:p>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2022 Stockholder Engagement</w:t>
      </w:r>
    </w:p>
    <w:p>
      <w:pPr>
        <w:spacing w:after="0" w:line="88" w:lineRule="exact"/>
        <w:rPr>
          <w:sz w:val="20"/>
          <w:szCs w:val="20"/>
          <w:color w:val="auto"/>
        </w:rPr>
      </w:pPr>
    </w:p>
    <w:p>
      <w:pPr>
        <w:ind w:left="580" w:right="120"/>
        <w:spacing w:after="0" w:line="239" w:lineRule="auto"/>
        <w:rPr>
          <w:sz w:val="20"/>
          <w:szCs w:val="20"/>
          <w:color w:val="auto"/>
        </w:rPr>
      </w:pPr>
      <w:r>
        <w:rPr>
          <w:rFonts w:ascii="Arial" w:cs="Arial" w:eastAsia="Arial" w:hAnsi="Arial"/>
          <w:sz w:val="18"/>
          <w:szCs w:val="18"/>
          <w:color w:val="auto"/>
        </w:rPr>
        <w:t>Since 2016, we have maintained an ongoing, proactive stockholder engagement program. Throughout the year, members of our Investor Relations team, Corporate Secretary’s office and executive compensation team engage with our stockholders to seek their input on topics of interest to them, including related to our strategy, compensation, Board and other governance matters. We actively engage with our stockholders on a year-round basis and integrate the information we learn through these discussions into our governance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128270</wp:posOffset>
            </wp:positionV>
            <wp:extent cx="4466590" cy="2064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466590" cy="206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0" w:right="20"/>
        <w:spacing w:after="0" w:line="248" w:lineRule="auto"/>
        <w:rPr>
          <w:sz w:val="20"/>
          <w:szCs w:val="20"/>
          <w:color w:val="auto"/>
        </w:rPr>
      </w:pPr>
      <w:r>
        <w:rPr>
          <w:rFonts w:ascii="Arial" w:cs="Arial" w:eastAsia="Arial" w:hAnsi="Arial"/>
          <w:sz w:val="18"/>
          <w:szCs w:val="18"/>
          <w:color w:val="auto"/>
        </w:rPr>
        <w:t>As part of our stockholder engagement program, in the fall of 2022 we contacted ten stockholders representing approximately 50% of our outstanding shares (as of the initial date for our outreach program). The outreach team met with all of the stockholders that requested a meeting, resulting in three meetings with stockholders, including our largest stockholder.</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2160" w:type="dxa"/>
            <w:vAlign w:val="bottom"/>
            <w:tcBorders>
              <w:bottom w:val="single" w:sz="8" w:color="666666"/>
            </w:tcBorders>
            <w:shd w:val="clear" w:color="auto" w:fill="666666"/>
          </w:tcPr>
          <w:p>
            <w:pPr>
              <w:spacing w:after="0"/>
              <w:rPr>
                <w:sz w:val="19"/>
                <w:szCs w:val="19"/>
                <w:color w:val="auto"/>
              </w:rPr>
            </w:pPr>
          </w:p>
        </w:tc>
        <w:tc>
          <w:tcPr>
            <w:tcW w:w="7640" w:type="dxa"/>
            <w:vAlign w:val="bottom"/>
            <w:tcBorders>
              <w:bottom w:val="single" w:sz="8" w:color="666666"/>
            </w:tcBorders>
            <w:shd w:val="clear" w:color="auto" w:fill="666666"/>
          </w:tcPr>
          <w:p>
            <w:pPr>
              <w:ind w:left="560"/>
              <w:spacing w:after="0"/>
              <w:rPr>
                <w:sz w:val="20"/>
                <w:szCs w:val="20"/>
                <w:color w:val="auto"/>
              </w:rPr>
            </w:pPr>
            <w:r>
              <w:rPr>
                <w:rFonts w:ascii="Arial" w:cs="Arial" w:eastAsia="Arial" w:hAnsi="Arial"/>
                <w:sz w:val="15"/>
                <w:szCs w:val="15"/>
                <w:b w:val="1"/>
                <w:bCs w:val="1"/>
                <w:color w:val="FFFFFF"/>
              </w:rPr>
              <w:t>2022 Stockholder Engagement Program – Highlights and Statistics</w:t>
            </w:r>
          </w:p>
        </w:tc>
        <w:tc>
          <w:tcPr>
            <w:tcW w:w="280" w:type="dxa"/>
            <w:vAlign w:val="bottom"/>
            <w:tcBorders>
              <w:bottom w:val="single" w:sz="8" w:color="666666"/>
            </w:tcBorders>
            <w:shd w:val="clear" w:color="auto" w:fill="666666"/>
          </w:tcPr>
          <w:p>
            <w:pPr>
              <w:spacing w:after="0"/>
              <w:rPr>
                <w:sz w:val="19"/>
                <w:szCs w:val="19"/>
                <w:color w:val="auto"/>
              </w:rPr>
            </w:pPr>
          </w:p>
        </w:tc>
      </w:tr>
      <w:tr>
        <w:trPr>
          <w:trHeight w:val="350"/>
        </w:trPr>
        <w:tc>
          <w:tcPr>
            <w:tcW w:w="2160" w:type="dxa"/>
            <w:vAlign w:val="bottom"/>
          </w:tcPr>
          <w:p>
            <w:pPr>
              <w:spacing w:after="0"/>
              <w:rPr>
                <w:sz w:val="20"/>
                <w:szCs w:val="20"/>
                <w:color w:val="auto"/>
              </w:rPr>
            </w:pPr>
            <w:r>
              <w:rPr>
                <w:rFonts w:ascii="Arial" w:cs="Arial" w:eastAsia="Arial" w:hAnsi="Arial"/>
                <w:sz w:val="18"/>
                <w:szCs w:val="18"/>
                <w:b w:val="1"/>
                <w:bCs w:val="1"/>
                <w:color w:val="auto"/>
              </w:rPr>
              <w:t>Scope of Outreach</w:t>
            </w:r>
          </w:p>
        </w:tc>
        <w:tc>
          <w:tcPr>
            <w:tcW w:w="7920" w:type="dxa"/>
            <w:vAlign w:val="bottom"/>
            <w:gridSpan w:val="2"/>
          </w:tcPr>
          <w:p>
            <w:pPr>
              <w:ind w:left="3260"/>
              <w:spacing w:after="0"/>
              <w:rPr>
                <w:sz w:val="20"/>
                <w:szCs w:val="20"/>
                <w:color w:val="auto"/>
              </w:rPr>
            </w:pPr>
            <w:r>
              <w:rPr>
                <w:rFonts w:ascii="Arial" w:cs="Arial" w:eastAsia="Arial" w:hAnsi="Arial"/>
                <w:sz w:val="23"/>
                <w:szCs w:val="23"/>
                <w:color w:val="auto"/>
              </w:rPr>
              <w:t>•</w:t>
            </w:r>
            <w:r>
              <w:rPr>
                <w:rFonts w:ascii="Arial" w:cs="Arial" w:eastAsia="Arial" w:hAnsi="Arial"/>
                <w:sz w:val="18"/>
                <w:szCs w:val="18"/>
                <w:color w:val="auto"/>
              </w:rPr>
              <w:t xml:space="preserve">  Contacted 10 stockholders, representing approximately</w:t>
            </w:r>
          </w:p>
        </w:tc>
      </w:tr>
      <w:tr>
        <w:trPr>
          <w:trHeight w:val="240"/>
        </w:trPr>
        <w:tc>
          <w:tcPr>
            <w:tcW w:w="2160" w:type="dxa"/>
            <w:vAlign w:val="bottom"/>
          </w:tcPr>
          <w:p>
            <w:pPr>
              <w:spacing w:after="0"/>
              <w:rPr>
                <w:sz w:val="20"/>
                <w:szCs w:val="20"/>
                <w:color w:val="auto"/>
              </w:rPr>
            </w:pPr>
          </w:p>
        </w:tc>
        <w:tc>
          <w:tcPr>
            <w:tcW w:w="7640" w:type="dxa"/>
            <w:vAlign w:val="bottom"/>
          </w:tcPr>
          <w:p>
            <w:pPr>
              <w:ind w:left="3440"/>
              <w:spacing w:after="0"/>
              <w:rPr>
                <w:sz w:val="20"/>
                <w:szCs w:val="20"/>
                <w:color w:val="auto"/>
              </w:rPr>
            </w:pPr>
            <w:r>
              <w:rPr>
                <w:rFonts w:ascii="Arial" w:cs="Arial" w:eastAsia="Arial" w:hAnsi="Arial"/>
                <w:sz w:val="18"/>
                <w:szCs w:val="18"/>
                <w:color w:val="auto"/>
              </w:rPr>
              <w:t>50% of our then outstanding shares</w:t>
            </w:r>
          </w:p>
        </w:tc>
        <w:tc>
          <w:tcPr>
            <w:tcW w:w="280" w:type="dxa"/>
            <w:vAlign w:val="bottom"/>
          </w:tcPr>
          <w:p>
            <w:pPr>
              <w:spacing w:after="0"/>
              <w:rPr>
                <w:sz w:val="20"/>
                <w:szCs w:val="20"/>
                <w:color w:val="auto"/>
              </w:rPr>
            </w:pPr>
          </w:p>
        </w:tc>
      </w:tr>
      <w:tr>
        <w:trPr>
          <w:trHeight w:val="341"/>
        </w:trPr>
        <w:tc>
          <w:tcPr>
            <w:tcW w:w="2160" w:type="dxa"/>
            <w:vAlign w:val="bottom"/>
          </w:tcPr>
          <w:p>
            <w:pPr>
              <w:spacing w:after="0"/>
              <w:rPr>
                <w:sz w:val="24"/>
                <w:szCs w:val="24"/>
                <w:color w:val="auto"/>
              </w:rPr>
            </w:pPr>
          </w:p>
        </w:tc>
        <w:tc>
          <w:tcPr>
            <w:tcW w:w="7640" w:type="dxa"/>
            <w:vAlign w:val="bottom"/>
          </w:tcPr>
          <w:p>
            <w:pPr>
              <w:ind w:left="3260"/>
              <w:spacing w:after="0"/>
              <w:rPr>
                <w:sz w:val="20"/>
                <w:szCs w:val="20"/>
                <w:color w:val="auto"/>
              </w:rPr>
            </w:pPr>
            <w:r>
              <w:rPr>
                <w:rFonts w:ascii="Arial" w:cs="Arial" w:eastAsia="Arial" w:hAnsi="Arial"/>
                <w:sz w:val="23"/>
                <w:szCs w:val="23"/>
                <w:color w:val="auto"/>
              </w:rPr>
              <w:t>•</w:t>
            </w:r>
            <w:r>
              <w:rPr>
                <w:rFonts w:ascii="Arial" w:cs="Arial" w:eastAsia="Arial" w:hAnsi="Arial"/>
                <w:sz w:val="18"/>
                <w:szCs w:val="18"/>
                <w:color w:val="auto"/>
              </w:rPr>
              <w:t xml:space="preserve">  Met with 3 stockholders, representing approximately</w:t>
            </w:r>
          </w:p>
        </w:tc>
        <w:tc>
          <w:tcPr>
            <w:tcW w:w="280" w:type="dxa"/>
            <w:vAlign w:val="bottom"/>
          </w:tcPr>
          <w:p>
            <w:pPr>
              <w:spacing w:after="0"/>
              <w:rPr>
                <w:sz w:val="24"/>
                <w:szCs w:val="24"/>
                <w:color w:val="auto"/>
              </w:rPr>
            </w:pPr>
          </w:p>
        </w:tc>
      </w:tr>
      <w:tr>
        <w:trPr>
          <w:trHeight w:val="198"/>
        </w:trPr>
        <w:tc>
          <w:tcPr>
            <w:tcW w:w="2160" w:type="dxa"/>
            <w:vAlign w:val="bottom"/>
          </w:tcPr>
          <w:p>
            <w:pPr>
              <w:spacing w:after="0"/>
              <w:rPr>
                <w:sz w:val="17"/>
                <w:szCs w:val="17"/>
                <w:color w:val="auto"/>
              </w:rPr>
            </w:pPr>
          </w:p>
        </w:tc>
        <w:tc>
          <w:tcPr>
            <w:tcW w:w="7640" w:type="dxa"/>
            <w:vAlign w:val="bottom"/>
          </w:tcPr>
          <w:p>
            <w:pPr>
              <w:ind w:left="3440"/>
              <w:spacing w:after="0" w:line="198" w:lineRule="exact"/>
              <w:rPr>
                <w:sz w:val="20"/>
                <w:szCs w:val="20"/>
                <w:color w:val="auto"/>
              </w:rPr>
            </w:pPr>
            <w:r>
              <w:rPr>
                <w:rFonts w:ascii="Arial" w:cs="Arial" w:eastAsia="Arial" w:hAnsi="Arial"/>
                <w:sz w:val="18"/>
                <w:szCs w:val="18"/>
                <w:color w:val="auto"/>
              </w:rPr>
              <w:t>16% of our outstanding shares (including our largest</w:t>
            </w:r>
          </w:p>
        </w:tc>
        <w:tc>
          <w:tcPr>
            <w:tcW w:w="280" w:type="dxa"/>
            <w:vAlign w:val="bottom"/>
          </w:tcPr>
          <w:p>
            <w:pPr>
              <w:spacing w:after="0"/>
              <w:rPr>
                <w:sz w:val="17"/>
                <w:szCs w:val="17"/>
                <w:color w:val="auto"/>
              </w:rPr>
            </w:pPr>
          </w:p>
        </w:tc>
      </w:tr>
      <w:tr>
        <w:trPr>
          <w:trHeight w:val="240"/>
        </w:trPr>
        <w:tc>
          <w:tcPr>
            <w:tcW w:w="2160" w:type="dxa"/>
            <w:vAlign w:val="bottom"/>
          </w:tcPr>
          <w:p>
            <w:pPr>
              <w:spacing w:after="0"/>
              <w:rPr>
                <w:sz w:val="20"/>
                <w:szCs w:val="20"/>
                <w:color w:val="auto"/>
              </w:rPr>
            </w:pPr>
          </w:p>
        </w:tc>
        <w:tc>
          <w:tcPr>
            <w:tcW w:w="7640" w:type="dxa"/>
            <w:vAlign w:val="bottom"/>
          </w:tcPr>
          <w:p>
            <w:pPr>
              <w:ind w:left="3440"/>
              <w:spacing w:after="0"/>
              <w:rPr>
                <w:sz w:val="20"/>
                <w:szCs w:val="20"/>
                <w:color w:val="auto"/>
              </w:rPr>
            </w:pPr>
            <w:r>
              <w:rPr>
                <w:rFonts w:ascii="Arial" w:cs="Arial" w:eastAsia="Arial" w:hAnsi="Arial"/>
                <w:sz w:val="18"/>
                <w:szCs w:val="18"/>
                <w:color w:val="auto"/>
              </w:rPr>
              <w:t>stockholder)</w:t>
            </w:r>
          </w:p>
        </w:tc>
        <w:tc>
          <w:tcPr>
            <w:tcW w:w="280" w:type="dxa"/>
            <w:vAlign w:val="bottom"/>
          </w:tcPr>
          <w:p>
            <w:pPr>
              <w:spacing w:after="0"/>
              <w:rPr>
                <w:sz w:val="20"/>
                <w:szCs w:val="20"/>
                <w:color w:val="auto"/>
              </w:rPr>
            </w:pPr>
          </w:p>
        </w:tc>
      </w:tr>
      <w:tr>
        <w:trPr>
          <w:trHeight w:val="428"/>
        </w:trPr>
        <w:tc>
          <w:tcPr>
            <w:tcW w:w="2160" w:type="dxa"/>
            <w:vAlign w:val="bottom"/>
          </w:tcPr>
          <w:p>
            <w:pPr>
              <w:spacing w:after="0"/>
              <w:rPr>
                <w:sz w:val="24"/>
                <w:szCs w:val="24"/>
                <w:color w:val="auto"/>
              </w:rPr>
            </w:pPr>
          </w:p>
        </w:tc>
        <w:tc>
          <w:tcPr>
            <w:tcW w:w="7640" w:type="dxa"/>
            <w:vAlign w:val="bottom"/>
          </w:tcPr>
          <w:p>
            <w:pPr>
              <w:ind w:left="3480"/>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666666"/>
                <w:w w:val="99"/>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2120" w:type="dxa"/>
            <w:vAlign w:val="bottom"/>
            <w:tcBorders>
              <w:bottom w:val="single" w:sz="8" w:color="666666"/>
            </w:tcBorders>
            <w:shd w:val="clear" w:color="auto" w:fill="666666"/>
          </w:tcPr>
          <w:p>
            <w:pPr>
              <w:spacing w:after="0"/>
              <w:rPr>
                <w:sz w:val="19"/>
                <w:szCs w:val="19"/>
                <w:color w:val="auto"/>
              </w:rPr>
            </w:pPr>
          </w:p>
        </w:tc>
        <w:tc>
          <w:tcPr>
            <w:tcW w:w="7960" w:type="dxa"/>
            <w:vAlign w:val="bottom"/>
            <w:tcBorders>
              <w:bottom w:val="single" w:sz="8" w:color="666666"/>
            </w:tcBorders>
            <w:shd w:val="clear" w:color="auto" w:fill="666666"/>
          </w:tcPr>
          <w:p>
            <w:pPr>
              <w:ind w:left="600"/>
              <w:spacing w:after="0"/>
              <w:rPr>
                <w:sz w:val="20"/>
                <w:szCs w:val="20"/>
                <w:color w:val="auto"/>
              </w:rPr>
            </w:pPr>
            <w:r>
              <w:rPr>
                <w:rFonts w:ascii="Arial" w:cs="Arial" w:eastAsia="Arial" w:hAnsi="Arial"/>
                <w:sz w:val="15"/>
                <w:szCs w:val="15"/>
                <w:b w:val="1"/>
                <w:bCs w:val="1"/>
                <w:color w:val="FFFFFF"/>
              </w:rPr>
              <w:t>2022 Stockholder Engagement Program – Highlights and Statistics</w:t>
            </w:r>
          </w:p>
        </w:tc>
      </w:tr>
      <w:tr>
        <w:trPr>
          <w:trHeight w:val="383"/>
        </w:trPr>
        <w:tc>
          <w:tcPr>
            <w:tcW w:w="2120" w:type="dxa"/>
            <w:vAlign w:val="bottom"/>
          </w:tcPr>
          <w:p>
            <w:pPr>
              <w:spacing w:after="0"/>
              <w:rPr>
                <w:sz w:val="20"/>
                <w:szCs w:val="20"/>
                <w:color w:val="auto"/>
              </w:rPr>
            </w:pPr>
            <w:r>
              <w:rPr>
                <w:rFonts w:ascii="Arial" w:cs="Arial" w:eastAsia="Arial" w:hAnsi="Arial"/>
                <w:sz w:val="18"/>
                <w:szCs w:val="18"/>
                <w:b w:val="1"/>
                <w:bCs w:val="1"/>
                <w:color w:val="auto"/>
              </w:rPr>
              <w:t>Outreach Team</w:t>
            </w:r>
          </w:p>
        </w:tc>
        <w:tc>
          <w:tcPr>
            <w:tcW w:w="7960" w:type="dxa"/>
            <w:vAlign w:val="bottom"/>
          </w:tcPr>
          <w:p>
            <w:pPr>
              <w:ind w:left="3300"/>
              <w:spacing w:after="0"/>
              <w:rPr>
                <w:sz w:val="20"/>
                <w:szCs w:val="20"/>
                <w:color w:val="auto"/>
              </w:rPr>
            </w:pPr>
            <w:r>
              <w:rPr>
                <w:rFonts w:ascii="Arial" w:cs="Arial" w:eastAsia="Arial" w:hAnsi="Arial"/>
                <w:sz w:val="23"/>
                <w:szCs w:val="23"/>
                <w:color w:val="auto"/>
              </w:rPr>
              <w:t>•</w:t>
            </w:r>
            <w:r>
              <w:rPr>
                <w:rFonts w:ascii="Arial" w:cs="Arial" w:eastAsia="Arial" w:hAnsi="Arial"/>
                <w:sz w:val="18"/>
                <w:szCs w:val="18"/>
                <w:color w:val="auto"/>
              </w:rPr>
              <w:t xml:space="preserve">  Chair of the Compensation Committee</w:t>
            </w:r>
          </w:p>
        </w:tc>
      </w:tr>
      <w:tr>
        <w:trPr>
          <w:trHeight w:val="350"/>
        </w:trPr>
        <w:tc>
          <w:tcPr>
            <w:tcW w:w="2120" w:type="dxa"/>
            <w:vAlign w:val="bottom"/>
          </w:tcPr>
          <w:p>
            <w:pPr>
              <w:spacing w:after="0"/>
              <w:rPr>
                <w:sz w:val="24"/>
                <w:szCs w:val="24"/>
                <w:color w:val="auto"/>
              </w:rPr>
            </w:pPr>
          </w:p>
        </w:tc>
        <w:tc>
          <w:tcPr>
            <w:tcW w:w="7960" w:type="dxa"/>
            <w:vAlign w:val="bottom"/>
          </w:tcPr>
          <w:p>
            <w:pPr>
              <w:ind w:left="3300"/>
              <w:spacing w:after="0"/>
              <w:rPr>
                <w:sz w:val="20"/>
                <w:szCs w:val="20"/>
                <w:color w:val="auto"/>
              </w:rPr>
            </w:pPr>
            <w:r>
              <w:rPr>
                <w:rFonts w:ascii="Arial" w:cs="Arial" w:eastAsia="Arial" w:hAnsi="Arial"/>
                <w:sz w:val="23"/>
                <w:szCs w:val="23"/>
                <w:color w:val="auto"/>
              </w:rPr>
              <w:t>•</w:t>
            </w:r>
            <w:r>
              <w:rPr>
                <w:rFonts w:ascii="Arial" w:cs="Arial" w:eastAsia="Arial" w:hAnsi="Arial"/>
                <w:sz w:val="18"/>
                <w:szCs w:val="18"/>
                <w:color w:val="auto"/>
              </w:rPr>
              <w:t xml:space="preserve">  Members of the management team (subject matter</w:t>
            </w:r>
          </w:p>
        </w:tc>
      </w:tr>
      <w:tr>
        <w:trPr>
          <w:trHeight w:val="198"/>
        </w:trPr>
        <w:tc>
          <w:tcPr>
            <w:tcW w:w="2120" w:type="dxa"/>
            <w:vAlign w:val="bottom"/>
          </w:tcPr>
          <w:p>
            <w:pPr>
              <w:spacing w:after="0"/>
              <w:rPr>
                <w:sz w:val="17"/>
                <w:szCs w:val="17"/>
                <w:color w:val="auto"/>
              </w:rPr>
            </w:pPr>
          </w:p>
        </w:tc>
        <w:tc>
          <w:tcPr>
            <w:tcW w:w="7960" w:type="dxa"/>
            <w:vAlign w:val="bottom"/>
          </w:tcPr>
          <w:p>
            <w:pPr>
              <w:ind w:left="3480"/>
              <w:spacing w:after="0" w:line="198" w:lineRule="exact"/>
              <w:rPr>
                <w:sz w:val="20"/>
                <w:szCs w:val="20"/>
                <w:color w:val="auto"/>
              </w:rPr>
            </w:pPr>
            <w:r>
              <w:rPr>
                <w:rFonts w:ascii="Arial" w:cs="Arial" w:eastAsia="Arial" w:hAnsi="Arial"/>
                <w:sz w:val="18"/>
                <w:szCs w:val="18"/>
                <w:color w:val="auto"/>
                <w:w w:val="99"/>
              </w:rPr>
              <w:t>experts), including the Chief People Officer, members of</w:t>
            </w:r>
          </w:p>
        </w:tc>
      </w:tr>
      <w:tr>
        <w:trPr>
          <w:trHeight w:val="198"/>
        </w:trPr>
        <w:tc>
          <w:tcPr>
            <w:tcW w:w="2120" w:type="dxa"/>
            <w:vAlign w:val="bottom"/>
          </w:tcPr>
          <w:p>
            <w:pPr>
              <w:spacing w:after="0"/>
              <w:rPr>
                <w:sz w:val="17"/>
                <w:szCs w:val="17"/>
                <w:color w:val="auto"/>
              </w:rPr>
            </w:pPr>
          </w:p>
        </w:tc>
        <w:tc>
          <w:tcPr>
            <w:tcW w:w="7960" w:type="dxa"/>
            <w:vAlign w:val="bottom"/>
          </w:tcPr>
          <w:p>
            <w:pPr>
              <w:ind w:left="3480"/>
              <w:spacing w:after="0" w:line="198" w:lineRule="exact"/>
              <w:rPr>
                <w:sz w:val="20"/>
                <w:szCs w:val="20"/>
                <w:color w:val="auto"/>
              </w:rPr>
            </w:pPr>
            <w:r>
              <w:rPr>
                <w:rFonts w:ascii="Arial" w:cs="Arial" w:eastAsia="Arial" w:hAnsi="Arial"/>
                <w:sz w:val="18"/>
                <w:szCs w:val="18"/>
                <w:color w:val="auto"/>
              </w:rPr>
              <w:t>the executive compensation team, the Chief Legal</w:t>
            </w:r>
          </w:p>
        </w:tc>
      </w:tr>
      <w:tr>
        <w:trPr>
          <w:trHeight w:val="198"/>
        </w:trPr>
        <w:tc>
          <w:tcPr>
            <w:tcW w:w="2120" w:type="dxa"/>
            <w:vAlign w:val="bottom"/>
          </w:tcPr>
          <w:p>
            <w:pPr>
              <w:spacing w:after="0"/>
              <w:rPr>
                <w:sz w:val="17"/>
                <w:szCs w:val="17"/>
                <w:color w:val="auto"/>
              </w:rPr>
            </w:pPr>
          </w:p>
        </w:tc>
        <w:tc>
          <w:tcPr>
            <w:tcW w:w="7960" w:type="dxa"/>
            <w:vAlign w:val="bottom"/>
          </w:tcPr>
          <w:p>
            <w:pPr>
              <w:ind w:left="3480"/>
              <w:spacing w:after="0" w:line="198" w:lineRule="exact"/>
              <w:rPr>
                <w:sz w:val="20"/>
                <w:szCs w:val="20"/>
                <w:color w:val="auto"/>
              </w:rPr>
            </w:pPr>
            <w:r>
              <w:rPr>
                <w:rFonts w:ascii="Arial" w:cs="Arial" w:eastAsia="Arial" w:hAnsi="Arial"/>
                <w:sz w:val="18"/>
                <w:szCs w:val="18"/>
                <w:color w:val="auto"/>
              </w:rPr>
              <w:t>Officer, the Corporate Secretary, and members of the</w:t>
            </w:r>
          </w:p>
        </w:tc>
      </w:tr>
      <w:tr>
        <w:trPr>
          <w:trHeight w:val="240"/>
        </w:trPr>
        <w:tc>
          <w:tcPr>
            <w:tcW w:w="2120" w:type="dxa"/>
            <w:vAlign w:val="bottom"/>
          </w:tcPr>
          <w:p>
            <w:pPr>
              <w:spacing w:after="0"/>
              <w:rPr>
                <w:sz w:val="20"/>
                <w:szCs w:val="20"/>
                <w:color w:val="auto"/>
              </w:rPr>
            </w:pPr>
          </w:p>
        </w:tc>
        <w:tc>
          <w:tcPr>
            <w:tcW w:w="7960" w:type="dxa"/>
            <w:vAlign w:val="bottom"/>
          </w:tcPr>
          <w:p>
            <w:pPr>
              <w:ind w:left="3480"/>
              <w:spacing w:after="0"/>
              <w:rPr>
                <w:sz w:val="20"/>
                <w:szCs w:val="20"/>
                <w:color w:val="auto"/>
              </w:rPr>
            </w:pPr>
            <w:r>
              <w:rPr>
                <w:rFonts w:ascii="Arial" w:cs="Arial" w:eastAsia="Arial" w:hAnsi="Arial"/>
                <w:sz w:val="18"/>
                <w:szCs w:val="18"/>
                <w:color w:val="auto"/>
              </w:rPr>
              <w:t>Investor Relations team</w:t>
            </w:r>
          </w:p>
        </w:tc>
      </w:tr>
      <w:tr>
        <w:trPr>
          <w:trHeight w:val="341"/>
        </w:trPr>
        <w:tc>
          <w:tcPr>
            <w:tcW w:w="2120" w:type="dxa"/>
            <w:vAlign w:val="bottom"/>
          </w:tcPr>
          <w:p>
            <w:pPr>
              <w:spacing w:after="0"/>
              <w:rPr>
                <w:sz w:val="20"/>
                <w:szCs w:val="20"/>
                <w:color w:val="auto"/>
              </w:rPr>
            </w:pPr>
            <w:r>
              <w:rPr>
                <w:rFonts w:ascii="Arial" w:cs="Arial" w:eastAsia="Arial" w:hAnsi="Arial"/>
                <w:sz w:val="18"/>
                <w:szCs w:val="18"/>
                <w:b w:val="1"/>
                <w:bCs w:val="1"/>
                <w:color w:val="auto"/>
              </w:rPr>
              <w:t>Topics Discussed</w:t>
            </w:r>
          </w:p>
        </w:tc>
        <w:tc>
          <w:tcPr>
            <w:tcW w:w="7960" w:type="dxa"/>
            <w:vAlign w:val="bottom"/>
          </w:tcPr>
          <w:p>
            <w:pPr>
              <w:ind w:left="3300"/>
              <w:spacing w:after="0"/>
              <w:rPr>
                <w:sz w:val="20"/>
                <w:szCs w:val="20"/>
                <w:color w:val="auto"/>
              </w:rPr>
            </w:pPr>
            <w:r>
              <w:rPr>
                <w:rFonts w:ascii="Arial" w:cs="Arial" w:eastAsia="Arial" w:hAnsi="Arial"/>
                <w:sz w:val="23"/>
                <w:szCs w:val="23"/>
                <w:color w:val="auto"/>
              </w:rPr>
              <w:t>•</w:t>
            </w:r>
            <w:r>
              <w:rPr>
                <w:rFonts w:ascii="Arial" w:cs="Arial" w:eastAsia="Arial" w:hAnsi="Arial"/>
                <w:sz w:val="18"/>
                <w:szCs w:val="18"/>
                <w:color w:val="auto"/>
              </w:rPr>
              <w:t xml:space="preserve">  Our executive compensation program, including short-</w:t>
            </w:r>
          </w:p>
        </w:tc>
      </w:tr>
      <w:tr>
        <w:trPr>
          <w:trHeight w:val="240"/>
        </w:trPr>
        <w:tc>
          <w:tcPr>
            <w:tcW w:w="2120" w:type="dxa"/>
            <w:vAlign w:val="bottom"/>
          </w:tcPr>
          <w:p>
            <w:pPr>
              <w:spacing w:after="0"/>
              <w:rPr>
                <w:sz w:val="20"/>
                <w:szCs w:val="20"/>
                <w:color w:val="auto"/>
              </w:rPr>
            </w:pPr>
          </w:p>
        </w:tc>
        <w:tc>
          <w:tcPr>
            <w:tcW w:w="7960" w:type="dxa"/>
            <w:vAlign w:val="bottom"/>
          </w:tcPr>
          <w:p>
            <w:pPr>
              <w:ind w:left="3480"/>
              <w:spacing w:after="0"/>
              <w:rPr>
                <w:sz w:val="20"/>
                <w:szCs w:val="20"/>
                <w:color w:val="auto"/>
              </w:rPr>
            </w:pPr>
            <w:r>
              <w:rPr>
                <w:rFonts w:ascii="Arial" w:cs="Arial" w:eastAsia="Arial" w:hAnsi="Arial"/>
                <w:sz w:val="18"/>
                <w:szCs w:val="18"/>
                <w:color w:val="auto"/>
              </w:rPr>
              <w:t>and long-term incentive structure</w:t>
            </w:r>
          </w:p>
        </w:tc>
      </w:tr>
      <w:tr>
        <w:trPr>
          <w:trHeight w:val="341"/>
        </w:trPr>
        <w:tc>
          <w:tcPr>
            <w:tcW w:w="2120" w:type="dxa"/>
            <w:vAlign w:val="bottom"/>
          </w:tcPr>
          <w:p>
            <w:pPr>
              <w:spacing w:after="0"/>
              <w:rPr>
                <w:sz w:val="24"/>
                <w:szCs w:val="24"/>
                <w:color w:val="auto"/>
              </w:rPr>
            </w:pPr>
          </w:p>
        </w:tc>
        <w:tc>
          <w:tcPr>
            <w:tcW w:w="7960" w:type="dxa"/>
            <w:vAlign w:val="bottom"/>
          </w:tcPr>
          <w:p>
            <w:pPr>
              <w:ind w:left="3300"/>
              <w:spacing w:after="0"/>
              <w:rPr>
                <w:sz w:val="20"/>
                <w:szCs w:val="20"/>
                <w:color w:val="auto"/>
              </w:rPr>
            </w:pPr>
            <w:r>
              <w:rPr>
                <w:rFonts w:ascii="Arial" w:cs="Arial" w:eastAsia="Arial" w:hAnsi="Arial"/>
                <w:sz w:val="23"/>
                <w:szCs w:val="23"/>
                <w:color w:val="auto"/>
              </w:rPr>
              <w:t>•</w:t>
            </w:r>
            <w:r>
              <w:rPr>
                <w:rFonts w:ascii="Arial" w:cs="Arial" w:eastAsia="Arial" w:hAnsi="Arial"/>
                <w:sz w:val="18"/>
                <w:szCs w:val="18"/>
                <w:color w:val="auto"/>
              </w:rPr>
              <w:t xml:space="preserve">  Our ongoing focus on Board and committee</w:t>
            </w:r>
          </w:p>
        </w:tc>
      </w:tr>
      <w:tr>
        <w:trPr>
          <w:trHeight w:val="240"/>
        </w:trPr>
        <w:tc>
          <w:tcPr>
            <w:tcW w:w="2120" w:type="dxa"/>
            <w:vAlign w:val="bottom"/>
          </w:tcPr>
          <w:p>
            <w:pPr>
              <w:spacing w:after="0"/>
              <w:rPr>
                <w:sz w:val="20"/>
                <w:szCs w:val="20"/>
                <w:color w:val="auto"/>
              </w:rPr>
            </w:pPr>
          </w:p>
        </w:tc>
        <w:tc>
          <w:tcPr>
            <w:tcW w:w="7960" w:type="dxa"/>
            <w:vAlign w:val="bottom"/>
          </w:tcPr>
          <w:p>
            <w:pPr>
              <w:ind w:left="3480"/>
              <w:spacing w:after="0"/>
              <w:rPr>
                <w:sz w:val="20"/>
                <w:szCs w:val="20"/>
                <w:color w:val="auto"/>
              </w:rPr>
            </w:pPr>
            <w:r>
              <w:rPr>
                <w:rFonts w:ascii="Arial" w:cs="Arial" w:eastAsia="Arial" w:hAnsi="Arial"/>
                <w:sz w:val="18"/>
                <w:szCs w:val="18"/>
                <w:color w:val="auto"/>
              </w:rPr>
              <w:t>refreshment and our governance structure</w:t>
            </w:r>
          </w:p>
        </w:tc>
      </w:tr>
    </w:tbl>
    <w:p>
      <w:pPr>
        <w:spacing w:after="0" w:line="168"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Investor feedback received on our executive compensation program was generally positive. Stockholders indicated their support for the changes in our program design that we made in 2022 to return to an executive compensation program design similar to the one we initially implemented in 2020 prior to the COVID-19 pandemic. They also provided feedback on various aspects of the program, including long-term incentive design and their support for the use of free cash flow and total stockholder return as performance measures. The Compensation Committee considered this feedback from stockholders as it developed the design of our 2023 executive compensation program. See “2023 Executive Compensation Program.” Investor feedback received on our governance structure and Board and committee refreshment was also positive. In response to questions from the Sabre outreach team regarding director overboarding considerations, a number of investors noted that they do not consider service on a SPAC board as part of their overboarding analysis, given the generally limited time commitment related to this type of board service.</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2022 Executive Compensation Program</w:t>
      </w:r>
    </w:p>
    <w:p>
      <w:pPr>
        <w:spacing w:after="0" w:line="88" w:lineRule="exact"/>
        <w:rPr>
          <w:sz w:val="20"/>
          <w:szCs w:val="20"/>
          <w:color w:val="auto"/>
        </w:rPr>
      </w:pPr>
    </w:p>
    <w:p>
      <w:pPr>
        <w:jc w:val="both"/>
        <w:ind w:left="580"/>
        <w:spacing w:after="0" w:line="248" w:lineRule="auto"/>
        <w:rPr>
          <w:sz w:val="20"/>
          <w:szCs w:val="20"/>
          <w:color w:val="auto"/>
        </w:rPr>
      </w:pPr>
      <w:r>
        <w:rPr>
          <w:rFonts w:ascii="Arial" w:cs="Arial" w:eastAsia="Arial" w:hAnsi="Arial"/>
          <w:sz w:val="18"/>
          <w:szCs w:val="18"/>
          <w:color w:val="auto"/>
        </w:rPr>
        <w:t>As noted above, during our fall 2022 outreach program, stockholders generally expressed their support for our 2022 executive compensation program, which has a program design similar to the one in place before the significant disruption caused by the COVID-19 pandemic.</w:t>
      </w:r>
    </w:p>
    <w:p>
      <w:pPr>
        <w:spacing w:after="0" w:line="150" w:lineRule="exact"/>
        <w:rPr>
          <w:sz w:val="20"/>
          <w:szCs w:val="20"/>
          <w:color w:val="auto"/>
        </w:rPr>
      </w:pPr>
    </w:p>
    <w:p>
      <w:pPr>
        <w:ind w:left="580" w:right="220"/>
        <w:spacing w:after="0" w:line="253" w:lineRule="auto"/>
        <w:rPr>
          <w:sz w:val="20"/>
          <w:szCs w:val="20"/>
          <w:color w:val="auto"/>
        </w:rPr>
      </w:pPr>
      <w:r>
        <w:rPr>
          <w:rFonts w:ascii="Arial" w:cs="Arial" w:eastAsia="Arial" w:hAnsi="Arial"/>
          <w:sz w:val="18"/>
          <w:szCs w:val="18"/>
          <w:color w:val="auto"/>
        </w:rPr>
        <w:t>In the first quarter of 2022, the Compensation Committee took certain actions with respect to the 2022 compensation of our named executive officers, including the following:</w:t>
      </w:r>
    </w:p>
    <w:p>
      <w:pPr>
        <w:spacing w:after="0" w:line="70" w:lineRule="exact"/>
        <w:rPr>
          <w:sz w:val="20"/>
          <w:szCs w:val="20"/>
          <w:color w:val="auto"/>
        </w:rPr>
      </w:pPr>
    </w:p>
    <w:p>
      <w:pPr>
        <w:ind w:left="780" w:right="40" w:hanging="200"/>
        <w:spacing w:after="0" w:line="182" w:lineRule="auto"/>
        <w:tabs>
          <w:tab w:leader="none" w:pos="780" w:val="left"/>
        </w:tabs>
        <w:numPr>
          <w:ilvl w:val="0"/>
          <w:numId w:val="42"/>
        </w:numPr>
        <w:rPr>
          <w:rFonts w:ascii="Arial" w:cs="Arial" w:eastAsia="Arial" w:hAnsi="Arial"/>
          <w:sz w:val="46"/>
          <w:szCs w:val="46"/>
          <w:color w:val="auto"/>
          <w:vertAlign w:val="subscript"/>
        </w:rPr>
      </w:pPr>
      <w:r>
        <w:rPr>
          <w:rFonts w:ascii="Arial" w:cs="Arial" w:eastAsia="Arial" w:hAnsi="Arial"/>
          <w:sz w:val="18"/>
          <w:szCs w:val="18"/>
          <w:b w:val="1"/>
          <w:bCs w:val="1"/>
          <w:i w:val="1"/>
          <w:iCs w:val="1"/>
          <w:color w:val="auto"/>
        </w:rPr>
        <w:t>Annual cash incentive performance measures</w:t>
      </w:r>
      <w:r>
        <w:rPr>
          <w:rFonts w:ascii="Arial" w:cs="Arial" w:eastAsia="Arial" w:hAnsi="Arial"/>
          <w:sz w:val="18"/>
          <w:szCs w:val="18"/>
          <w:color w:val="auto"/>
        </w:rPr>
        <w:t>. For the CEO, the CFO, and the President, the performance measures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2022 under our annual cash Executive Incentive Program (“EIP”) were based on Adjusted EBITDA (100% of funding formula). For the remaining executive officers, the performance measures for 2022 were based on Adjusted EBITDA (70% of funding formula) and 30% on measurable business unit/staff function objectives. The Compensation Committee believes the 2022 EIP represents a simplified structure compared to the 2021 EIP.</w:t>
      </w:r>
    </w:p>
    <w:p>
      <w:pPr>
        <w:spacing w:after="0" w:line="71" w:lineRule="exact"/>
        <w:rPr>
          <w:rFonts w:ascii="Arial" w:cs="Arial" w:eastAsia="Arial" w:hAnsi="Arial"/>
          <w:sz w:val="46"/>
          <w:szCs w:val="46"/>
          <w:color w:val="auto"/>
          <w:vertAlign w:val="subscript"/>
        </w:rPr>
      </w:pPr>
    </w:p>
    <w:p>
      <w:pPr>
        <w:jc w:val="both"/>
        <w:ind w:left="780" w:right="100" w:hanging="200"/>
        <w:spacing w:after="0" w:line="181" w:lineRule="auto"/>
        <w:tabs>
          <w:tab w:leader="none" w:pos="780" w:val="left"/>
        </w:tabs>
        <w:numPr>
          <w:ilvl w:val="0"/>
          <w:numId w:val="42"/>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Long-term incentive awards</w:t>
      </w:r>
      <w:r>
        <w:rPr>
          <w:rFonts w:ascii="Arial" w:cs="Arial" w:eastAsia="Arial" w:hAnsi="Arial"/>
          <w:sz w:val="17"/>
          <w:szCs w:val="17"/>
          <w:color w:val="auto"/>
        </w:rPr>
        <w:t>. We granted long-term incentive awards in March 2022, after setting the long-term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award value for each named executive officer. This award value was divided into separate grants consisting of a PSU award (50%) and a RSU award (50%), as discussed below.</w:t>
      </w:r>
    </w:p>
    <w:p>
      <w:pPr>
        <w:spacing w:after="0" w:line="71" w:lineRule="exact"/>
        <w:rPr>
          <w:rFonts w:ascii="Arial" w:cs="Arial" w:eastAsia="Arial" w:hAnsi="Arial"/>
          <w:sz w:val="39"/>
          <w:szCs w:val="39"/>
          <w:color w:val="auto"/>
          <w:vertAlign w:val="subscript"/>
        </w:rPr>
      </w:pPr>
    </w:p>
    <w:p>
      <w:pPr>
        <w:ind w:left="1080" w:right="440" w:hanging="302"/>
        <w:spacing w:after="0" w:line="228" w:lineRule="auto"/>
        <w:tabs>
          <w:tab w:leader="none" w:pos="1080" w:val="left"/>
        </w:tabs>
        <w:numPr>
          <w:ilvl w:val="1"/>
          <w:numId w:val="42"/>
        </w:numPr>
        <w:rPr>
          <w:rFonts w:ascii="Arial" w:cs="Arial" w:eastAsia="Arial" w:hAnsi="Arial"/>
          <w:sz w:val="22"/>
          <w:szCs w:val="22"/>
          <w:color w:val="CF0A2C"/>
        </w:rPr>
      </w:pPr>
      <w:r>
        <w:rPr>
          <w:rFonts w:ascii="Arial" w:cs="Arial" w:eastAsia="Arial" w:hAnsi="Arial"/>
          <w:sz w:val="18"/>
          <w:szCs w:val="18"/>
          <w:b w:val="1"/>
          <w:bCs w:val="1"/>
          <w:i w:val="1"/>
          <w:iCs w:val="1"/>
          <w:color w:val="auto"/>
        </w:rPr>
        <w:t>PSUs</w:t>
      </w:r>
      <w:r>
        <w:rPr>
          <w:rFonts w:ascii="Arial" w:cs="Arial" w:eastAsia="Arial" w:hAnsi="Arial"/>
          <w:sz w:val="18"/>
          <w:szCs w:val="18"/>
          <w:color w:val="auto"/>
        </w:rPr>
        <w:t>. The PSUs granted in March 2022 utilize Adjusted Free Cash Flow as the performance measure. The PSUs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three-year vesting period, with the potential to earn up to 200% of the target</w:t>
      </w:r>
    </w:p>
    <w:p>
      <w:pPr>
        <w:spacing w:after="0" w:line="95"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56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1080" w:right="140"/>
        <w:spacing w:after="0" w:line="242" w:lineRule="auto"/>
        <w:rPr>
          <w:sz w:val="20"/>
          <w:szCs w:val="20"/>
          <w:color w:val="auto"/>
        </w:rPr>
      </w:pPr>
      <w:r>
        <w:rPr>
          <w:rFonts w:ascii="Arial" w:cs="Arial" w:eastAsia="Arial" w:hAnsi="Arial"/>
          <w:sz w:val="18"/>
          <w:szCs w:val="18"/>
          <w:color w:val="auto"/>
        </w:rPr>
        <w:t>number of PSUs based on our actual performance against our Adjusted Free Cash Flow measured for the last year of this period, with a TSR modifier based on our common stock price relative performance to the S&amp;P Composite 1500 Information Technology index over the three-year measurement period from January 1, 2022 to December 31, 2024, which will increase or decrease the number of PSUs earned by 10%, subject to a maximum payout of 200%.</w:t>
      </w:r>
    </w:p>
    <w:p>
      <w:pPr>
        <w:spacing w:after="0" w:line="68" w:lineRule="exact"/>
        <w:rPr>
          <w:sz w:val="20"/>
          <w:szCs w:val="20"/>
          <w:color w:val="auto"/>
        </w:rPr>
      </w:pPr>
    </w:p>
    <w:p>
      <w:pPr>
        <w:ind w:left="1080" w:right="600" w:hanging="302"/>
        <w:spacing w:after="0" w:line="228" w:lineRule="auto"/>
        <w:tabs>
          <w:tab w:leader="none" w:pos="1080" w:val="left"/>
        </w:tabs>
        <w:numPr>
          <w:ilvl w:val="0"/>
          <w:numId w:val="43"/>
        </w:numPr>
        <w:rPr>
          <w:rFonts w:ascii="Arial" w:cs="Arial" w:eastAsia="Arial" w:hAnsi="Arial"/>
          <w:sz w:val="22"/>
          <w:szCs w:val="22"/>
          <w:color w:val="CF0A2C"/>
        </w:rPr>
      </w:pPr>
      <w:r>
        <w:rPr>
          <w:rFonts w:ascii="Arial" w:cs="Arial" w:eastAsia="Arial" w:hAnsi="Arial"/>
          <w:sz w:val="18"/>
          <w:szCs w:val="18"/>
          <w:b w:val="1"/>
          <w:bCs w:val="1"/>
          <w:i w:val="1"/>
          <w:iCs w:val="1"/>
          <w:color w:val="auto"/>
        </w:rPr>
        <w:t>RSUs</w:t>
      </w:r>
      <w:r>
        <w:rPr>
          <w:rFonts w:ascii="Arial" w:cs="Arial" w:eastAsia="Arial" w:hAnsi="Arial"/>
          <w:sz w:val="18"/>
          <w:szCs w:val="18"/>
          <w:color w:val="auto"/>
        </w:rPr>
        <w:t>. The RSUs granted in March 2022 vest ratably on an annual basis over three years, subject to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continued employment through the applicable vesting date.</w:t>
      </w:r>
    </w:p>
    <w:p>
      <w:pPr>
        <w:spacing w:after="0" w:line="156"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See “—Compensation Elements of Total Direct Compensation—Annual Incentive Compensation” and “—Long-Term Incentive Compensation” below.</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Our Executive Compensation Strategy</w:t>
      </w:r>
    </w:p>
    <w:p>
      <w:pPr>
        <w:spacing w:after="0" w:line="88" w:lineRule="exact"/>
        <w:rPr>
          <w:sz w:val="20"/>
          <w:szCs w:val="20"/>
          <w:color w:val="auto"/>
        </w:rPr>
      </w:pPr>
    </w:p>
    <w:p>
      <w:pPr>
        <w:ind w:left="580" w:right="560"/>
        <w:spacing w:after="0" w:line="253" w:lineRule="auto"/>
        <w:rPr>
          <w:sz w:val="20"/>
          <w:szCs w:val="20"/>
          <w:color w:val="auto"/>
        </w:rPr>
      </w:pPr>
      <w:r>
        <w:rPr>
          <w:rFonts w:ascii="Arial" w:cs="Arial" w:eastAsia="Arial" w:hAnsi="Arial"/>
          <w:sz w:val="18"/>
          <w:szCs w:val="18"/>
          <w:color w:val="auto"/>
        </w:rPr>
        <w:t>Our overall corporate rewards strategy, which is embodied in our executive compensation program, is designed to help advance three principal objectives:</w:t>
      </w:r>
    </w:p>
    <w:p>
      <w:pPr>
        <w:spacing w:after="0" w:line="70" w:lineRule="exact"/>
        <w:rPr>
          <w:sz w:val="20"/>
          <w:szCs w:val="20"/>
          <w:color w:val="auto"/>
        </w:rPr>
      </w:pPr>
    </w:p>
    <w:p>
      <w:pPr>
        <w:jc w:val="both"/>
        <w:ind w:left="780" w:right="500" w:hanging="200"/>
        <w:spacing w:after="0" w:line="221" w:lineRule="auto"/>
        <w:tabs>
          <w:tab w:leader="none" w:pos="780" w:val="left"/>
        </w:tabs>
        <w:numPr>
          <w:ilvl w:val="0"/>
          <w:numId w:val="44"/>
        </w:numPr>
        <w:rPr>
          <w:rFonts w:ascii="Arial" w:cs="Arial" w:eastAsia="Arial" w:hAnsi="Arial"/>
          <w:sz w:val="43"/>
          <w:szCs w:val="43"/>
          <w:color w:val="auto"/>
          <w:vertAlign w:val="subscript"/>
        </w:rPr>
      </w:pPr>
      <w:r>
        <w:rPr>
          <w:rFonts w:ascii="Arial" w:cs="Arial" w:eastAsia="Arial" w:hAnsi="Arial"/>
          <w:sz w:val="17"/>
          <w:szCs w:val="17"/>
          <w:b w:val="1"/>
          <w:bCs w:val="1"/>
          <w:i w:val="1"/>
          <w:iCs w:val="1"/>
          <w:color w:val="auto"/>
        </w:rPr>
        <w:t>Pay for performance</w:t>
      </w:r>
      <w:r>
        <w:rPr>
          <w:rFonts w:ascii="Arial" w:cs="Arial" w:eastAsia="Arial" w:hAnsi="Arial"/>
          <w:sz w:val="17"/>
          <w:szCs w:val="17"/>
          <w:color w:val="auto"/>
        </w:rPr>
        <w:t>. Link a significant portion of the target total direct compensation opportunities of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to our annual and long-term strategy and performance, including through grants of performance-based equity awards.</w:t>
      </w:r>
    </w:p>
    <w:p>
      <w:pPr>
        <w:spacing w:after="0" w:line="69" w:lineRule="exact"/>
        <w:rPr>
          <w:rFonts w:ascii="Arial" w:cs="Arial" w:eastAsia="Arial" w:hAnsi="Arial"/>
          <w:sz w:val="43"/>
          <w:szCs w:val="43"/>
          <w:color w:val="auto"/>
          <w:vertAlign w:val="subscript"/>
        </w:rPr>
      </w:pPr>
    </w:p>
    <w:p>
      <w:pPr>
        <w:ind w:left="780" w:right="40" w:hanging="200"/>
        <w:spacing w:after="0" w:line="186" w:lineRule="auto"/>
        <w:tabs>
          <w:tab w:leader="none" w:pos="780" w:val="left"/>
        </w:tabs>
        <w:numPr>
          <w:ilvl w:val="0"/>
          <w:numId w:val="44"/>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Attract, motivate, and retain</w:t>
      </w:r>
      <w:r>
        <w:rPr>
          <w:rFonts w:ascii="Arial" w:cs="Arial" w:eastAsia="Arial" w:hAnsi="Arial"/>
          <w:sz w:val="15"/>
          <w:szCs w:val="15"/>
          <w:color w:val="auto"/>
        </w:rPr>
        <w:t>. Set compensation at market competitive levels that enable us to hire, incentivize, and retain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high-caliber executive officers.</w:t>
      </w:r>
    </w:p>
    <w:p>
      <w:pPr>
        <w:spacing w:after="0" w:line="70" w:lineRule="exact"/>
        <w:rPr>
          <w:rFonts w:ascii="Arial" w:cs="Arial" w:eastAsia="Arial" w:hAnsi="Arial"/>
          <w:sz w:val="34"/>
          <w:szCs w:val="34"/>
          <w:color w:val="auto"/>
          <w:vertAlign w:val="subscript"/>
        </w:rPr>
      </w:pPr>
    </w:p>
    <w:p>
      <w:pPr>
        <w:ind w:left="780" w:right="160" w:hanging="200"/>
        <w:spacing w:after="0" w:line="181" w:lineRule="auto"/>
        <w:tabs>
          <w:tab w:leader="none" w:pos="780" w:val="left"/>
        </w:tabs>
        <w:numPr>
          <w:ilvl w:val="0"/>
          <w:numId w:val="44"/>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Long-term equity ownership</w:t>
      </w:r>
      <w:r>
        <w:rPr>
          <w:rFonts w:ascii="Arial" w:cs="Arial" w:eastAsia="Arial" w:hAnsi="Arial"/>
          <w:sz w:val="17"/>
          <w:szCs w:val="17"/>
          <w:color w:val="auto"/>
        </w:rPr>
        <w:t>. Provide opportunities, consistent with the interests of our stockholders, for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to accumulate and hold a significant equity stake in the organization, including through performance-based equity awards, if we achieve our strategic and growth objectives.</w:t>
      </w:r>
    </w:p>
    <w:p>
      <w:pPr>
        <w:sectPr>
          <w:pgSz w:w="11900" w:h="16838" w:orient="portrait"/>
          <w:cols w:equalWidth="0" w:num="1">
            <w:col w:w="10640"/>
          </w:cols>
          <w:pgMar w:left="320" w:top="453" w:right="939" w:bottom="1440" w:gutter="0" w:footer="0" w:header="0"/>
        </w:sectPr>
      </w:pP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Compensation Program Overview</w:t>
      </w:r>
    </w:p>
    <w:p>
      <w:pPr>
        <w:spacing w:after="0" w:line="224" w:lineRule="exact"/>
        <w:rPr>
          <w:sz w:val="20"/>
          <w:szCs w:val="20"/>
          <w:color w:val="auto"/>
        </w:rPr>
      </w:pPr>
    </w:p>
    <w:p>
      <w:pPr>
        <w:ind w:left="860" w:right="80" w:hanging="189"/>
        <w:spacing w:after="0" w:line="246" w:lineRule="auto"/>
        <w:tabs>
          <w:tab w:leader="none" w:pos="890" w:val="left"/>
        </w:tabs>
        <w:numPr>
          <w:ilvl w:val="0"/>
          <w:numId w:val="4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IndependentCompensation Committee consultant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has engaged its own compensation consultant to assist with the review and analysis of our executive compensation program</w:t>
      </w:r>
    </w:p>
    <w:p>
      <w:pPr>
        <w:spacing w:after="0" w:line="66" w:lineRule="exact"/>
        <w:rPr>
          <w:rFonts w:ascii="MS PGothic" w:cs="MS PGothic" w:eastAsia="MS PGothic" w:hAnsi="MS PGothic"/>
          <w:sz w:val="18"/>
          <w:szCs w:val="18"/>
          <w:color w:val="auto"/>
        </w:rPr>
      </w:pPr>
    </w:p>
    <w:p>
      <w:pPr>
        <w:ind w:left="860" w:hanging="189"/>
        <w:spacing w:after="0" w:line="239" w:lineRule="auto"/>
        <w:tabs>
          <w:tab w:leader="none" w:pos="883" w:val="left"/>
        </w:tabs>
        <w:numPr>
          <w:ilvl w:val="0"/>
          <w:numId w:val="4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Annualexecutive compensation review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conducts an annual review of our executive compensation program, including a review of the competitive market for executive talent, and has developed a compensation peer group for use during its deliberations when evaluating the competitive market</w:t>
      </w:r>
    </w:p>
    <w:p>
      <w:pPr>
        <w:spacing w:after="0" w:line="73" w:lineRule="exact"/>
        <w:rPr>
          <w:rFonts w:ascii="MS PGothic" w:cs="MS PGothic" w:eastAsia="MS PGothic" w:hAnsi="MS PGothic"/>
          <w:sz w:val="18"/>
          <w:szCs w:val="18"/>
          <w:color w:val="auto"/>
        </w:rPr>
      </w:pPr>
    </w:p>
    <w:p>
      <w:pPr>
        <w:ind w:left="860" w:right="120" w:hanging="189"/>
        <w:spacing w:after="0" w:line="242" w:lineRule="auto"/>
        <w:tabs>
          <w:tab w:leader="none" w:pos="890" w:val="left"/>
        </w:tabs>
        <w:numPr>
          <w:ilvl w:val="0"/>
          <w:numId w:val="4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Compensationat-risk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is designed so that a significant portion of compensation is “at risk” based on corporate performance, as well as equity-based to align the interests of our executive officers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120015</wp:posOffset>
            </wp:positionV>
            <wp:extent cx="415925" cy="1022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hanging="180"/>
        <w:spacing w:after="0" w:line="242" w:lineRule="auto"/>
        <w:rPr>
          <w:sz w:val="20"/>
          <w:szCs w:val="20"/>
          <w:color w:val="auto"/>
        </w:rPr>
      </w:pPr>
      <w:r>
        <w:rPr>
          <w:rFonts w:ascii="Arial" w:cs="Arial" w:eastAsia="Arial" w:hAnsi="Arial"/>
          <w:sz w:val="18"/>
          <w:szCs w:val="18"/>
          <w:b w:val="1"/>
          <w:bCs w:val="1"/>
          <w:i w:val="1"/>
          <w:iCs w:val="1"/>
          <w:color w:val="auto"/>
        </w:rPr>
        <w:t>X  No pension plans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currently offer, nor do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plans to provide, supplemental pension arrangements or defined benefit pension plans to our executive officers</w:t>
      </w:r>
    </w:p>
    <w:p>
      <w:pPr>
        <w:spacing w:after="0" w:line="82" w:lineRule="exact"/>
        <w:rPr>
          <w:sz w:val="20"/>
          <w:szCs w:val="20"/>
          <w:color w:val="auto"/>
        </w:rPr>
      </w:pPr>
    </w:p>
    <w:p>
      <w:pPr>
        <w:ind w:hanging="180"/>
        <w:spacing w:after="0" w:line="241" w:lineRule="auto"/>
        <w:rPr>
          <w:sz w:val="20"/>
          <w:szCs w:val="20"/>
          <w:color w:val="auto"/>
        </w:rPr>
      </w:pPr>
      <w:r>
        <w:rPr>
          <w:rFonts w:ascii="Arial" w:cs="Arial" w:eastAsia="Arial" w:hAnsi="Arial"/>
          <w:sz w:val="18"/>
          <w:szCs w:val="18"/>
          <w:b w:val="1"/>
          <w:bCs w:val="1"/>
          <w:i w:val="1"/>
          <w:iCs w:val="1"/>
          <w:color w:val="auto"/>
        </w:rPr>
        <w:t>X  No tax reimbursements on severance or change-in-control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provide any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payments (including “gross-ups”) on any severance or change-in-control payments</w:t>
      </w:r>
    </w:p>
    <w:p>
      <w:pPr>
        <w:spacing w:after="0" w:line="200" w:lineRule="exact"/>
        <w:rPr>
          <w:sz w:val="20"/>
          <w:szCs w:val="20"/>
          <w:color w:val="auto"/>
        </w:rPr>
      </w:pPr>
    </w:p>
    <w:p>
      <w:pPr>
        <w:spacing w:after="0" w:line="277" w:lineRule="exact"/>
        <w:rPr>
          <w:sz w:val="20"/>
          <w:szCs w:val="20"/>
          <w:color w:val="auto"/>
        </w:rPr>
      </w:pPr>
    </w:p>
    <w:p>
      <w:pPr>
        <w:jc w:val="both"/>
        <w:ind w:right="120" w:hanging="180"/>
        <w:spacing w:after="0" w:line="242" w:lineRule="auto"/>
        <w:rPr>
          <w:sz w:val="20"/>
          <w:szCs w:val="20"/>
          <w:color w:val="auto"/>
        </w:rPr>
      </w:pPr>
      <w:r>
        <w:rPr>
          <w:rFonts w:ascii="Arial" w:cs="Arial" w:eastAsia="Arial" w:hAnsi="Arial"/>
          <w:sz w:val="18"/>
          <w:szCs w:val="18"/>
          <w:b w:val="1"/>
          <w:bCs w:val="1"/>
          <w:i w:val="1"/>
          <w:iCs w:val="1"/>
          <w:color w:val="auto"/>
        </w:rPr>
        <w:t>X  No special health or welfare benefits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participate in broad-based company-sponsored health and welfare benefits programs on the same basis as our other full-time, salaried employees</w:t>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57</w:t>
            </w:r>
          </w:p>
        </w:tc>
      </w:tr>
    </w:tbl>
    <w:p>
      <w:pPr>
        <w:sectPr>
          <w:pgSz w:w="11900" w:h="16838" w:orient="portrait"/>
          <w:cols w:equalWidth="0" w:num="2">
            <w:col w:w="5660" w:space="360"/>
            <w:col w:w="4620"/>
          </w:cols>
          <w:pgMar w:left="320" w:top="453" w:right="9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165100</wp:posOffset>
            </wp:positionV>
            <wp:extent cx="6405880" cy="156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05880" cy="15684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rPr>
        <w:t>What we do</w:t>
      </w:r>
    </w:p>
    <w:p>
      <w:pPr>
        <w:spacing w:after="0" w:line="140" w:lineRule="exact"/>
        <w:rPr>
          <w:sz w:val="20"/>
          <w:szCs w:val="20"/>
          <w:color w:val="auto"/>
        </w:rPr>
      </w:pPr>
    </w:p>
    <w:p>
      <w:pPr>
        <w:ind w:left="860" w:right="360" w:hanging="189"/>
        <w:spacing w:after="0" w:line="282" w:lineRule="auto"/>
        <w:tabs>
          <w:tab w:leader="none" w:pos="89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Performance-basedincentives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performance-based annual and long-term incentives</w:t>
      </w:r>
    </w:p>
    <w:p>
      <w:pPr>
        <w:spacing w:after="0" w:line="32" w:lineRule="exact"/>
        <w:rPr>
          <w:rFonts w:ascii="MS PGothic" w:cs="MS PGothic" w:eastAsia="MS PGothic" w:hAnsi="MS PGothic"/>
          <w:sz w:val="18"/>
          <w:szCs w:val="18"/>
          <w:color w:val="auto"/>
        </w:rPr>
      </w:pPr>
    </w:p>
    <w:p>
      <w:pPr>
        <w:ind w:left="860" w:right="180" w:hanging="189"/>
        <w:spacing w:after="0" w:line="246" w:lineRule="auto"/>
        <w:tabs>
          <w:tab w:leader="none" w:pos="89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Multi-yearvesting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to our executive officers vest or are earned over multi-year periods, consistent with current market practice and our retention objectives</w:t>
      </w:r>
    </w:p>
    <w:p>
      <w:pPr>
        <w:spacing w:after="0" w:line="239" w:lineRule="exact"/>
        <w:rPr>
          <w:rFonts w:ascii="MS PGothic" w:cs="MS PGothic" w:eastAsia="MS PGothic" w:hAnsi="MS PGothic"/>
          <w:sz w:val="18"/>
          <w:szCs w:val="18"/>
          <w:color w:val="auto"/>
        </w:rPr>
      </w:pPr>
    </w:p>
    <w:p>
      <w:pPr>
        <w:ind w:left="860" w:hanging="189"/>
        <w:spacing w:after="0" w:line="282" w:lineRule="auto"/>
        <w:tabs>
          <w:tab w:leader="none" w:pos="89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Clawbackpolicy</w:t>
      </w:r>
      <w:r>
        <w:rPr>
          <w:rFonts w:ascii="Arial" w:cs="Arial" w:eastAsia="Arial" w:hAnsi="Arial"/>
          <w:sz w:val="18"/>
          <w:szCs w:val="18"/>
          <w:color w:val="auto"/>
        </w:rPr>
        <w:t>. We maintain an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Recovery Policy (also referred to as a “clawback”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What we don’t do</w:t>
      </w:r>
    </w:p>
    <w:p>
      <w:pPr>
        <w:spacing w:after="0" w:line="128" w:lineRule="exact"/>
        <w:rPr>
          <w:sz w:val="20"/>
          <w:szCs w:val="20"/>
          <w:color w:val="auto"/>
        </w:rPr>
      </w:pPr>
    </w:p>
    <w:p>
      <w:pPr>
        <w:ind w:left="180" w:right="80" w:hanging="180"/>
        <w:spacing w:after="0" w:line="267" w:lineRule="auto"/>
        <w:rPr>
          <w:sz w:val="20"/>
          <w:szCs w:val="20"/>
          <w:color w:val="auto"/>
        </w:rPr>
      </w:pPr>
      <w:r>
        <w:rPr>
          <w:rFonts w:ascii="Arial" w:cs="Arial" w:eastAsia="Arial" w:hAnsi="Arial"/>
          <w:sz w:val="18"/>
          <w:szCs w:val="18"/>
          <w:b w:val="1"/>
          <w:bCs w:val="1"/>
          <w:i w:val="1"/>
          <w:iCs w:val="1"/>
          <w:color w:val="auto"/>
        </w:rPr>
        <w:t>X  Limited perquisites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only limited perquisites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personal benefits to our executive officers</w:t>
      </w:r>
    </w:p>
    <w:p>
      <w:pPr>
        <w:spacing w:after="0" w:line="59" w:lineRule="exact"/>
        <w:rPr>
          <w:sz w:val="20"/>
          <w:szCs w:val="20"/>
          <w:color w:val="auto"/>
        </w:rPr>
      </w:pPr>
    </w:p>
    <w:p>
      <w:pPr>
        <w:ind w:left="180" w:right="140" w:hanging="180"/>
        <w:spacing w:after="0" w:line="239" w:lineRule="auto"/>
        <w:rPr>
          <w:sz w:val="20"/>
          <w:szCs w:val="20"/>
          <w:color w:val="auto"/>
        </w:rPr>
      </w:pPr>
      <w:r>
        <w:rPr>
          <w:rFonts w:ascii="Arial" w:cs="Arial" w:eastAsia="Arial" w:hAnsi="Arial"/>
          <w:sz w:val="18"/>
          <w:szCs w:val="18"/>
          <w:b w:val="1"/>
          <w:bCs w:val="1"/>
          <w:i w:val="1"/>
          <w:iCs w:val="1"/>
          <w:color w:val="auto"/>
        </w:rPr>
        <w:t>X  Hedging and pledging prohibited</w:t>
      </w:r>
      <w:r>
        <w:rPr>
          <w:rFonts w:ascii="Arial" w:cs="Arial" w:eastAsia="Arial" w:hAnsi="Arial"/>
          <w:sz w:val="18"/>
          <w:szCs w:val="18"/>
          <w:color w:val="auto"/>
        </w:rPr>
        <w:t>. Our Insider Trading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prohibits employees that are recipients of equity grants, including our executive officers, and members of our Board of Directors from hedging or pledging any of their shares of Sabre common stock</w:t>
      </w:r>
    </w:p>
    <w:p>
      <w:pPr>
        <w:spacing w:after="0" w:line="57" w:lineRule="exact"/>
        <w:rPr>
          <w:sz w:val="20"/>
          <w:szCs w:val="20"/>
          <w:color w:val="auto"/>
        </w:rPr>
      </w:pPr>
    </w:p>
    <w:p>
      <w:pPr>
        <w:jc w:val="both"/>
        <w:ind w:left="180" w:right="80" w:hanging="180"/>
        <w:spacing w:after="0" w:line="248" w:lineRule="auto"/>
        <w:rPr>
          <w:sz w:val="20"/>
          <w:szCs w:val="20"/>
          <w:color w:val="auto"/>
        </w:rPr>
      </w:pPr>
      <w:r>
        <w:rPr>
          <w:rFonts w:ascii="Arial" w:cs="Arial" w:eastAsia="Arial" w:hAnsi="Arial"/>
          <w:sz w:val="18"/>
          <w:szCs w:val="18"/>
          <w:b w:val="1"/>
          <w:bCs w:val="1"/>
          <w:i w:val="1"/>
          <w:iCs w:val="1"/>
          <w:color w:val="auto"/>
        </w:rPr>
        <w:t>X  No stock option repricings</w:t>
      </w:r>
      <w:r>
        <w:rPr>
          <w:rFonts w:ascii="Arial" w:cs="Arial" w:eastAsia="Arial" w:hAnsi="Arial"/>
          <w:sz w:val="18"/>
          <w:szCs w:val="18"/>
          <w:color w:val="auto"/>
        </w:rPr>
        <w:t>. We prohibit the repricing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options to purchase our common stock without prior stockholder approval</w:t>
      </w:r>
    </w:p>
    <w:p>
      <w:pPr>
        <w:spacing w:after="0" w:line="200" w:lineRule="exact"/>
        <w:rPr>
          <w:sz w:val="20"/>
          <w:szCs w:val="20"/>
          <w:color w:val="auto"/>
        </w:rPr>
      </w:pPr>
    </w:p>
    <w:p>
      <w:pPr>
        <w:sectPr>
          <w:pgSz w:w="11900" w:h="16838" w:orient="portrait"/>
          <w:cols w:equalWidth="0" w:num="2">
            <w:col w:w="5660" w:space="180"/>
            <w:col w:w="4820"/>
          </w:cols>
          <w:pgMar w:left="320" w:top="453" w:right="919" w:bottom="1440" w:gutter="0" w:footer="0" w:header="0"/>
        </w:sectPr>
      </w:pPr>
    </w:p>
    <w:p>
      <w:pPr>
        <w:spacing w:after="0" w:line="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Compensation Philosophy and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80"/>
        <w:spacing w:after="0" w:line="242" w:lineRule="auto"/>
        <w:rPr>
          <w:sz w:val="20"/>
          <w:szCs w:val="20"/>
          <w:color w:val="auto"/>
        </w:rPr>
      </w:pPr>
      <w:r>
        <w:rPr>
          <w:rFonts w:ascii="Arial" w:cs="Arial" w:eastAsia="Arial" w:hAnsi="Arial"/>
          <w:sz w:val="18"/>
          <w:szCs w:val="18"/>
          <w:color w:val="auto"/>
        </w:rPr>
        <w:t>The philosophy underlying our executive compensation program is to provide an attractive, flexible, and effective total compensation opportunity to our executive officers, including our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w:t>
      </w:r>
    </w:p>
    <w:p>
      <w:pPr>
        <w:spacing w:after="0" w:line="154"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Equally important, we view our compensation policies and practices as a means of communicating our goals and standards of conduct and performance and for motivating and rewarding employees in relation to their achievements. Overall, the same principles that govern the compensation of our executive officers also generally apply to the compensation of our salaried employees. Within this framework, we seek to observe the following principles, while balancing them within the context of the current uncertain effects of the COVID-19 pandemic environment and the corresponding need to respond quickly to any related challenging circumstances:</w:t>
      </w:r>
    </w:p>
    <w:p>
      <w:pPr>
        <w:spacing w:after="0" w:line="72" w:lineRule="exact"/>
        <w:rPr>
          <w:sz w:val="20"/>
          <w:szCs w:val="20"/>
          <w:color w:val="auto"/>
        </w:rPr>
      </w:pPr>
    </w:p>
    <w:p>
      <w:pPr>
        <w:ind w:left="780" w:right="140" w:hanging="200"/>
        <w:spacing w:after="0" w:line="186" w:lineRule="auto"/>
        <w:tabs>
          <w:tab w:leader="none" w:pos="780" w:val="left"/>
        </w:tabs>
        <w:numPr>
          <w:ilvl w:val="0"/>
          <w:numId w:val="47"/>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Retain and hire top-caliber executive officers</w:t>
      </w:r>
      <w:r>
        <w:rPr>
          <w:rFonts w:ascii="Arial" w:cs="Arial" w:eastAsia="Arial" w:hAnsi="Arial"/>
          <w:sz w:val="15"/>
          <w:szCs w:val="15"/>
          <w:color w:val="auto"/>
        </w:rPr>
        <w:t>. Executive officers should have base salaries and employee benefits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market competitive and that permit us to hire and retain high-caliber individuals at all levels.</w:t>
      </w:r>
    </w:p>
    <w:p>
      <w:pPr>
        <w:spacing w:after="0" w:line="70" w:lineRule="exact"/>
        <w:rPr>
          <w:rFonts w:ascii="Arial" w:cs="Arial" w:eastAsia="Arial" w:hAnsi="Arial"/>
          <w:sz w:val="34"/>
          <w:szCs w:val="34"/>
          <w:color w:val="auto"/>
          <w:vertAlign w:val="subscript"/>
        </w:rPr>
      </w:pPr>
    </w:p>
    <w:p>
      <w:pPr>
        <w:ind w:left="780" w:right="140" w:hanging="200"/>
        <w:spacing w:after="0" w:line="181" w:lineRule="auto"/>
        <w:tabs>
          <w:tab w:leader="none" w:pos="780" w:val="left"/>
        </w:tabs>
        <w:numPr>
          <w:ilvl w:val="0"/>
          <w:numId w:val="47"/>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Pay for performance</w:t>
      </w:r>
      <w:r>
        <w:rPr>
          <w:rFonts w:ascii="Arial" w:cs="Arial" w:eastAsia="Arial" w:hAnsi="Arial"/>
          <w:sz w:val="17"/>
          <w:szCs w:val="17"/>
          <w:color w:val="auto"/>
        </w:rPr>
        <w:t>. A significant portion of the target total direct compensation opportunities of our executive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should vary with annual and long-term business performance and each individual’s contribution to that performance, while the level of “at-risk” compensation should increase as the scope of the executive officer’s responsibility increases.</w:t>
      </w:r>
    </w:p>
    <w:p>
      <w:pPr>
        <w:spacing w:after="0" w:line="71" w:lineRule="exact"/>
        <w:rPr>
          <w:rFonts w:ascii="Arial" w:cs="Arial" w:eastAsia="Arial" w:hAnsi="Arial"/>
          <w:sz w:val="39"/>
          <w:szCs w:val="39"/>
          <w:color w:val="auto"/>
          <w:vertAlign w:val="subscript"/>
        </w:rPr>
      </w:pPr>
    </w:p>
    <w:p>
      <w:pPr>
        <w:ind w:left="780" w:right="240" w:hanging="200"/>
        <w:spacing w:after="0" w:line="186" w:lineRule="auto"/>
        <w:tabs>
          <w:tab w:leader="none" w:pos="780" w:val="left"/>
        </w:tabs>
        <w:numPr>
          <w:ilvl w:val="0"/>
          <w:numId w:val="47"/>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Reward long-term growth and profitability</w:t>
      </w:r>
      <w:r>
        <w:rPr>
          <w:rFonts w:ascii="Arial" w:cs="Arial" w:eastAsia="Arial" w:hAnsi="Arial"/>
          <w:sz w:val="15"/>
          <w:szCs w:val="15"/>
          <w:color w:val="auto"/>
        </w:rPr>
        <w:t>. Executive officers should be rewarded for achieving long-term results,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these rewards should be aligned with the interests of our stockholders.</w:t>
      </w:r>
    </w:p>
    <w:p>
      <w:pPr>
        <w:spacing w:after="0" w:line="70" w:lineRule="exact"/>
        <w:rPr>
          <w:rFonts w:ascii="Arial" w:cs="Arial" w:eastAsia="Arial" w:hAnsi="Arial"/>
          <w:sz w:val="34"/>
          <w:szCs w:val="34"/>
          <w:color w:val="auto"/>
          <w:vertAlign w:val="subscript"/>
        </w:rPr>
      </w:pPr>
    </w:p>
    <w:p>
      <w:pPr>
        <w:ind w:left="780" w:hanging="200"/>
        <w:spacing w:after="0" w:line="186" w:lineRule="auto"/>
        <w:tabs>
          <w:tab w:leader="none" w:pos="780" w:val="left"/>
        </w:tabs>
        <w:numPr>
          <w:ilvl w:val="0"/>
          <w:numId w:val="47"/>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Align compensation with stockholder interests</w:t>
      </w:r>
      <w:r>
        <w:rPr>
          <w:rFonts w:ascii="Arial" w:cs="Arial" w:eastAsia="Arial" w:hAnsi="Arial"/>
          <w:sz w:val="15"/>
          <w:szCs w:val="15"/>
          <w:color w:val="auto"/>
        </w:rPr>
        <w:t>. The interests of our executive officers should be linked with those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through the risks and rewards of the ownership of shares of our common stock.</w:t>
      </w:r>
    </w:p>
    <w:p>
      <w:pPr>
        <w:spacing w:after="0" w:line="70" w:lineRule="exact"/>
        <w:rPr>
          <w:rFonts w:ascii="Arial" w:cs="Arial" w:eastAsia="Arial" w:hAnsi="Arial"/>
          <w:sz w:val="34"/>
          <w:szCs w:val="34"/>
          <w:color w:val="auto"/>
          <w:vertAlign w:val="subscript"/>
        </w:rPr>
      </w:pPr>
    </w:p>
    <w:p>
      <w:pPr>
        <w:ind w:left="780" w:right="160" w:hanging="200"/>
        <w:spacing w:after="0" w:line="186" w:lineRule="auto"/>
        <w:tabs>
          <w:tab w:leader="none" w:pos="780" w:val="left"/>
        </w:tabs>
        <w:numPr>
          <w:ilvl w:val="0"/>
          <w:numId w:val="47"/>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Provide limited personal benefits</w:t>
      </w:r>
      <w:r>
        <w:rPr>
          <w:rFonts w:ascii="Arial" w:cs="Arial" w:eastAsia="Arial" w:hAnsi="Arial"/>
          <w:sz w:val="15"/>
          <w:szCs w:val="15"/>
          <w:color w:val="auto"/>
        </w:rPr>
        <w:t>. Perquisites and other personal benefits for our executive officers should be limited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items that serve a reasonable business purpose.</w:t>
      </w:r>
    </w:p>
    <w:p>
      <w:pPr>
        <w:spacing w:after="0" w:line="96"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58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780" w:right="60" w:hanging="200"/>
        <w:spacing w:after="0" w:line="181" w:lineRule="auto"/>
        <w:tabs>
          <w:tab w:leader="none" w:pos="780" w:val="left"/>
        </w:tabs>
        <w:numPr>
          <w:ilvl w:val="0"/>
          <w:numId w:val="48"/>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Promote transparency</w:t>
      </w:r>
      <w:r>
        <w:rPr>
          <w:rFonts w:ascii="Arial" w:cs="Arial" w:eastAsia="Arial" w:hAnsi="Arial"/>
          <w:sz w:val="17"/>
          <w:szCs w:val="17"/>
          <w:color w:val="auto"/>
        </w:rPr>
        <w:t>. We seek to establish an efficient, simple, and transparent process for executives in designing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arrangements, setting performance objectives for annual and long-term incentive compensation opportunities, and making compensation decisions.</w:t>
      </w:r>
    </w:p>
    <w:p>
      <w:pPr>
        <w:spacing w:after="0" w:line="158" w:lineRule="exact"/>
        <w:rPr>
          <w:sz w:val="20"/>
          <w:szCs w:val="20"/>
          <w:color w:val="auto"/>
        </w:rPr>
      </w:pPr>
    </w:p>
    <w:p>
      <w:pPr>
        <w:ind w:left="580" w:right="380"/>
        <w:spacing w:after="0" w:line="267" w:lineRule="auto"/>
        <w:rPr>
          <w:sz w:val="20"/>
          <w:szCs w:val="20"/>
          <w:color w:val="auto"/>
        </w:rPr>
      </w:pPr>
      <w:r>
        <w:rPr>
          <w:rFonts w:ascii="Arial" w:cs="Arial" w:eastAsia="Arial" w:hAnsi="Arial"/>
          <w:sz w:val="18"/>
          <w:szCs w:val="18"/>
          <w:color w:val="auto"/>
        </w:rPr>
        <w:t>We believe that our compensation philosophy, as reinforced by these principles, has been effective in helping to align our executive compensation program with the creation of sustainable long-term stockholder value.</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2022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80"/>
        <w:spacing w:after="0" w:line="237" w:lineRule="auto"/>
        <w:rPr>
          <w:sz w:val="20"/>
          <w:szCs w:val="20"/>
          <w:color w:val="auto"/>
        </w:rPr>
      </w:pPr>
      <w:r>
        <w:rPr>
          <w:rFonts w:ascii="Arial" w:cs="Arial" w:eastAsia="Arial" w:hAnsi="Arial"/>
          <w:sz w:val="18"/>
          <w:szCs w:val="18"/>
          <w:color w:val="auto"/>
        </w:rPr>
        <w:t>We believe our executive compensation program has been designed to reward strong performance. The program seeks to focus a significant portion of each executive officer’s target total direct compensation opportunity on annual and long-term incentives that depend upon our performance. Each executive officer has been granted a significant stake in Sabre in the form of an equity award to closely link his or her interests to those of our stockholders. These equity awards also seek to focus his or her efforts on the successful execution of our long-term strategic and financial objectives. Information regarding Mr. Menke’s target total direct compensation mix for 2022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129540</wp:posOffset>
            </wp:positionV>
            <wp:extent cx="1939290" cy="12166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39290"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80"/>
        <w:spacing w:after="0" w:line="248" w:lineRule="auto"/>
        <w:rPr>
          <w:sz w:val="20"/>
          <w:szCs w:val="20"/>
          <w:color w:val="auto"/>
        </w:rPr>
      </w:pPr>
      <w:r>
        <w:rPr>
          <w:rFonts w:ascii="Arial" w:cs="Arial" w:eastAsia="Arial" w:hAnsi="Arial"/>
          <w:sz w:val="18"/>
          <w:szCs w:val="18"/>
          <w:color w:val="auto"/>
        </w:rPr>
        <w:t>In addition, the Compensation Committee believes that Mr. Menke’s target incentive compensation for 2022 was comprised of an appropriate mix of long-term elements (PSU and RSU awards) and short-term elements (an annual cash incentive target), consistent with our emphasis on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124460</wp:posOffset>
            </wp:positionV>
            <wp:extent cx="1891665" cy="13500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91665"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the Compensation Committee</w:t>
      </w:r>
    </w:p>
    <w:p>
      <w:pPr>
        <w:spacing w:after="0" w:line="88" w:lineRule="exact"/>
        <w:rPr>
          <w:sz w:val="20"/>
          <w:szCs w:val="20"/>
          <w:color w:val="auto"/>
        </w:rPr>
      </w:pPr>
    </w:p>
    <w:p>
      <w:pPr>
        <w:jc w:val="both"/>
        <w:ind w:left="580" w:right="200"/>
        <w:spacing w:after="0" w:line="248" w:lineRule="auto"/>
        <w:rPr>
          <w:sz w:val="20"/>
          <w:szCs w:val="20"/>
          <w:color w:val="auto"/>
        </w:rPr>
      </w:pPr>
      <w:r>
        <w:rPr>
          <w:rFonts w:ascii="Arial" w:cs="Arial" w:eastAsia="Arial" w:hAnsi="Arial"/>
          <w:sz w:val="18"/>
          <w:szCs w:val="18"/>
          <w:color w:val="auto"/>
        </w:rPr>
        <w:t>The Compensation Committee is responsible for overseeing our executive compensation program (including our executive compensation policies and practices), approving the compensation of our executive officers (including our named executive officers), and administering our various employee stock plans.</w:t>
      </w:r>
    </w:p>
    <w:p>
      <w:pPr>
        <w:spacing w:after="0" w:line="150" w:lineRule="exact"/>
        <w:rPr>
          <w:sz w:val="20"/>
          <w:szCs w:val="20"/>
          <w:color w:val="auto"/>
        </w:rPr>
      </w:pPr>
    </w:p>
    <w:p>
      <w:pPr>
        <w:ind w:left="580" w:right="80"/>
        <w:spacing w:after="0" w:line="239" w:lineRule="auto"/>
        <w:rPr>
          <w:sz w:val="20"/>
          <w:szCs w:val="20"/>
          <w:color w:val="auto"/>
        </w:rPr>
      </w:pPr>
      <w:r>
        <w:rPr>
          <w:rFonts w:ascii="Arial" w:cs="Arial" w:eastAsia="Arial" w:hAnsi="Arial"/>
          <w:sz w:val="18"/>
          <w:szCs w:val="18"/>
          <w:color w:val="auto"/>
        </w:rPr>
        <w:t>Pursuant to its charter, the Compensation Committee has responsibility for reviewing and determining the compensation of our CEO at least annually. In reviewing our CEO’s compensation each year and considering any potential adjustments, the Compensation Committee exercises its business judgment after taking into consideration several factors, including our financial results, individual performance and strategic leadership, its understanding of competitive market data and practices, and current total compensation and pay history.</w:t>
      </w:r>
    </w:p>
    <w:p>
      <w:pPr>
        <w:spacing w:after="0" w:line="156" w:lineRule="exact"/>
        <w:rPr>
          <w:sz w:val="20"/>
          <w:szCs w:val="20"/>
          <w:color w:val="auto"/>
        </w:rPr>
      </w:pPr>
    </w:p>
    <w:p>
      <w:pPr>
        <w:ind w:left="580" w:right="80"/>
        <w:spacing w:after="0" w:line="239" w:lineRule="auto"/>
        <w:rPr>
          <w:sz w:val="20"/>
          <w:szCs w:val="20"/>
          <w:color w:val="auto"/>
        </w:rPr>
      </w:pPr>
      <w:r>
        <w:rPr>
          <w:rFonts w:ascii="Arial" w:cs="Arial" w:eastAsia="Arial" w:hAnsi="Arial"/>
          <w:sz w:val="18"/>
          <w:szCs w:val="18"/>
          <w:color w:val="auto"/>
        </w:rPr>
        <w:t>In addition, the Compensation Committee annually reviews and determines the compensation of our other executive officers, including our other named executive officers, and it also approves the terms of any employment offers for our executive officers. In doing so, the Compensation Committee is responsible for helping to ensure that the compensation of our executive officers, including our named executive officers, is consistent with our executive compensation philosophy and objectives.</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Executive Officers</w:t>
      </w:r>
    </w:p>
    <w:p>
      <w:pPr>
        <w:spacing w:after="0" w:line="88" w:lineRule="exact"/>
        <w:rPr>
          <w:sz w:val="20"/>
          <w:szCs w:val="20"/>
          <w:color w:val="auto"/>
        </w:rPr>
      </w:pPr>
    </w:p>
    <w:p>
      <w:pPr>
        <w:ind w:left="580" w:right="340"/>
        <w:spacing w:after="0" w:line="242" w:lineRule="auto"/>
        <w:rPr>
          <w:sz w:val="20"/>
          <w:szCs w:val="20"/>
          <w:color w:val="auto"/>
        </w:rPr>
      </w:pPr>
      <w:r>
        <w:rPr>
          <w:rFonts w:ascii="Arial" w:cs="Arial" w:eastAsia="Arial" w:hAnsi="Arial"/>
          <w:sz w:val="18"/>
          <w:szCs w:val="18"/>
          <w:color w:val="auto"/>
        </w:rPr>
        <w:t>The Compensation Committee receives support from our People Department in designing our executive compensation program and analyzing competitive market practices. Our CEO and certain other executive officers regularly participate in portions of Compensation Committee meetings, providing management input on organizational structure, executive development, and financial and governance considerations.</w:t>
      </w:r>
    </w:p>
    <w:p>
      <w:pPr>
        <w:spacing w:after="0" w:line="154"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Our CEO evaluates the performance of each of our other executive officers, including our other named executive officers. Our CEO then reviews each executive officer’s target total direct compensation opportunity and based on his or her target total direct compensation opportunity and his or her performance, proposes compensation adjustments for him or her, subject to review and approval by the Compensation Committee. Our CEO presents the details of each executive officer’s target total direct compensation opportunity and performance to the Compensation Committee for its consideration and approval. Our CEO does not participate in the evaluation of his own performance.</w:t>
      </w:r>
    </w:p>
    <w:p>
      <w:pPr>
        <w:spacing w:after="0" w:line="158" w:lineRule="exact"/>
        <w:rPr>
          <w:sz w:val="20"/>
          <w:szCs w:val="20"/>
          <w:color w:val="auto"/>
        </w:rPr>
      </w:pPr>
    </w:p>
    <w:p>
      <w:pPr>
        <w:ind w:left="580" w:right="100"/>
        <w:spacing w:after="0" w:line="242" w:lineRule="auto"/>
        <w:rPr>
          <w:sz w:val="20"/>
          <w:szCs w:val="20"/>
          <w:color w:val="auto"/>
        </w:rPr>
      </w:pPr>
      <w:r>
        <w:rPr>
          <w:rFonts w:ascii="Arial" w:cs="Arial" w:eastAsia="Arial" w:hAnsi="Arial"/>
          <w:sz w:val="18"/>
          <w:szCs w:val="18"/>
          <w:color w:val="auto"/>
        </w:rPr>
        <w:t>In making executive compensation decisions, the Compensation Committee reviews a variety of information for each executive officer, including current total compensation and pay history, equity holdings, individual performance, and competitive market data and practices for comparable positions. Neither our CEO nor our other named executive officers are present when their specific compensation arrangements are approved by the Compensation Committee.</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Compensation Consultant</w:t>
      </w:r>
    </w:p>
    <w:p>
      <w:pPr>
        <w:spacing w:after="0" w:line="88" w:lineRule="exact"/>
        <w:rPr>
          <w:sz w:val="20"/>
          <w:szCs w:val="20"/>
          <w:color w:val="auto"/>
        </w:rPr>
      </w:pPr>
    </w:p>
    <w:p>
      <w:pPr>
        <w:jc w:val="both"/>
        <w:ind w:left="580" w:right="200"/>
        <w:spacing w:after="0" w:line="248" w:lineRule="auto"/>
        <w:rPr>
          <w:sz w:val="20"/>
          <w:szCs w:val="20"/>
          <w:color w:val="auto"/>
        </w:rPr>
      </w:pPr>
      <w:r>
        <w:rPr>
          <w:rFonts w:ascii="Arial" w:cs="Arial" w:eastAsia="Arial" w:hAnsi="Arial"/>
          <w:sz w:val="18"/>
          <w:szCs w:val="18"/>
          <w:color w:val="auto"/>
        </w:rPr>
        <w:t>In fulfilling its duties and responsibilities, the Compensation Committee has the authority to engage the services of outside advisers, including compensation consultants. The Compensation Committee has engaged Korn Ferry as its compensation consultant to assist it with compensation matters. One or more</w:t>
      </w:r>
    </w:p>
    <w:p>
      <w:pPr>
        <w:spacing w:after="0" w:line="8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60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representatives of Korn Ferry attend regularly scheduled meetings of the Compensation Committee, respond to inquiries from members of the Compensation Committee, and provide their analysis with respect to these inquiries.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nature and scope of services provided to the Compensation Committee by Korn Ferry in 2022 included the following:</w:t>
      </w:r>
    </w:p>
    <w:p>
      <w:pPr>
        <w:spacing w:after="0" w:line="102" w:lineRule="exact"/>
        <w:rPr>
          <w:sz w:val="20"/>
          <w:szCs w:val="20"/>
          <w:color w:val="auto"/>
        </w:rPr>
      </w:pPr>
    </w:p>
    <w:p>
      <w:pPr>
        <w:ind w:left="780" w:right="340" w:hanging="200"/>
        <w:spacing w:after="0" w:line="186" w:lineRule="auto"/>
        <w:tabs>
          <w:tab w:leader="none" w:pos="780" w:val="left"/>
        </w:tabs>
        <w:numPr>
          <w:ilvl w:val="0"/>
          <w:numId w:val="49"/>
        </w:numPr>
        <w:rPr>
          <w:rFonts w:ascii="Arial" w:cs="Arial" w:eastAsia="Arial" w:hAnsi="Arial"/>
          <w:sz w:val="34"/>
          <w:szCs w:val="34"/>
          <w:color w:val="auto"/>
          <w:vertAlign w:val="subscript"/>
        </w:rPr>
      </w:pPr>
      <w:r>
        <w:rPr>
          <w:rFonts w:ascii="Arial" w:cs="Arial" w:eastAsia="Arial" w:hAnsi="Arial"/>
          <w:sz w:val="15"/>
          <w:szCs w:val="15"/>
          <w:color w:val="auto"/>
        </w:rPr>
        <w:t>Provided input and guidance on the design of our executive compensation program, taking into account the say-on-pay results and stockholder feedback.</w:t>
      </w:r>
    </w:p>
    <w:p>
      <w:pPr>
        <w:spacing w:after="0" w:line="1"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49"/>
        </w:numPr>
        <w:rPr>
          <w:rFonts w:ascii="Arial" w:cs="Arial" w:eastAsia="Arial" w:hAnsi="Arial"/>
          <w:sz w:val="35"/>
          <w:szCs w:val="35"/>
          <w:color w:val="auto"/>
          <w:vertAlign w:val="subscript"/>
        </w:rPr>
      </w:pPr>
      <w:r>
        <w:rPr>
          <w:rFonts w:ascii="Arial" w:cs="Arial" w:eastAsia="Arial" w:hAnsi="Arial"/>
          <w:sz w:val="16"/>
          <w:szCs w:val="16"/>
          <w:color w:val="auto"/>
        </w:rPr>
        <w:t>Analyzed the executive compensation levels and practices of the companies in our compensation peer group.</w:t>
      </w:r>
    </w:p>
    <w:p>
      <w:pPr>
        <w:spacing w:after="0" w:line="143" w:lineRule="exact"/>
        <w:rPr>
          <w:rFonts w:ascii="Arial" w:cs="Arial" w:eastAsia="Arial" w:hAnsi="Arial"/>
          <w:sz w:val="35"/>
          <w:szCs w:val="35"/>
          <w:color w:val="auto"/>
          <w:vertAlign w:val="subscript"/>
        </w:rPr>
      </w:pPr>
    </w:p>
    <w:p>
      <w:pPr>
        <w:ind w:left="780" w:right="340" w:hanging="200"/>
        <w:spacing w:after="0"/>
        <w:tabs>
          <w:tab w:leader="none" w:pos="780" w:val="left"/>
        </w:tabs>
        <w:numPr>
          <w:ilvl w:val="0"/>
          <w:numId w:val="49"/>
        </w:numPr>
        <w:rPr>
          <w:rFonts w:ascii="Arial" w:cs="Arial" w:eastAsia="Arial" w:hAnsi="Arial"/>
          <w:sz w:val="34"/>
          <w:szCs w:val="34"/>
          <w:color w:val="auto"/>
          <w:vertAlign w:val="subscript"/>
        </w:rPr>
      </w:pPr>
      <w:r>
        <w:rPr>
          <w:rFonts w:ascii="Arial" w:cs="Arial" w:eastAsia="Arial" w:hAnsi="Arial"/>
          <w:sz w:val="15"/>
          <w:szCs w:val="15"/>
          <w:color w:val="auto"/>
        </w:rPr>
        <w:t>Provided advice with respect to compensation best practices and market trends for our executive officers, including our CEO and new hires.</w:t>
      </w:r>
    </w:p>
    <w:p>
      <w:pPr>
        <w:spacing w:after="0" w:line="46" w:lineRule="exact"/>
        <w:rPr>
          <w:rFonts w:ascii="Arial" w:cs="Arial" w:eastAsia="Arial" w:hAnsi="Arial"/>
          <w:sz w:val="34"/>
          <w:szCs w:val="34"/>
          <w:color w:val="auto"/>
          <w:vertAlign w:val="subscript"/>
        </w:rPr>
      </w:pPr>
    </w:p>
    <w:p>
      <w:pPr>
        <w:ind w:left="780" w:hanging="200"/>
        <w:spacing w:after="0" w:line="184" w:lineRule="auto"/>
        <w:tabs>
          <w:tab w:leader="none" w:pos="780" w:val="left"/>
        </w:tabs>
        <w:numPr>
          <w:ilvl w:val="0"/>
          <w:numId w:val="49"/>
        </w:numPr>
        <w:rPr>
          <w:rFonts w:ascii="Arial" w:cs="Arial" w:eastAsia="Arial" w:hAnsi="Arial"/>
          <w:sz w:val="35"/>
          <w:szCs w:val="35"/>
          <w:color w:val="auto"/>
          <w:vertAlign w:val="subscript"/>
        </w:rPr>
      </w:pPr>
      <w:r>
        <w:rPr>
          <w:rFonts w:ascii="Arial" w:cs="Arial" w:eastAsia="Arial" w:hAnsi="Arial"/>
          <w:sz w:val="16"/>
          <w:szCs w:val="16"/>
          <w:color w:val="auto"/>
        </w:rPr>
        <w:t>Assessed our executive compensation risk profile and reported on this assessment.</w:t>
      </w:r>
    </w:p>
    <w:p>
      <w:pPr>
        <w:spacing w:after="0" w:line="65" w:lineRule="exact"/>
        <w:rPr>
          <w:rFonts w:ascii="Arial" w:cs="Arial" w:eastAsia="Arial" w:hAnsi="Arial"/>
          <w:sz w:val="35"/>
          <w:szCs w:val="35"/>
          <w:color w:val="auto"/>
          <w:vertAlign w:val="subscript"/>
        </w:rPr>
      </w:pPr>
    </w:p>
    <w:p>
      <w:pPr>
        <w:ind w:left="780" w:hanging="200"/>
        <w:spacing w:after="0" w:line="184" w:lineRule="auto"/>
        <w:tabs>
          <w:tab w:leader="none" w:pos="780" w:val="left"/>
        </w:tabs>
        <w:numPr>
          <w:ilvl w:val="0"/>
          <w:numId w:val="49"/>
        </w:numPr>
        <w:rPr>
          <w:rFonts w:ascii="Arial" w:cs="Arial" w:eastAsia="Arial" w:hAnsi="Arial"/>
          <w:sz w:val="36"/>
          <w:szCs w:val="36"/>
          <w:color w:val="auto"/>
          <w:vertAlign w:val="subscript"/>
        </w:rPr>
      </w:pPr>
      <w:r>
        <w:rPr>
          <w:rFonts w:ascii="Arial" w:cs="Arial" w:eastAsia="Arial" w:hAnsi="Arial"/>
          <w:sz w:val="16"/>
          <w:szCs w:val="16"/>
          <w:color w:val="auto"/>
        </w:rPr>
        <w:t>Assisted in the review of our compensation peer group.</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49"/>
        </w:numPr>
        <w:rPr>
          <w:rFonts w:ascii="Arial" w:cs="Arial" w:eastAsia="Arial" w:hAnsi="Arial"/>
          <w:sz w:val="36"/>
          <w:szCs w:val="36"/>
          <w:color w:val="auto"/>
          <w:vertAlign w:val="subscript"/>
        </w:rPr>
      </w:pPr>
      <w:r>
        <w:rPr>
          <w:rFonts w:ascii="Arial" w:cs="Arial" w:eastAsia="Arial" w:hAnsi="Arial"/>
          <w:sz w:val="16"/>
          <w:szCs w:val="16"/>
          <w:color w:val="auto"/>
        </w:rPr>
        <w:t>Analyzed various design alternatives for the long-term incentive compensation program.</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49"/>
        </w:numPr>
        <w:rPr>
          <w:rFonts w:ascii="Arial" w:cs="Arial" w:eastAsia="Arial" w:hAnsi="Arial"/>
          <w:sz w:val="36"/>
          <w:szCs w:val="36"/>
          <w:color w:val="auto"/>
          <w:vertAlign w:val="subscript"/>
        </w:rPr>
      </w:pPr>
      <w:r>
        <w:rPr>
          <w:rFonts w:ascii="Arial" w:cs="Arial" w:eastAsia="Arial" w:hAnsi="Arial"/>
          <w:sz w:val="16"/>
          <w:szCs w:val="16"/>
          <w:color w:val="auto"/>
        </w:rPr>
        <w:t xml:space="preserve">Provided </w:t>
      </w:r>
      <w:r>
        <w:rPr>
          <w:rFonts w:ascii="Arial" w:cs="Arial" w:eastAsia="Arial" w:hAnsi="Arial"/>
          <w:sz w:val="16"/>
          <w:szCs w:val="16"/>
          <w:i w:val="1"/>
          <w:iCs w:val="1"/>
          <w:color w:val="auto"/>
        </w:rPr>
        <w:t>ad hoc</w:t>
      </w:r>
      <w:r>
        <w:rPr>
          <w:rFonts w:ascii="Arial" w:cs="Arial" w:eastAsia="Arial" w:hAnsi="Arial"/>
          <w:sz w:val="16"/>
          <w:szCs w:val="16"/>
          <w:color w:val="auto"/>
        </w:rPr>
        <w:t xml:space="preserve"> advice and support throughout the engagement.</w:t>
      </w:r>
    </w:p>
    <w:p>
      <w:pPr>
        <w:spacing w:after="0" w:line="33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Competitive Positioning</w:t>
      </w:r>
    </w:p>
    <w:p>
      <w:pPr>
        <w:spacing w:after="0" w:line="88" w:lineRule="exact"/>
        <w:rPr>
          <w:sz w:val="20"/>
          <w:szCs w:val="20"/>
          <w:color w:val="auto"/>
        </w:rPr>
      </w:pPr>
    </w:p>
    <w:p>
      <w:pPr>
        <w:ind w:left="580" w:right="280"/>
        <w:spacing w:after="0" w:line="248" w:lineRule="auto"/>
        <w:rPr>
          <w:sz w:val="20"/>
          <w:szCs w:val="20"/>
          <w:color w:val="auto"/>
        </w:rPr>
      </w:pPr>
      <w:r>
        <w:rPr>
          <w:rFonts w:ascii="Arial" w:cs="Arial" w:eastAsia="Arial" w:hAnsi="Arial"/>
          <w:sz w:val="18"/>
          <w:szCs w:val="18"/>
          <w:color w:val="auto"/>
        </w:rPr>
        <w:t>At least annually, the Compensation Committee reviews competitive market data for comparable executive positions in the market as one factor for determining the structure of our executive compensation program and establishing target compensation levels for our executive officers, including our named executive officers.</w:t>
      </w:r>
    </w:p>
    <w:p>
      <w:pPr>
        <w:spacing w:after="0" w:line="150" w:lineRule="exact"/>
        <w:rPr>
          <w:sz w:val="20"/>
          <w:szCs w:val="20"/>
          <w:color w:val="auto"/>
        </w:rPr>
      </w:pPr>
    </w:p>
    <w:p>
      <w:pPr>
        <w:ind w:left="580" w:right="320"/>
        <w:spacing w:after="0" w:line="242" w:lineRule="auto"/>
        <w:rPr>
          <w:sz w:val="20"/>
          <w:szCs w:val="20"/>
          <w:color w:val="auto"/>
        </w:rPr>
      </w:pPr>
      <w:r>
        <w:rPr>
          <w:rFonts w:ascii="Arial" w:cs="Arial" w:eastAsia="Arial" w:hAnsi="Arial"/>
          <w:sz w:val="18"/>
          <w:szCs w:val="18"/>
          <w:color w:val="auto"/>
        </w:rPr>
        <w:t>In December 2021 and February 2022, the Compensation Committee, with the assistance of Korn Ferry, reviewed the compensation peer group to be used as a reference for purposes of its deliberations on our 2022 executive compensation program. Following this review, the Compensation Committee determined that, other than the removal of CoreLogic, Inc., which was acquired during 2021, no changes to the peer group were needed at that time.</w:t>
      </w:r>
    </w:p>
    <w:p>
      <w:pPr>
        <w:spacing w:after="0" w:line="154"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This compensation peer group, which was used by the Compensation Committee as a reference in the course of its executive compensation deliberations, consisted of the following companies with respect to 2022 executive compensation matters: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500" w:type="dxa"/>
            <w:vAlign w:val="bottom"/>
          </w:tcPr>
          <w:p>
            <w:pPr>
              <w:spacing w:after="0"/>
              <w:rPr>
                <w:sz w:val="20"/>
                <w:szCs w:val="20"/>
                <w:color w:val="auto"/>
              </w:rPr>
            </w:pPr>
            <w:r>
              <w:rPr>
                <w:rFonts w:ascii="Arial" w:cs="Arial" w:eastAsia="Arial" w:hAnsi="Arial"/>
                <w:sz w:val="18"/>
                <w:szCs w:val="18"/>
                <w:color w:val="auto"/>
              </w:rPr>
              <w:t>Bread Financial Holdings, Inc.</w:t>
            </w:r>
          </w:p>
        </w:tc>
        <w:tc>
          <w:tcPr>
            <w:tcW w:w="5180" w:type="dxa"/>
            <w:vAlign w:val="bottom"/>
          </w:tcPr>
          <w:p>
            <w:pPr>
              <w:ind w:left="860"/>
              <w:spacing w:after="0"/>
              <w:rPr>
                <w:sz w:val="20"/>
                <w:szCs w:val="20"/>
                <w:color w:val="auto"/>
              </w:rPr>
            </w:pPr>
            <w:r>
              <w:rPr>
                <w:rFonts w:ascii="Arial" w:cs="Arial" w:eastAsia="Arial" w:hAnsi="Arial"/>
                <w:sz w:val="18"/>
                <w:szCs w:val="18"/>
                <w:color w:val="auto"/>
              </w:rPr>
              <w:t>NortonLifeLock Inc.</w:t>
            </w:r>
          </w:p>
        </w:tc>
        <w:tc>
          <w:tcPr>
            <w:tcW w:w="340" w:type="dxa"/>
            <w:vAlign w:val="bottom"/>
          </w:tcPr>
          <w:p>
            <w:pPr>
              <w:spacing w:after="0"/>
              <w:rPr>
                <w:sz w:val="18"/>
                <w:szCs w:val="18"/>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8"/>
                <w:szCs w:val="18"/>
                <w:color w:val="auto"/>
              </w:rPr>
              <w:t>(formerly Alliance Data Systems Corporation)</w:t>
            </w:r>
          </w:p>
        </w:tc>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60"/>
        </w:trPr>
        <w:tc>
          <w:tcPr>
            <w:tcW w:w="4500" w:type="dxa"/>
            <w:vAlign w:val="bottom"/>
          </w:tcPr>
          <w:p>
            <w:pPr>
              <w:spacing w:after="0"/>
              <w:rPr>
                <w:sz w:val="20"/>
                <w:szCs w:val="20"/>
                <w:color w:val="auto"/>
              </w:rPr>
            </w:pPr>
            <w:r>
              <w:rPr>
                <w:rFonts w:ascii="Arial" w:cs="Arial" w:eastAsia="Arial" w:hAnsi="Arial"/>
                <w:sz w:val="18"/>
                <w:szCs w:val="18"/>
                <w:color w:val="auto"/>
              </w:rPr>
              <w:t>Broadridge Financial Solutions, Inc.</w:t>
            </w:r>
          </w:p>
        </w:tc>
        <w:tc>
          <w:tcPr>
            <w:tcW w:w="5180" w:type="dxa"/>
            <w:vAlign w:val="bottom"/>
          </w:tcPr>
          <w:p>
            <w:pPr>
              <w:ind w:left="860"/>
              <w:spacing w:after="0"/>
              <w:rPr>
                <w:sz w:val="20"/>
                <w:szCs w:val="20"/>
                <w:color w:val="auto"/>
              </w:rPr>
            </w:pPr>
            <w:r>
              <w:rPr>
                <w:rFonts w:ascii="Arial" w:cs="Arial" w:eastAsia="Arial" w:hAnsi="Arial"/>
                <w:sz w:val="18"/>
                <w:szCs w:val="18"/>
                <w:color w:val="auto"/>
              </w:rPr>
              <w:t>Nuance Communications, Inc.</w:t>
            </w:r>
          </w:p>
        </w:tc>
        <w:tc>
          <w:tcPr>
            <w:tcW w:w="340" w:type="dxa"/>
            <w:vAlign w:val="bottom"/>
          </w:tcPr>
          <w:p>
            <w:pPr>
              <w:spacing w:after="0"/>
              <w:rPr>
                <w:sz w:val="22"/>
                <w:szCs w:val="22"/>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CACI International Inc.</w:t>
            </w:r>
          </w:p>
        </w:tc>
        <w:tc>
          <w:tcPr>
            <w:tcW w:w="5180" w:type="dxa"/>
            <w:vAlign w:val="bottom"/>
          </w:tcPr>
          <w:p>
            <w:pPr>
              <w:ind w:left="860"/>
              <w:spacing w:after="0"/>
              <w:rPr>
                <w:sz w:val="20"/>
                <w:szCs w:val="20"/>
                <w:color w:val="auto"/>
              </w:rPr>
            </w:pPr>
            <w:r>
              <w:rPr>
                <w:rFonts w:ascii="Arial" w:cs="Arial" w:eastAsia="Arial" w:hAnsi="Arial"/>
                <w:sz w:val="18"/>
                <w:szCs w:val="18"/>
                <w:color w:val="auto"/>
              </w:rPr>
              <w:t>Science Applications International Corporation</w:t>
            </w:r>
          </w:p>
        </w:tc>
        <w:tc>
          <w:tcPr>
            <w:tcW w:w="340" w:type="dxa"/>
            <w:vAlign w:val="bottom"/>
          </w:tcPr>
          <w:p>
            <w:pPr>
              <w:spacing w:after="0"/>
              <w:rPr>
                <w:sz w:val="21"/>
                <w:szCs w:val="2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Citrix Systems, Inc.</w:t>
            </w:r>
          </w:p>
        </w:tc>
        <w:tc>
          <w:tcPr>
            <w:tcW w:w="5180" w:type="dxa"/>
            <w:vAlign w:val="bottom"/>
          </w:tcPr>
          <w:p>
            <w:pPr>
              <w:ind w:left="860"/>
              <w:spacing w:after="0"/>
              <w:rPr>
                <w:sz w:val="20"/>
                <w:szCs w:val="20"/>
                <w:color w:val="auto"/>
              </w:rPr>
            </w:pPr>
            <w:r>
              <w:rPr>
                <w:rFonts w:ascii="Arial" w:cs="Arial" w:eastAsia="Arial" w:hAnsi="Arial"/>
                <w:sz w:val="18"/>
                <w:szCs w:val="18"/>
                <w:color w:val="auto"/>
              </w:rPr>
              <w:t>SS&amp;C Technologies Holdings, Inc.</w:t>
            </w:r>
          </w:p>
        </w:tc>
        <w:tc>
          <w:tcPr>
            <w:tcW w:w="340" w:type="dxa"/>
            <w:vAlign w:val="bottom"/>
          </w:tcPr>
          <w:p>
            <w:pPr>
              <w:spacing w:after="0"/>
              <w:rPr>
                <w:sz w:val="21"/>
                <w:szCs w:val="2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Euronet Worldwide, Inc.</w:t>
            </w:r>
          </w:p>
        </w:tc>
        <w:tc>
          <w:tcPr>
            <w:tcW w:w="5180" w:type="dxa"/>
            <w:vAlign w:val="bottom"/>
          </w:tcPr>
          <w:p>
            <w:pPr>
              <w:ind w:left="860"/>
              <w:spacing w:after="0"/>
              <w:rPr>
                <w:sz w:val="20"/>
                <w:szCs w:val="20"/>
                <w:color w:val="auto"/>
              </w:rPr>
            </w:pPr>
            <w:r>
              <w:rPr>
                <w:rFonts w:ascii="Arial" w:cs="Arial" w:eastAsia="Arial" w:hAnsi="Arial"/>
                <w:sz w:val="18"/>
                <w:szCs w:val="18"/>
                <w:color w:val="auto"/>
              </w:rPr>
              <w:t>Verisk Analytics, Inc.</w:t>
            </w:r>
          </w:p>
        </w:tc>
        <w:tc>
          <w:tcPr>
            <w:tcW w:w="340" w:type="dxa"/>
            <w:vAlign w:val="bottom"/>
          </w:tcPr>
          <w:p>
            <w:pPr>
              <w:spacing w:after="0"/>
              <w:rPr>
                <w:sz w:val="21"/>
                <w:szCs w:val="2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Gartner, Inc.</w:t>
            </w:r>
          </w:p>
        </w:tc>
        <w:tc>
          <w:tcPr>
            <w:tcW w:w="5180" w:type="dxa"/>
            <w:vAlign w:val="bottom"/>
          </w:tcPr>
          <w:p>
            <w:pPr>
              <w:ind w:left="860"/>
              <w:spacing w:after="0"/>
              <w:rPr>
                <w:sz w:val="20"/>
                <w:szCs w:val="20"/>
                <w:color w:val="auto"/>
              </w:rPr>
            </w:pPr>
            <w:r>
              <w:rPr>
                <w:rFonts w:ascii="Arial" w:cs="Arial" w:eastAsia="Arial" w:hAnsi="Arial"/>
                <w:sz w:val="18"/>
                <w:szCs w:val="18"/>
                <w:color w:val="auto"/>
              </w:rPr>
              <w:t>The Western Union Company</w:t>
            </w:r>
          </w:p>
        </w:tc>
        <w:tc>
          <w:tcPr>
            <w:tcW w:w="340" w:type="dxa"/>
            <w:vAlign w:val="bottom"/>
          </w:tcPr>
          <w:p>
            <w:pPr>
              <w:spacing w:after="0"/>
              <w:rPr>
                <w:sz w:val="21"/>
                <w:szCs w:val="2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Genpact Limited</w:t>
            </w:r>
          </w:p>
        </w:tc>
        <w:tc>
          <w:tcPr>
            <w:tcW w:w="5180" w:type="dxa"/>
            <w:vAlign w:val="bottom"/>
          </w:tcPr>
          <w:p>
            <w:pPr>
              <w:ind w:left="860"/>
              <w:spacing w:after="0"/>
              <w:rPr>
                <w:sz w:val="20"/>
                <w:szCs w:val="20"/>
                <w:color w:val="auto"/>
              </w:rPr>
            </w:pPr>
            <w:r>
              <w:rPr>
                <w:rFonts w:ascii="Arial" w:cs="Arial" w:eastAsia="Arial" w:hAnsi="Arial"/>
                <w:sz w:val="18"/>
                <w:szCs w:val="18"/>
                <w:color w:val="auto"/>
              </w:rPr>
              <w:t>WEX Inc.</w:t>
            </w:r>
          </w:p>
        </w:tc>
        <w:tc>
          <w:tcPr>
            <w:tcW w:w="340" w:type="dxa"/>
            <w:vAlign w:val="bottom"/>
          </w:tcPr>
          <w:p>
            <w:pPr>
              <w:spacing w:after="0"/>
              <w:rPr>
                <w:sz w:val="21"/>
                <w:szCs w:val="2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Maximus, Inc.</w:t>
            </w:r>
          </w:p>
        </w:tc>
        <w:tc>
          <w:tcPr>
            <w:tcW w:w="51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465"/>
        </w:trPr>
        <w:tc>
          <w:tcPr>
            <w:tcW w:w="4500" w:type="dxa"/>
            <w:vAlign w:val="bottom"/>
          </w:tcPr>
          <w:p>
            <w:pPr>
              <w:spacing w:after="0"/>
              <w:rPr>
                <w:sz w:val="24"/>
                <w:szCs w:val="24"/>
                <w:color w:val="auto"/>
              </w:rPr>
            </w:pPr>
          </w:p>
        </w:tc>
        <w:tc>
          <w:tcPr>
            <w:tcW w:w="5180" w:type="dxa"/>
            <w:vAlign w:val="bottom"/>
          </w:tcPr>
          <w:p>
            <w:pPr>
              <w:ind w:left="1140"/>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right="40"/>
        <w:spacing w:after="0" w:line="235" w:lineRule="auto"/>
        <w:rPr>
          <w:sz w:val="20"/>
          <w:szCs w:val="20"/>
          <w:color w:val="auto"/>
        </w:rPr>
      </w:pPr>
      <w:r>
        <w:rPr>
          <w:rFonts w:ascii="Arial" w:cs="Arial" w:eastAsia="Arial" w:hAnsi="Arial"/>
          <w:sz w:val="18"/>
          <w:szCs w:val="18"/>
          <w:color w:val="auto"/>
        </w:rPr>
        <w:t>In initially selecting this compensation peer group, the Compensation Committee considered companies with the following primary selection criteria: (1) companies within the software and services, data processing and outsourced services, and other companies in related industries; (2) companies with revenues between approximately $2.0 billion to $7.9 billion (or between approximately 0.5x to 2.0x our preceding four quarters of revenue at the time of selection); and (3) companies with market capitalization of approximately $1.8 billion to $ 17.9 billion (or between approximately 0.3x to 3.0x our estimated market capitalization at the time of selection). Further, the Compensation Committee considered companies with the following secondary selection criteria: companies (1) with revenue growth over the prior four quarters exceeding 5.0%, (2) with positive operating income over the prior four quarters, and (3) that are SaaS-based companies.</w:t>
      </w:r>
    </w:p>
    <w:p>
      <w:pPr>
        <w:spacing w:after="0" w:line="159" w:lineRule="exact"/>
        <w:rPr>
          <w:sz w:val="20"/>
          <w:szCs w:val="20"/>
          <w:color w:val="auto"/>
        </w:rPr>
      </w:pPr>
    </w:p>
    <w:p>
      <w:pPr>
        <w:ind w:left="580" w:right="60"/>
        <w:spacing w:after="0" w:line="242" w:lineRule="auto"/>
        <w:rPr>
          <w:sz w:val="20"/>
          <w:szCs w:val="20"/>
          <w:color w:val="auto"/>
        </w:rPr>
      </w:pPr>
      <w:r>
        <w:rPr>
          <w:rFonts w:ascii="Arial" w:cs="Arial" w:eastAsia="Arial" w:hAnsi="Arial"/>
          <w:sz w:val="18"/>
          <w:szCs w:val="18"/>
          <w:color w:val="auto"/>
        </w:rPr>
        <w:t>Competitive comparison data was collected from publicly-available information contained in the SEC filings of the compensation peer group companies, as well as from the Radford Global Technology Survey. The Radford survey provides market data for executive positions that may not be available from publicly-available SEC filings and other information related to trends and competitive practices in executive compensation.</w:t>
      </w:r>
    </w:p>
    <w:p>
      <w:pPr>
        <w:spacing w:after="0" w:line="154" w:lineRule="exact"/>
        <w:rPr>
          <w:sz w:val="20"/>
          <w:szCs w:val="20"/>
          <w:color w:val="auto"/>
        </w:rPr>
      </w:pPr>
    </w:p>
    <w:p>
      <w:pPr>
        <w:ind w:left="580" w:right="40"/>
        <w:spacing w:after="0" w:line="235" w:lineRule="auto"/>
        <w:rPr>
          <w:sz w:val="20"/>
          <w:szCs w:val="20"/>
          <w:color w:val="auto"/>
        </w:rPr>
      </w:pPr>
      <w:r>
        <w:rPr>
          <w:rFonts w:ascii="Arial" w:cs="Arial" w:eastAsia="Arial" w:hAnsi="Arial"/>
          <w:sz w:val="18"/>
          <w:szCs w:val="18"/>
          <w:color w:val="auto"/>
        </w:rPr>
        <w:t>The competitive market data described above was not and is not used by the Compensation Committee in isolation but rather serves as one point of reference in its deliberations on executive compensation. The Compensation Committee uses the competitive market data as a guide when making decisions about total direct compensation, as well as individual elements of compensation; however, the Compensation Committee does not formally benchmark our executive officers’ compensation against this data. While market competitiveness is important, it is not the only factor the Compensation Committee considers when establishing compensation opportunities of our executive officers. Actual compensation decisions also depend upon the consideration of other factors that the Compensation Committee deems relevant, such as the financial and operational performance of our businesses, individual performance, specific retention concerns, internal equity, and external factors.</w:t>
      </w:r>
    </w:p>
    <w:p>
      <w:pPr>
        <w:spacing w:after="0" w:line="159" w:lineRule="exact"/>
        <w:rPr>
          <w:sz w:val="20"/>
          <w:szCs w:val="20"/>
          <w:color w:val="auto"/>
        </w:rPr>
      </w:pPr>
    </w:p>
    <w:p>
      <w:pPr>
        <w:ind w:left="580"/>
        <w:spacing w:after="0" w:line="231" w:lineRule="auto"/>
        <w:rPr>
          <w:sz w:val="20"/>
          <w:szCs w:val="20"/>
          <w:color w:val="auto"/>
        </w:rPr>
      </w:pPr>
      <w:r>
        <w:rPr>
          <w:rFonts w:ascii="Arial" w:cs="Arial" w:eastAsia="Arial" w:hAnsi="Arial"/>
          <w:sz w:val="18"/>
          <w:szCs w:val="18"/>
          <w:color w:val="auto"/>
        </w:rPr>
        <w:t>In December 2022, the Compensation Committee, with the assistance of Korn Ferry, updated the compensation peer group to be used as a reference for purposes of its deliberations on our 2023 executive compensation program. As part of this review, the Compensation Committee noted that, due to the COVID-19 pandemic, it had been several years since there were significant changes to the peer group and that the economic landscape for the travel and technology industries had significantly changed. The Compensation Committee further noted that two of the prior peer companies had been acquired and that certain other companies were focused on end consumers or government/defense-related activities or maintained a research/advisory focus. To identify replacements for these companies, the Compensation Committee considered companies with the following primary selection criteria: companies (1) with a business-to-business focus, (2) with similar customer bases,</w:t>
      </w:r>
    </w:p>
    <w:p>
      <w:pPr>
        <w:spacing w:after="0" w:line="7" w:lineRule="exact"/>
        <w:rPr>
          <w:sz w:val="20"/>
          <w:szCs w:val="20"/>
          <w:color w:val="auto"/>
        </w:rPr>
      </w:pPr>
    </w:p>
    <w:p>
      <w:pPr>
        <w:ind w:left="580"/>
        <w:spacing w:after="0" w:line="232" w:lineRule="auto"/>
        <w:tabs>
          <w:tab w:leader="none" w:pos="8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are SaaS-oriented, (4) that are in online distribution, (5) that are cloud-enabled, or (6) with a travel and technology focus. The Compensation Committee considered companies with the foregoing criteria and have revenues between approximately 0.33x to 3.0x our trailing 12-month revenue. The Compensation Committee noted that the revenue range is wider than the range of 0.5x to 2x of revenue considered in the past when determining the component companies for the compensation peer group; the Compensation Committee believes the wider revenue range is appropriate given the impact of the COVID-19 pandemic on performance. The Compensation Committee referred to market capitalization for companies and generally screened out companies with more than 5.0x our estimated market capitalization. The Compensation Committee also considered companies with the following secondary selection criteria: companies from which executives may be recruited to or from, companies with a similar customer base, and companies with a national or global footprint.</w:t>
      </w:r>
    </w:p>
    <w:p>
      <w:pPr>
        <w:spacing w:after="0" w:line="9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62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right="20"/>
        <w:spacing w:after="0" w:line="267" w:lineRule="auto"/>
        <w:rPr>
          <w:sz w:val="20"/>
          <w:szCs w:val="20"/>
          <w:color w:val="auto"/>
        </w:rPr>
      </w:pPr>
      <w:r>
        <w:rPr>
          <w:rFonts w:ascii="Arial" w:cs="Arial" w:eastAsia="Arial" w:hAnsi="Arial"/>
          <w:sz w:val="18"/>
          <w:szCs w:val="18"/>
          <w:color w:val="auto"/>
        </w:rPr>
        <w:t>Based on this review, the Compensation Committee approved a compensation peer group for 2023 consisting of the following companies:</w:t>
      </w:r>
    </w:p>
    <w:p>
      <w:pPr>
        <w:sectPr>
          <w:pgSz w:w="11900" w:h="16838" w:orient="portrait"/>
          <w:cols w:equalWidth="0" w:num="1">
            <w:col w:w="10660"/>
          </w:cols>
          <w:pgMar w:left="320" w:top="453" w:right="919" w:bottom="1440" w:gutter="0" w:footer="0" w:header="0"/>
        </w:sectPr>
      </w:pP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Bread Financial Holdings, Inc.</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900"/>
        <w:spacing w:after="0"/>
        <w:rPr>
          <w:sz w:val="20"/>
          <w:szCs w:val="20"/>
          <w:color w:val="auto"/>
        </w:rPr>
      </w:pPr>
      <w:r>
        <w:rPr>
          <w:rFonts w:ascii="Arial" w:cs="Arial" w:eastAsia="Arial" w:hAnsi="Arial"/>
          <w:sz w:val="17"/>
          <w:szCs w:val="17"/>
          <w:color w:val="auto"/>
        </w:rPr>
        <w:t>Open Text Corporation</w:t>
      </w:r>
    </w:p>
    <w:p>
      <w:pPr>
        <w:spacing w:after="0" w:line="51"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Broadridge Financial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SS&amp;C Technologies Holdings, Inc.</w:t>
      </w:r>
    </w:p>
    <w:p>
      <w:pPr>
        <w:spacing w:after="0" w:line="51"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CSG Systems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TTEC Holdings, Inc.</w:t>
      </w:r>
    </w:p>
    <w:p>
      <w:pPr>
        <w:spacing w:after="0" w:line="40"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Euronet Worldwide, Inc.</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8"/>
          <w:szCs w:val="18"/>
          <w:color w:val="auto"/>
        </w:rPr>
        <w:t>Unisys Corporation</w:t>
      </w:r>
    </w:p>
    <w:p>
      <w:pPr>
        <w:spacing w:after="0" w:line="40"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FLEETCOR Technologies, Inc.</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7"/>
          <w:szCs w:val="17"/>
          <w:color w:val="auto"/>
        </w:rPr>
        <w:t>Verisk Analytics, Inc.</w:t>
      </w:r>
    </w:p>
    <w:p>
      <w:pPr>
        <w:spacing w:after="0" w:line="52"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Genpact Limited</w:t>
      </w:r>
    </w:p>
    <w:p>
      <w:pPr>
        <w:spacing w:after="0" w:line="20" w:lineRule="exact"/>
        <w:rPr>
          <w:sz w:val="20"/>
          <w:szCs w:val="20"/>
          <w:color w:val="auto"/>
        </w:rPr>
      </w:pPr>
      <w:r>
        <w:rPr>
          <w:sz w:val="20"/>
          <w:szCs w:val="20"/>
          <w:color w:val="auto"/>
        </w:rPr>
        <w:br w:type="column"/>
      </w:r>
    </w:p>
    <w:p>
      <w:pPr>
        <w:jc w:val="center"/>
        <w:ind w:right="3980"/>
        <w:spacing w:after="0"/>
        <w:rPr>
          <w:sz w:val="20"/>
          <w:szCs w:val="20"/>
          <w:color w:val="auto"/>
        </w:rPr>
      </w:pPr>
      <w:r>
        <w:rPr>
          <w:rFonts w:ascii="Arial" w:cs="Arial" w:eastAsia="Arial" w:hAnsi="Arial"/>
          <w:sz w:val="17"/>
          <w:szCs w:val="17"/>
          <w:color w:val="auto"/>
        </w:rPr>
        <w:t>WEX Inc.</w:t>
      </w:r>
    </w:p>
    <w:p>
      <w:pPr>
        <w:spacing w:after="0" w:line="51" w:lineRule="exact"/>
        <w:rPr>
          <w:sz w:val="20"/>
          <w:szCs w:val="20"/>
          <w:color w:val="auto"/>
        </w:rPr>
      </w:pPr>
    </w:p>
    <w:p>
      <w:pPr>
        <w:sectPr>
          <w:pgSz w:w="11900" w:h="16838" w:orient="portrait"/>
          <w:cols w:equalWidth="0" w:num="2">
            <w:col w:w="5220" w:space="720"/>
            <w:col w:w="4720"/>
          </w:cols>
          <w:pgMar w:left="320" w:top="453" w:right="91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NCR Corporation</w:t>
      </w:r>
    </w:p>
    <w:p>
      <w:pPr>
        <w:sectPr>
          <w:pgSz w:w="11900" w:h="16838" w:orient="portrait"/>
          <w:cols w:equalWidth="0" w:num="1">
            <w:col w:w="10660"/>
          </w:cols>
          <w:pgMar w:left="320" w:top="453" w:right="919" w:bottom="1440" w:gutter="0" w:footer="0" w:header="0"/>
          <w:type w:val="continuous"/>
        </w:sectPr>
      </w:pPr>
    </w:p>
    <w:p>
      <w:pPr>
        <w:spacing w:after="0" w:line="250" w:lineRule="exact"/>
        <w:rPr>
          <w:sz w:val="20"/>
          <w:szCs w:val="20"/>
          <w:color w:val="auto"/>
        </w:rPr>
      </w:pPr>
    </w:p>
    <w:p>
      <w:pPr>
        <w:ind w:left="580" w:right="380"/>
        <w:spacing w:after="0" w:line="267" w:lineRule="auto"/>
        <w:rPr>
          <w:sz w:val="20"/>
          <w:szCs w:val="20"/>
          <w:color w:val="auto"/>
        </w:rPr>
      </w:pPr>
      <w:r>
        <w:rPr>
          <w:rFonts w:ascii="Arial" w:cs="Arial" w:eastAsia="Arial" w:hAnsi="Arial"/>
          <w:sz w:val="18"/>
          <w:szCs w:val="18"/>
          <w:color w:val="auto"/>
        </w:rPr>
        <w:t>The Compensation Committee, with the assistance of its compensation consultant, reviews the compensation peer group annually.</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Compensation-Related Risk Assessment</w:t>
      </w:r>
    </w:p>
    <w:p>
      <w:pPr>
        <w:spacing w:after="0" w:line="88" w:lineRule="exact"/>
        <w:rPr>
          <w:sz w:val="20"/>
          <w:szCs w:val="20"/>
          <w:color w:val="auto"/>
        </w:rPr>
      </w:pPr>
    </w:p>
    <w:p>
      <w:pPr>
        <w:ind w:left="580" w:right="40"/>
        <w:spacing w:after="0" w:line="235" w:lineRule="auto"/>
        <w:rPr>
          <w:sz w:val="20"/>
          <w:szCs w:val="20"/>
          <w:color w:val="auto"/>
        </w:rPr>
      </w:pPr>
      <w:r>
        <w:rPr>
          <w:rFonts w:ascii="Arial" w:cs="Arial" w:eastAsia="Arial" w:hAnsi="Arial"/>
          <w:sz w:val="18"/>
          <w:szCs w:val="18"/>
          <w:color w:val="auto"/>
        </w:rPr>
        <w:t>The Compensation Committee considers potential risks when reviewing and approving the various elements of our executive compensation program. In evaluating the elements of our executive compensation program, the Compensation Committee assesses each element to help ensure that it does not encourage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Further, the following policies and practices have been incorporated into our executive compensation program:</w:t>
      </w:r>
    </w:p>
    <w:p>
      <w:pPr>
        <w:spacing w:after="0" w:line="72" w:lineRule="exact"/>
        <w:rPr>
          <w:sz w:val="20"/>
          <w:szCs w:val="20"/>
          <w:color w:val="auto"/>
        </w:rPr>
      </w:pPr>
    </w:p>
    <w:p>
      <w:pPr>
        <w:ind w:left="780" w:right="300" w:hanging="200"/>
        <w:spacing w:after="0" w:line="185" w:lineRule="auto"/>
        <w:tabs>
          <w:tab w:leader="none" w:pos="780" w:val="left"/>
        </w:tabs>
        <w:numPr>
          <w:ilvl w:val="0"/>
          <w:numId w:val="51"/>
        </w:numPr>
        <w:rPr>
          <w:rFonts w:ascii="Arial" w:cs="Arial" w:eastAsia="Arial" w:hAnsi="Arial"/>
          <w:sz w:val="43"/>
          <w:szCs w:val="43"/>
          <w:color w:val="auto"/>
          <w:vertAlign w:val="subscript"/>
        </w:rPr>
      </w:pPr>
      <w:r>
        <w:rPr>
          <w:rFonts w:ascii="Arial" w:cs="Arial" w:eastAsia="Arial" w:hAnsi="Arial"/>
          <w:sz w:val="17"/>
          <w:szCs w:val="17"/>
          <w:b w:val="1"/>
          <w:bCs w:val="1"/>
          <w:i w:val="1"/>
          <w:iCs w:val="1"/>
          <w:color w:val="auto"/>
        </w:rPr>
        <w:t>Balanced Mix of Compensation Components</w:t>
      </w:r>
      <w:r>
        <w:rPr>
          <w:rFonts w:ascii="Arial" w:cs="Arial" w:eastAsia="Arial" w:hAnsi="Arial"/>
          <w:sz w:val="17"/>
          <w:szCs w:val="17"/>
          <w:color w:val="auto"/>
        </w:rPr>
        <w:t>. The target compensation mix for our executive officers is composed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salary, annual cash incentive compensation, and long-term incentive compensation in the form of equity and cash awards, including performance-based awards, which provides a compensation mix that is not overly weighted toward short-term cash incentives.</w:t>
      </w:r>
    </w:p>
    <w:p>
      <w:pPr>
        <w:spacing w:after="0" w:line="69" w:lineRule="exact"/>
        <w:rPr>
          <w:rFonts w:ascii="Arial" w:cs="Arial" w:eastAsia="Arial" w:hAnsi="Arial"/>
          <w:sz w:val="43"/>
          <w:szCs w:val="43"/>
          <w:color w:val="auto"/>
          <w:vertAlign w:val="subscript"/>
        </w:rPr>
      </w:pPr>
    </w:p>
    <w:p>
      <w:pPr>
        <w:jc w:val="both"/>
        <w:ind w:left="780" w:right="40" w:hanging="200"/>
        <w:spacing w:after="0" w:line="181" w:lineRule="auto"/>
        <w:tabs>
          <w:tab w:leader="none" w:pos="780" w:val="left"/>
        </w:tabs>
        <w:numPr>
          <w:ilvl w:val="0"/>
          <w:numId w:val="51"/>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Minimum Performance Measure Thresholds</w:t>
      </w:r>
      <w:r>
        <w:rPr>
          <w:rFonts w:ascii="Arial" w:cs="Arial" w:eastAsia="Arial" w:hAnsi="Arial"/>
          <w:sz w:val="17"/>
          <w:szCs w:val="17"/>
          <w:color w:val="auto"/>
        </w:rPr>
        <w:t>. Our annual cash incentive compensation plan, which encourages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achievement of corporate performance objectives for our overall benefit, does not pay out unless pre-established target levels for one or more financial measures are met.</w:t>
      </w:r>
    </w:p>
    <w:p>
      <w:pPr>
        <w:spacing w:after="0" w:line="71" w:lineRule="exact"/>
        <w:rPr>
          <w:rFonts w:ascii="Arial" w:cs="Arial" w:eastAsia="Arial" w:hAnsi="Arial"/>
          <w:sz w:val="39"/>
          <w:szCs w:val="39"/>
          <w:color w:val="auto"/>
          <w:vertAlign w:val="subscript"/>
        </w:rPr>
      </w:pPr>
    </w:p>
    <w:p>
      <w:pPr>
        <w:ind w:left="780" w:right="140" w:hanging="200"/>
        <w:spacing w:after="0" w:line="181" w:lineRule="auto"/>
        <w:tabs>
          <w:tab w:leader="none" w:pos="780" w:val="left"/>
        </w:tabs>
        <w:numPr>
          <w:ilvl w:val="0"/>
          <w:numId w:val="51"/>
        </w:numPr>
        <w:rPr>
          <w:rFonts w:ascii="Arial" w:cs="Arial" w:eastAsia="Arial" w:hAnsi="Arial"/>
          <w:sz w:val="39"/>
          <w:szCs w:val="39"/>
          <w:color w:val="auto"/>
          <w:vertAlign w:val="subscript"/>
        </w:rPr>
      </w:pPr>
      <w:r>
        <w:rPr>
          <w:rFonts w:ascii="Arial" w:cs="Arial" w:eastAsia="Arial" w:hAnsi="Arial"/>
          <w:sz w:val="17"/>
          <w:szCs w:val="17"/>
          <w:b w:val="1"/>
          <w:bCs w:val="1"/>
          <w:i w:val="1"/>
          <w:iCs w:val="1"/>
          <w:color w:val="auto"/>
        </w:rPr>
        <w:t>Long-Term Incentive Compensation Vesting</w:t>
      </w:r>
      <w:r>
        <w:rPr>
          <w:rFonts w:ascii="Arial" w:cs="Arial" w:eastAsia="Arial" w:hAnsi="Arial"/>
          <w:sz w:val="17"/>
          <w:szCs w:val="17"/>
          <w:color w:val="auto"/>
        </w:rPr>
        <w:t>. Our long-term equity-based incentives include multi-year vesting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requirements. These long-term incentive programs complement our annual cash incentive compensation plan and include awards that are earned and pay out upon meeting specific performance objectives.</w:t>
      </w:r>
    </w:p>
    <w:p>
      <w:pPr>
        <w:spacing w:after="0" w:line="71" w:lineRule="exact"/>
        <w:rPr>
          <w:rFonts w:ascii="Arial" w:cs="Arial" w:eastAsia="Arial" w:hAnsi="Arial"/>
          <w:sz w:val="39"/>
          <w:szCs w:val="39"/>
          <w:color w:val="auto"/>
          <w:vertAlign w:val="subscript"/>
        </w:rPr>
      </w:pPr>
    </w:p>
    <w:p>
      <w:pPr>
        <w:ind w:left="780" w:hanging="200"/>
        <w:spacing w:after="0" w:line="185" w:lineRule="auto"/>
        <w:tabs>
          <w:tab w:leader="none" w:pos="780" w:val="left"/>
        </w:tabs>
        <w:numPr>
          <w:ilvl w:val="0"/>
          <w:numId w:val="51"/>
        </w:numPr>
        <w:rPr>
          <w:rFonts w:ascii="Arial" w:cs="Arial" w:eastAsia="Arial" w:hAnsi="Arial"/>
          <w:sz w:val="43"/>
          <w:szCs w:val="43"/>
          <w:color w:val="auto"/>
          <w:vertAlign w:val="subscript"/>
        </w:rPr>
      </w:pPr>
      <w:r>
        <w:rPr>
          <w:rFonts w:ascii="Arial" w:cs="Arial" w:eastAsia="Arial" w:hAnsi="Arial"/>
          <w:sz w:val="17"/>
          <w:szCs w:val="17"/>
          <w:b w:val="1"/>
          <w:bCs w:val="1"/>
          <w:i w:val="1"/>
          <w:iCs w:val="1"/>
          <w:color w:val="auto"/>
        </w:rPr>
        <w:t>Capped Annual Cash Incentive and PSU Awards</w:t>
      </w:r>
      <w:r>
        <w:rPr>
          <w:rFonts w:ascii="Arial" w:cs="Arial" w:eastAsia="Arial" w:hAnsi="Arial"/>
          <w:sz w:val="17"/>
          <w:szCs w:val="17"/>
          <w:color w:val="auto"/>
        </w:rPr>
        <w:t>. Awards in 2022 under the annual cash incentive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grants of PSU awards were capped at 150% and 200%, respectively, of the target award level. See “—Compensation Elements of Total Direct Compensation—Annual Incentive Compensation” below for information regarding the payout under our annual cash incentive program.</w:t>
      </w:r>
    </w:p>
    <w:p>
      <w:pPr>
        <w:spacing w:after="0" w:line="95"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Compensation Elements of 2022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40"/>
        <w:spacing w:after="0" w:line="242" w:lineRule="auto"/>
        <w:rPr>
          <w:sz w:val="20"/>
          <w:szCs w:val="20"/>
          <w:color w:val="auto"/>
        </w:rPr>
      </w:pPr>
      <w:r>
        <w:rPr>
          <w:rFonts w:ascii="Arial" w:cs="Arial" w:eastAsia="Arial" w:hAnsi="Arial"/>
          <w:sz w:val="18"/>
          <w:szCs w:val="18"/>
          <w:color w:val="auto"/>
        </w:rPr>
        <w:t>Our executive compensation program is designed around the concept of total direct compensation. The performance-based portion of total direct compensation generally increases as an executive officer’s level of responsibilities increases. The table below provides information on the principal elements of total direct compensation in 2022 and is intended to illustrate our overall objectives relative to our executive compensation program.</w:t>
      </w:r>
    </w:p>
    <w:p>
      <w:pPr>
        <w:spacing w:after="0" w:line="180" w:lineRule="exact"/>
        <w:rPr>
          <w:sz w:val="20"/>
          <w:szCs w:val="20"/>
          <w:color w:val="auto"/>
        </w:rPr>
      </w:pPr>
    </w:p>
    <w:tbl>
      <w:tblPr>
        <w:tblLayout w:type="fixed"/>
        <w:tblInd w:w="590" w:type="dxa"/>
        <w:tblCellMar>
          <w:top w:w="0" w:type="dxa"/>
          <w:left w:w="0" w:type="dxa"/>
          <w:bottom w:w="0" w:type="dxa"/>
          <w:right w:w="0" w:type="dxa"/>
        </w:tblCellMar>
      </w:tblPr>
      <w:tr>
        <w:trPr>
          <w:trHeight w:val="201"/>
        </w:trPr>
        <w:tc>
          <w:tcPr>
            <w:tcW w:w="1400" w:type="dxa"/>
            <w:vAlign w:val="bottom"/>
            <w:tcBorders>
              <w:top w:val="single" w:sz="8" w:color="auto"/>
              <w:left w:val="single" w:sz="8" w:color="auto"/>
              <w:right w:val="single" w:sz="8" w:color="auto"/>
            </w:tcBorders>
            <w:shd w:val="clear" w:color="auto" w:fill="CCCCCC"/>
          </w:tcPr>
          <w:p>
            <w:pPr>
              <w:spacing w:after="0"/>
              <w:rPr>
                <w:sz w:val="17"/>
                <w:szCs w:val="17"/>
                <w:color w:val="auto"/>
              </w:rPr>
            </w:pPr>
          </w:p>
        </w:tc>
        <w:tc>
          <w:tcPr>
            <w:tcW w:w="1540" w:type="dxa"/>
            <w:vAlign w:val="bottom"/>
            <w:tcBorders>
              <w:top w:val="single" w:sz="8" w:color="auto"/>
              <w:right w:val="single" w:sz="8" w:color="auto"/>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PSU awards</w:t>
            </w:r>
          </w:p>
        </w:tc>
        <w:tc>
          <w:tcPr>
            <w:tcW w:w="7160" w:type="dxa"/>
            <w:vAlign w:val="bottom"/>
            <w:tcBorders>
              <w:top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Supports achievement of our long-term strategic and financial objectives and creates</w:t>
            </w:r>
          </w:p>
        </w:tc>
        <w:tc>
          <w:tcPr>
            <w:tcW w:w="0" w:type="dxa"/>
            <w:vAlign w:val="bottom"/>
          </w:tcPr>
          <w:p>
            <w:pPr>
              <w:spacing w:after="0"/>
              <w:rPr>
                <w:sz w:val="1"/>
                <w:szCs w:val="1"/>
                <w:color w:val="auto"/>
              </w:rPr>
            </w:pPr>
          </w:p>
        </w:tc>
      </w:tr>
      <w:tr>
        <w:trPr>
          <w:trHeight w:val="131"/>
        </w:trPr>
        <w:tc>
          <w:tcPr>
            <w:tcW w:w="1400" w:type="dxa"/>
            <w:vAlign w:val="bottom"/>
            <w:tcBorders>
              <w:left w:val="single" w:sz="8" w:color="auto"/>
              <w:right w:val="single" w:sz="8" w:color="auto"/>
            </w:tcBorders>
            <w:vMerge w:val="restart"/>
            <w:shd w:val="clear" w:color="auto" w:fill="CCCCCC"/>
          </w:tcPr>
          <w:p>
            <w:pPr>
              <w:ind w:left="220"/>
              <w:spacing w:after="0"/>
              <w:rPr>
                <w:sz w:val="20"/>
                <w:szCs w:val="20"/>
                <w:color w:val="auto"/>
              </w:rPr>
            </w:pPr>
            <w:r>
              <w:rPr>
                <w:rFonts w:ascii="Arial" w:cs="Arial" w:eastAsia="Arial" w:hAnsi="Arial"/>
                <w:sz w:val="16"/>
                <w:szCs w:val="16"/>
                <w:b w:val="1"/>
                <w:bCs w:val="1"/>
                <w:color w:val="auto"/>
              </w:rPr>
              <w:t>Long-term</w:t>
            </w:r>
          </w:p>
        </w:tc>
        <w:tc>
          <w:tcPr>
            <w:tcW w:w="1540" w:type="dxa"/>
            <w:vAlign w:val="bottom"/>
            <w:tcBorders>
              <w:right w:val="single" w:sz="8" w:color="auto"/>
            </w:tcBorders>
            <w:vMerge w:val="continue"/>
            <w:shd w:val="clear" w:color="auto" w:fill="E5E5E5"/>
          </w:tcPr>
          <w:p>
            <w:pPr>
              <w:spacing w:after="0"/>
              <w:rPr>
                <w:sz w:val="11"/>
                <w:szCs w:val="11"/>
                <w:color w:val="auto"/>
              </w:rPr>
            </w:pPr>
          </w:p>
        </w:tc>
        <w:tc>
          <w:tcPr>
            <w:tcW w:w="7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an incentive to deliver stockholder value</w:t>
            </w: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bottom w:val="single" w:sz="8" w:color="CCCCCC"/>
              <w:right w:val="single" w:sz="8" w:color="auto"/>
            </w:tcBorders>
            <w:vMerge w:val="continue"/>
            <w:shd w:val="clear" w:color="auto" w:fill="CCCCCC"/>
          </w:tcPr>
          <w:p>
            <w:pPr>
              <w:spacing w:after="0"/>
              <w:rPr>
                <w:sz w:val="13"/>
                <w:szCs w:val="13"/>
                <w:color w:val="auto"/>
              </w:rPr>
            </w:pPr>
          </w:p>
        </w:tc>
        <w:tc>
          <w:tcPr>
            <w:tcW w:w="1540" w:type="dxa"/>
            <w:vAlign w:val="bottom"/>
            <w:tcBorders>
              <w:bottom w:val="single" w:sz="8" w:color="E5E5E5"/>
              <w:right w:val="single" w:sz="8" w:color="auto"/>
            </w:tcBorders>
            <w:shd w:val="clear" w:color="auto" w:fill="E5E5E5"/>
          </w:tcPr>
          <w:p>
            <w:pPr>
              <w:spacing w:after="0"/>
              <w:rPr>
                <w:sz w:val="13"/>
                <w:szCs w:val="13"/>
                <w:color w:val="auto"/>
              </w:rPr>
            </w:pPr>
          </w:p>
        </w:tc>
        <w:tc>
          <w:tcPr>
            <w:tcW w:w="71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00" w:type="dxa"/>
            <w:vAlign w:val="bottom"/>
            <w:tcBorders>
              <w:top w:val="single" w:sz="8" w:color="CCCCCC"/>
              <w:left w:val="single" w:sz="8" w:color="auto"/>
              <w:right w:val="single" w:sz="8" w:color="auto"/>
            </w:tcBorders>
            <w:shd w:val="clear" w:color="auto" w:fill="CCCCCC"/>
          </w:tcPr>
          <w:p>
            <w:pPr>
              <w:jc w:val="center"/>
              <w:spacing w:after="0" w:line="161" w:lineRule="exact"/>
              <w:rPr>
                <w:sz w:val="20"/>
                <w:szCs w:val="20"/>
                <w:color w:val="auto"/>
              </w:rPr>
            </w:pPr>
            <w:r>
              <w:rPr>
                <w:rFonts w:ascii="Arial" w:cs="Arial" w:eastAsia="Arial" w:hAnsi="Arial"/>
                <w:sz w:val="16"/>
                <w:szCs w:val="16"/>
                <w:b w:val="1"/>
                <w:bCs w:val="1"/>
                <w:color w:val="auto"/>
              </w:rPr>
              <w:t>equity-based</w:t>
            </w:r>
          </w:p>
        </w:tc>
        <w:tc>
          <w:tcPr>
            <w:tcW w:w="1540" w:type="dxa"/>
            <w:vAlign w:val="bottom"/>
            <w:tcBorders>
              <w:top w:val="single" w:sz="8" w:color="auto"/>
              <w:right w:val="single" w:sz="8" w:color="auto"/>
            </w:tcBorders>
            <w:shd w:val="clear" w:color="auto" w:fill="E5E5E5"/>
          </w:tcPr>
          <w:p>
            <w:pPr>
              <w:spacing w:after="0"/>
              <w:rPr>
                <w:sz w:val="13"/>
                <w:szCs w:val="13"/>
                <w:color w:val="auto"/>
              </w:rPr>
            </w:pPr>
          </w:p>
        </w:tc>
        <w:tc>
          <w:tcPr>
            <w:tcW w:w="7160" w:type="dxa"/>
            <w:vAlign w:val="bottom"/>
            <w:tcBorders>
              <w:top w:val="single" w:sz="8" w:color="auto"/>
              <w:right w:val="single" w:sz="8" w:color="auto"/>
            </w:tcBorders>
          </w:tcPr>
          <w:p>
            <w:pPr>
              <w:ind w:left="80"/>
              <w:spacing w:after="0" w:line="161" w:lineRule="exact"/>
              <w:rPr>
                <w:sz w:val="20"/>
                <w:szCs w:val="20"/>
                <w:color w:val="auto"/>
              </w:rPr>
            </w:pPr>
            <w:r>
              <w:rPr>
                <w:rFonts w:ascii="Arial" w:cs="Arial" w:eastAsia="Arial" w:hAnsi="Arial"/>
                <w:sz w:val="18"/>
                <w:szCs w:val="18"/>
                <w:color w:val="auto"/>
              </w:rPr>
              <w:t>Aligns long-term goals of seeking stock price appreciation and executive retention,</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6"/>
                <w:szCs w:val="16"/>
                <w:b w:val="1"/>
                <w:bCs w:val="1"/>
                <w:color w:val="auto"/>
              </w:rPr>
              <w:t>compensation</w:t>
            </w:r>
          </w:p>
        </w:tc>
        <w:tc>
          <w:tcPr>
            <w:tcW w:w="154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RSU awards</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creating an incentive to deliver stockholder value and to achieve our long-term strategic</w:t>
            </w:r>
          </w:p>
        </w:tc>
        <w:tc>
          <w:tcPr>
            <w:tcW w:w="0" w:type="dxa"/>
            <w:vAlign w:val="bottom"/>
          </w:tcPr>
          <w:p>
            <w:pPr>
              <w:spacing w:after="0"/>
              <w:rPr>
                <w:sz w:val="1"/>
                <w:szCs w:val="1"/>
                <w:color w:val="auto"/>
              </w:rPr>
            </w:pPr>
          </w:p>
        </w:tc>
      </w:tr>
      <w:tr>
        <w:trPr>
          <w:trHeight w:val="293"/>
        </w:trPr>
        <w:tc>
          <w:tcPr>
            <w:tcW w:w="1400" w:type="dxa"/>
            <w:vAlign w:val="bottom"/>
            <w:tcBorders>
              <w:left w:val="single" w:sz="8" w:color="auto"/>
              <w:bottom w:val="single" w:sz="8" w:color="CCCCCC"/>
              <w:right w:val="single" w:sz="8" w:color="auto"/>
            </w:tcBorders>
            <w:shd w:val="clear" w:color="auto" w:fill="CCCCCC"/>
          </w:tcPr>
          <w:p>
            <w:pPr>
              <w:spacing w:after="0"/>
              <w:rPr>
                <w:sz w:val="24"/>
                <w:szCs w:val="24"/>
                <w:color w:val="auto"/>
              </w:rPr>
            </w:pPr>
          </w:p>
        </w:tc>
        <w:tc>
          <w:tcPr>
            <w:tcW w:w="1540" w:type="dxa"/>
            <w:vAlign w:val="bottom"/>
            <w:tcBorders>
              <w:bottom w:val="single" w:sz="8" w:color="E5E5E5"/>
              <w:right w:val="single" w:sz="8" w:color="auto"/>
            </w:tcBorders>
            <w:shd w:val="clear" w:color="auto" w:fill="E5E5E5"/>
          </w:tcPr>
          <w:p>
            <w:pPr>
              <w:spacing w:after="0"/>
              <w:rPr>
                <w:sz w:val="24"/>
                <w:szCs w:val="24"/>
                <w:color w:val="auto"/>
              </w:rPr>
            </w:pP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financial objectives</w:t>
            </w:r>
          </w:p>
        </w:tc>
        <w:tc>
          <w:tcPr>
            <w:tcW w:w="0" w:type="dxa"/>
            <w:vAlign w:val="bottom"/>
          </w:tcPr>
          <w:p>
            <w:pPr>
              <w:spacing w:after="0"/>
              <w:rPr>
                <w:sz w:val="1"/>
                <w:szCs w:val="1"/>
                <w:color w:val="auto"/>
              </w:rPr>
            </w:pPr>
          </w:p>
        </w:tc>
      </w:tr>
      <w:tr>
        <w:trPr>
          <w:trHeight w:val="181"/>
        </w:trPr>
        <w:tc>
          <w:tcPr>
            <w:tcW w:w="1400" w:type="dxa"/>
            <w:vAlign w:val="bottom"/>
            <w:tcBorders>
              <w:top w:val="single" w:sz="8" w:color="auto"/>
              <w:left w:val="single" w:sz="8" w:color="auto"/>
              <w:right w:val="single" w:sz="8" w:color="auto"/>
            </w:tcBorders>
            <w:shd w:val="clear" w:color="auto" w:fill="CCCCCC"/>
          </w:tcPr>
          <w:p>
            <w:pPr>
              <w:spacing w:after="0"/>
              <w:rPr>
                <w:sz w:val="15"/>
                <w:szCs w:val="15"/>
                <w:color w:val="auto"/>
              </w:rPr>
            </w:pPr>
          </w:p>
        </w:tc>
        <w:tc>
          <w:tcPr>
            <w:tcW w:w="1540" w:type="dxa"/>
            <w:vAlign w:val="bottom"/>
            <w:tcBorders>
              <w:top w:val="single" w:sz="8" w:color="auto"/>
              <w:right w:val="single" w:sz="8" w:color="auto"/>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Annual incentive</w:t>
            </w:r>
          </w:p>
        </w:tc>
        <w:tc>
          <w:tcPr>
            <w:tcW w:w="7160" w:type="dxa"/>
            <w:vAlign w:val="bottom"/>
            <w:tcBorders>
              <w:top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Supports and encourages the achievement of specific annual financial goals, as well as</w:t>
            </w:r>
          </w:p>
        </w:tc>
        <w:tc>
          <w:tcPr>
            <w:tcW w:w="0" w:type="dxa"/>
            <w:vAlign w:val="bottom"/>
          </w:tcPr>
          <w:p>
            <w:pPr>
              <w:spacing w:after="0"/>
              <w:rPr>
                <w:sz w:val="1"/>
                <w:szCs w:val="1"/>
                <w:color w:val="auto"/>
              </w:rPr>
            </w:pPr>
          </w:p>
        </w:tc>
      </w:tr>
      <w:tr>
        <w:trPr>
          <w:trHeight w:val="131"/>
        </w:trPr>
        <w:tc>
          <w:tcPr>
            <w:tcW w:w="1400" w:type="dxa"/>
            <w:vAlign w:val="bottom"/>
            <w:tcBorders>
              <w:left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6"/>
                <w:szCs w:val="16"/>
                <w:b w:val="1"/>
                <w:bCs w:val="1"/>
                <w:color w:val="auto"/>
              </w:rPr>
              <w:t>Annual cash</w:t>
            </w:r>
          </w:p>
        </w:tc>
        <w:tc>
          <w:tcPr>
            <w:tcW w:w="1540" w:type="dxa"/>
            <w:vAlign w:val="bottom"/>
            <w:tcBorders>
              <w:right w:val="single" w:sz="8" w:color="auto"/>
            </w:tcBorders>
            <w:vMerge w:val="continue"/>
            <w:shd w:val="clear" w:color="auto" w:fill="E5E5E5"/>
          </w:tcPr>
          <w:p>
            <w:pPr>
              <w:spacing w:after="0"/>
              <w:rPr>
                <w:sz w:val="11"/>
                <w:szCs w:val="11"/>
                <w:color w:val="auto"/>
              </w:rPr>
            </w:pPr>
          </w:p>
        </w:tc>
        <w:tc>
          <w:tcPr>
            <w:tcW w:w="7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business unit/staff function objectives</w:t>
            </w:r>
          </w:p>
        </w:tc>
        <w:tc>
          <w:tcPr>
            <w:tcW w:w="0" w:type="dxa"/>
            <w:vAlign w:val="bottom"/>
          </w:tcPr>
          <w:p>
            <w:pPr>
              <w:spacing w:after="0"/>
              <w:rPr>
                <w:sz w:val="1"/>
                <w:szCs w:val="1"/>
                <w:color w:val="auto"/>
              </w:rPr>
            </w:pPr>
          </w:p>
        </w:tc>
      </w:tr>
      <w:tr>
        <w:trPr>
          <w:trHeight w:val="84"/>
        </w:trPr>
        <w:tc>
          <w:tcPr>
            <w:tcW w:w="1400" w:type="dxa"/>
            <w:vAlign w:val="bottom"/>
            <w:tcBorders>
              <w:left w:val="single" w:sz="8" w:color="auto"/>
              <w:right w:val="single" w:sz="8" w:color="auto"/>
            </w:tcBorders>
            <w:vMerge w:val="continue"/>
            <w:shd w:val="clear" w:color="auto" w:fill="CCCCCC"/>
          </w:tcPr>
          <w:p>
            <w:pPr>
              <w:spacing w:after="0"/>
              <w:rPr>
                <w:sz w:val="7"/>
                <w:szCs w:val="7"/>
                <w:color w:val="auto"/>
              </w:rPr>
            </w:pPr>
          </w:p>
        </w:tc>
        <w:tc>
          <w:tcPr>
            <w:tcW w:w="1540" w:type="dxa"/>
            <w:vAlign w:val="bottom"/>
            <w:tcBorders>
              <w:right w:val="single" w:sz="8" w:color="auto"/>
            </w:tcBorders>
            <w:shd w:val="clear" w:color="auto" w:fill="E5E5E5"/>
          </w:tcPr>
          <w:p>
            <w:pPr>
              <w:spacing w:after="0"/>
              <w:rPr>
                <w:sz w:val="7"/>
                <w:szCs w:val="7"/>
                <w:color w:val="auto"/>
              </w:rPr>
            </w:pPr>
          </w:p>
        </w:tc>
        <w:tc>
          <w:tcPr>
            <w:tcW w:w="7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400" w:type="dxa"/>
            <w:vAlign w:val="bottom"/>
            <w:tcBorders>
              <w:left w:val="single" w:sz="8" w:color="auto"/>
              <w:bottom w:val="single" w:sz="8" w:color="CCCCCC"/>
              <w:right w:val="single" w:sz="8" w:color="auto"/>
            </w:tcBorders>
            <w:vMerge w:val="restart"/>
            <w:shd w:val="clear" w:color="auto" w:fill="CCCCCC"/>
          </w:tcPr>
          <w:p>
            <w:pPr>
              <w:jc w:val="center"/>
              <w:spacing w:after="0"/>
              <w:rPr>
                <w:sz w:val="20"/>
                <w:szCs w:val="20"/>
                <w:color w:val="auto"/>
              </w:rPr>
            </w:pPr>
            <w:r>
              <w:rPr>
                <w:rFonts w:ascii="Arial" w:cs="Arial" w:eastAsia="Arial" w:hAnsi="Arial"/>
                <w:sz w:val="16"/>
                <w:szCs w:val="16"/>
                <w:b w:val="1"/>
                <w:bCs w:val="1"/>
                <w:color w:val="auto"/>
              </w:rPr>
              <w:t>compensation</w:t>
            </w:r>
          </w:p>
        </w:tc>
        <w:tc>
          <w:tcPr>
            <w:tcW w:w="1540" w:type="dxa"/>
            <w:vAlign w:val="bottom"/>
            <w:tcBorders>
              <w:bottom w:val="single" w:sz="8" w:color="auto"/>
              <w:right w:val="single" w:sz="8" w:color="auto"/>
            </w:tcBorders>
            <w:shd w:val="clear" w:color="auto" w:fill="E5E5E5"/>
          </w:tcPr>
          <w:p>
            <w:pPr>
              <w:spacing w:after="0"/>
              <w:rPr>
                <w:sz w:val="6"/>
                <w:szCs w:val="6"/>
                <w:color w:val="auto"/>
              </w:rPr>
            </w:pPr>
          </w:p>
        </w:tc>
        <w:tc>
          <w:tcPr>
            <w:tcW w:w="7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400" w:type="dxa"/>
            <w:vAlign w:val="bottom"/>
            <w:tcBorders>
              <w:left w:val="single" w:sz="8" w:color="auto"/>
              <w:right w:val="single" w:sz="8" w:color="auto"/>
            </w:tcBorders>
            <w:vMerge w:val="continue"/>
            <w:shd w:val="clear" w:color="auto" w:fill="CCCCCC"/>
          </w:tcPr>
          <w:p>
            <w:pPr>
              <w:spacing w:after="0"/>
              <w:rPr>
                <w:sz w:val="11"/>
                <w:szCs w:val="11"/>
                <w:color w:val="auto"/>
              </w:rPr>
            </w:pPr>
          </w:p>
        </w:tc>
        <w:tc>
          <w:tcPr>
            <w:tcW w:w="154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Base salary</w:t>
            </w:r>
          </w:p>
        </w:tc>
        <w:tc>
          <w:tcPr>
            <w:tcW w:w="7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Provides a consistent and fixed amount of annual cash income</w:t>
            </w: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continue"/>
            <w:shd w:val="clear" w:color="auto" w:fill="E5E5E5"/>
          </w:tcPr>
          <w:p>
            <w:pPr>
              <w:spacing w:after="0"/>
              <w:rPr>
                <w:sz w:val="10"/>
                <w:szCs w:val="10"/>
                <w:color w:val="auto"/>
              </w:rPr>
            </w:pPr>
          </w:p>
        </w:tc>
        <w:tc>
          <w:tcPr>
            <w:tcW w:w="7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bottom w:val="single" w:sz="8" w:color="auto"/>
              <w:right w:val="single" w:sz="8" w:color="auto"/>
            </w:tcBorders>
            <w:shd w:val="clear" w:color="auto" w:fill="CCCCCC"/>
          </w:tcPr>
          <w:p>
            <w:pPr>
              <w:spacing w:after="0"/>
              <w:rPr>
                <w:sz w:val="7"/>
                <w:szCs w:val="7"/>
                <w:color w:val="auto"/>
              </w:rPr>
            </w:pPr>
          </w:p>
        </w:tc>
        <w:tc>
          <w:tcPr>
            <w:tcW w:w="1540" w:type="dxa"/>
            <w:vAlign w:val="bottom"/>
            <w:tcBorders>
              <w:bottom w:val="single" w:sz="8" w:color="auto"/>
              <w:right w:val="single" w:sz="8" w:color="auto"/>
            </w:tcBorders>
            <w:shd w:val="clear" w:color="auto" w:fill="E5E5E5"/>
          </w:tcPr>
          <w:p>
            <w:pPr>
              <w:spacing w:after="0"/>
              <w:rPr>
                <w:sz w:val="7"/>
                <w:szCs w:val="7"/>
                <w:color w:val="auto"/>
              </w:rPr>
            </w:pPr>
          </w:p>
        </w:tc>
        <w:tc>
          <w:tcPr>
            <w:tcW w:w="7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80" w:right="80"/>
        <w:spacing w:after="0" w:line="239" w:lineRule="auto"/>
        <w:rPr>
          <w:sz w:val="20"/>
          <w:szCs w:val="20"/>
          <w:color w:val="auto"/>
        </w:rPr>
      </w:pPr>
      <w:r>
        <w:rPr>
          <w:rFonts w:ascii="Arial" w:cs="Arial" w:eastAsia="Arial" w:hAnsi="Arial"/>
          <w:sz w:val="18"/>
          <w:szCs w:val="18"/>
          <w:color w:val="auto"/>
        </w:rPr>
        <w:t>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including our named executive officers, and to align their financial interests with those of our stockholders.</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Base Salary</w:t>
      </w:r>
    </w:p>
    <w:p>
      <w:pPr>
        <w:spacing w:after="0" w:line="88" w:lineRule="exact"/>
        <w:rPr>
          <w:sz w:val="20"/>
          <w:szCs w:val="20"/>
          <w:color w:val="auto"/>
        </w:rPr>
      </w:pPr>
    </w:p>
    <w:p>
      <w:pPr>
        <w:ind w:left="580" w:right="20"/>
        <w:spacing w:after="0" w:line="242" w:lineRule="auto"/>
        <w:rPr>
          <w:sz w:val="20"/>
          <w:szCs w:val="20"/>
          <w:color w:val="auto"/>
        </w:rPr>
      </w:pPr>
      <w:r>
        <w:rPr>
          <w:rFonts w:ascii="Arial" w:cs="Arial" w:eastAsia="Arial" w:hAnsi="Arial"/>
          <w:sz w:val="18"/>
          <w:szCs w:val="18"/>
          <w:color w:val="auto"/>
        </w:rPr>
        <w:t>We believe that a competitive base salary is essential in attracting and retaining key executive talent. Historically, the Compensation Committee has reviewed the base salaries of our executive officers, including our named executive officers, on an annual basis or as needed to address changes in job title, a promotion, assumption of additional job responsibilities, or other unique circumstances.</w:t>
      </w:r>
    </w:p>
    <w:p>
      <w:pPr>
        <w:spacing w:after="0" w:line="154" w:lineRule="exact"/>
        <w:rPr>
          <w:sz w:val="20"/>
          <w:szCs w:val="20"/>
          <w:color w:val="auto"/>
        </w:rPr>
      </w:pPr>
    </w:p>
    <w:p>
      <w:pPr>
        <w:ind w:left="580" w:right="20"/>
        <w:spacing w:after="0" w:line="237" w:lineRule="auto"/>
        <w:rPr>
          <w:sz w:val="20"/>
          <w:szCs w:val="20"/>
          <w:color w:val="auto"/>
        </w:rPr>
      </w:pPr>
      <w:r>
        <w:rPr>
          <w:rFonts w:ascii="Arial" w:cs="Arial" w:eastAsia="Arial" w:hAnsi="Arial"/>
          <w:sz w:val="18"/>
          <w:szCs w:val="18"/>
          <w:color w:val="auto"/>
        </w:rPr>
        <w:t>In evaluating the base salaries of our executive officers, the Compensation Committee considers several factors, including our financial performance, the officer’s contribution towards meeting our financial objectives, the officer’s qualifications, knowledge, experience, tenure, and scope of responsibilities, the officer’s performance as against individual goals, the officer’s future potential, the recommendations of our CEO (with respect to the other executive officers), competitive market data and practices, our desired compensation position with respect to the competitive market, retention, internal equity, and external factors.</w:t>
      </w:r>
    </w:p>
    <w:p>
      <w:pPr>
        <w:spacing w:after="0" w:line="97"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64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80"/>
          </w:cols>
          <w:pgMar w:left="320" w:top="453" w:right="8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2022 Base Salary Decisions</w:t>
      </w:r>
    </w:p>
    <w:p>
      <w:pPr>
        <w:spacing w:after="0" w:line="90" w:lineRule="exact"/>
        <w:rPr>
          <w:sz w:val="20"/>
          <w:szCs w:val="20"/>
          <w:color w:val="auto"/>
        </w:rPr>
      </w:pPr>
    </w:p>
    <w:p>
      <w:pPr>
        <w:ind w:left="580" w:right="540"/>
        <w:spacing w:after="0" w:line="267" w:lineRule="auto"/>
        <w:rPr>
          <w:sz w:val="20"/>
          <w:szCs w:val="20"/>
          <w:color w:val="auto"/>
        </w:rPr>
      </w:pPr>
      <w:r>
        <w:rPr>
          <w:rFonts w:ascii="Arial" w:cs="Arial" w:eastAsia="Arial" w:hAnsi="Arial"/>
          <w:sz w:val="18"/>
          <w:szCs w:val="18"/>
          <w:color w:val="auto"/>
        </w:rPr>
        <w:t>In March 2022, the Compensation Committee reviewed the base salaries of our executive officers, including our named executive officers, and approved the following base salaries, effective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113665</wp:posOffset>
            </wp:positionV>
            <wp:extent cx="15875" cy="13347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875" cy="133477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113665</wp:posOffset>
            </wp:positionV>
            <wp:extent cx="15875" cy="13347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875" cy="1334770"/>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60"/>
        </w:trPr>
        <w:tc>
          <w:tcPr>
            <w:tcW w:w="7000" w:type="dxa"/>
            <w:vAlign w:val="bottom"/>
            <w:shd w:val="clear" w:color="auto" w:fill="666666"/>
          </w:tcPr>
          <w:p>
            <w:pPr>
              <w:spacing w:after="0"/>
              <w:rPr>
                <w:sz w:val="22"/>
                <w:szCs w:val="22"/>
                <w:color w:val="auto"/>
              </w:rPr>
            </w:pPr>
          </w:p>
        </w:tc>
        <w:tc>
          <w:tcPr>
            <w:tcW w:w="460" w:type="dxa"/>
            <w:vAlign w:val="bottom"/>
            <w:shd w:val="clear" w:color="auto" w:fill="666666"/>
          </w:tcPr>
          <w:p>
            <w:pPr>
              <w:spacing w:after="0"/>
              <w:rPr>
                <w:sz w:val="22"/>
                <w:szCs w:val="22"/>
                <w:color w:val="auto"/>
              </w:rPr>
            </w:pPr>
          </w:p>
        </w:tc>
        <w:tc>
          <w:tcPr>
            <w:tcW w:w="920" w:type="dxa"/>
            <w:vAlign w:val="bottom"/>
            <w:shd w:val="clear" w:color="auto" w:fill="666666"/>
          </w:tcPr>
          <w:p>
            <w:pPr>
              <w:spacing w:after="0"/>
              <w:rPr>
                <w:sz w:val="22"/>
                <w:szCs w:val="22"/>
                <w:color w:val="auto"/>
              </w:rPr>
            </w:pPr>
          </w:p>
        </w:tc>
        <w:tc>
          <w:tcPr>
            <w:tcW w:w="1700" w:type="dxa"/>
            <w:vAlign w:val="bottom"/>
            <w:shd w:val="clear" w:color="auto" w:fill="666666"/>
          </w:tcPr>
          <w:p>
            <w:pPr>
              <w:jc w:val="right"/>
              <w:spacing w:after="0"/>
              <w:rPr>
                <w:sz w:val="20"/>
                <w:szCs w:val="20"/>
                <w:color w:val="auto"/>
              </w:rPr>
            </w:pPr>
            <w:r>
              <w:rPr>
                <w:rFonts w:ascii="Arial" w:cs="Arial" w:eastAsia="Arial" w:hAnsi="Arial"/>
                <w:sz w:val="15"/>
                <w:szCs w:val="15"/>
                <w:b w:val="1"/>
                <w:bCs w:val="1"/>
                <w:color w:val="FFFFFF"/>
              </w:rPr>
              <w:t>% Increase from 2021</w:t>
            </w:r>
          </w:p>
        </w:tc>
      </w:tr>
      <w:tr>
        <w:trPr>
          <w:trHeight w:val="210"/>
        </w:trPr>
        <w:tc>
          <w:tcPr>
            <w:tcW w:w="7000" w:type="dxa"/>
            <w:vAlign w:val="bottom"/>
            <w:shd w:val="clear" w:color="auto" w:fill="666666"/>
          </w:tcPr>
          <w:p>
            <w:pPr>
              <w:ind w:left="60"/>
              <w:spacing w:after="0" w:line="210" w:lineRule="exact"/>
              <w:rPr>
                <w:sz w:val="20"/>
                <w:szCs w:val="20"/>
                <w:color w:val="auto"/>
              </w:rPr>
            </w:pPr>
            <w:r>
              <w:rPr>
                <w:rFonts w:ascii="Arial" w:cs="Arial" w:eastAsia="Arial" w:hAnsi="Arial"/>
                <w:sz w:val="15"/>
                <w:szCs w:val="15"/>
                <w:b w:val="1"/>
                <w:bCs w:val="1"/>
                <w:color w:val="FFFFFF"/>
              </w:rPr>
              <w:t>Named Executive Officer</w:t>
            </w:r>
            <w:r>
              <w:rPr>
                <w:rFonts w:ascii="Arial" w:cs="Arial" w:eastAsia="Arial" w:hAnsi="Arial"/>
                <w:sz w:val="22"/>
                <w:szCs w:val="22"/>
                <w:b w:val="1"/>
                <w:bCs w:val="1"/>
                <w:color w:val="FFFFFF"/>
                <w:vertAlign w:val="superscript"/>
              </w:rPr>
              <w:t>(1)</w:t>
            </w:r>
          </w:p>
        </w:tc>
        <w:tc>
          <w:tcPr>
            <w:tcW w:w="1380" w:type="dxa"/>
            <w:vAlign w:val="bottom"/>
            <w:gridSpan w:val="2"/>
            <w:shd w:val="clear" w:color="auto" w:fill="666666"/>
          </w:tcPr>
          <w:p>
            <w:pPr>
              <w:jc w:val="right"/>
              <w:ind w:right="198"/>
              <w:spacing w:after="0"/>
              <w:rPr>
                <w:sz w:val="20"/>
                <w:szCs w:val="20"/>
                <w:color w:val="auto"/>
              </w:rPr>
            </w:pPr>
            <w:r>
              <w:rPr>
                <w:rFonts w:ascii="Arial" w:cs="Arial" w:eastAsia="Arial" w:hAnsi="Arial"/>
                <w:sz w:val="15"/>
                <w:szCs w:val="15"/>
                <w:b w:val="1"/>
                <w:bCs w:val="1"/>
                <w:color w:val="FFFFFF"/>
              </w:rPr>
              <w:t>Base Salary</w:t>
            </w:r>
          </w:p>
        </w:tc>
        <w:tc>
          <w:tcPr>
            <w:tcW w:w="1700" w:type="dxa"/>
            <w:vAlign w:val="bottom"/>
            <w:shd w:val="clear" w:color="auto" w:fill="666666"/>
          </w:tcPr>
          <w:p>
            <w:pPr>
              <w:jc w:val="right"/>
              <w:ind w:right="360"/>
              <w:spacing w:after="0"/>
              <w:rPr>
                <w:sz w:val="20"/>
                <w:szCs w:val="20"/>
                <w:color w:val="auto"/>
              </w:rPr>
            </w:pPr>
            <w:r>
              <w:rPr>
                <w:rFonts w:ascii="Arial" w:cs="Arial" w:eastAsia="Arial" w:hAnsi="Arial"/>
                <w:sz w:val="15"/>
                <w:szCs w:val="15"/>
                <w:b w:val="1"/>
                <w:bCs w:val="1"/>
                <w:color w:val="FFFFFF"/>
              </w:rPr>
              <w:t>Base Salary</w:t>
            </w:r>
          </w:p>
        </w:tc>
      </w:tr>
      <w:tr>
        <w:trPr>
          <w:trHeight w:val="264"/>
        </w:trPr>
        <w:tc>
          <w:tcPr>
            <w:tcW w:w="70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Sean Menke</w:t>
            </w:r>
          </w:p>
        </w:tc>
        <w:tc>
          <w:tcPr>
            <w:tcW w:w="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5E5E5"/>
            </w:tcBorders>
            <w:shd w:val="clear" w:color="auto" w:fill="E5E5E5"/>
          </w:tcPr>
          <w:p>
            <w:pPr>
              <w:jc w:val="right"/>
              <w:ind w:right="98"/>
              <w:spacing w:after="0"/>
              <w:rPr>
                <w:sz w:val="20"/>
                <w:szCs w:val="20"/>
                <w:color w:val="auto"/>
              </w:rPr>
            </w:pPr>
            <w:r>
              <w:rPr>
                <w:rFonts w:ascii="Arial" w:cs="Arial" w:eastAsia="Arial" w:hAnsi="Arial"/>
                <w:sz w:val="16"/>
                <w:szCs w:val="16"/>
                <w:color w:val="auto"/>
              </w:rPr>
              <w:t>1,000,000</w:t>
            </w:r>
          </w:p>
        </w:tc>
        <w:tc>
          <w:tcPr>
            <w:tcW w:w="1700" w:type="dxa"/>
            <w:vAlign w:val="bottom"/>
            <w:tcBorders>
              <w:bottom w:val="single" w:sz="8" w:color="E5E5E5"/>
            </w:tcBorders>
            <w:shd w:val="clear" w:color="auto" w:fill="E5E5E5"/>
          </w:tcPr>
          <w:p>
            <w:pPr>
              <w:jc w:val="right"/>
              <w:ind w:right="420"/>
              <w:spacing w:after="0"/>
              <w:rPr>
                <w:sz w:val="20"/>
                <w:szCs w:val="20"/>
                <w:color w:val="auto"/>
              </w:rPr>
            </w:pPr>
            <w:r>
              <w:rPr>
                <w:rFonts w:ascii="Arial" w:cs="Arial" w:eastAsia="Arial" w:hAnsi="Arial"/>
                <w:sz w:val="16"/>
                <w:szCs w:val="16"/>
                <w:color w:val="auto"/>
              </w:rPr>
              <w:t>—</w:t>
            </w:r>
          </w:p>
        </w:tc>
      </w:tr>
      <w:tr>
        <w:trPr>
          <w:trHeight w:val="225"/>
        </w:trPr>
        <w:tc>
          <w:tcPr>
            <w:tcW w:w="7000" w:type="dxa"/>
            <w:vAlign w:val="bottom"/>
          </w:tcPr>
          <w:p>
            <w:pPr>
              <w:ind w:left="60"/>
              <w:spacing w:after="0"/>
              <w:rPr>
                <w:sz w:val="20"/>
                <w:szCs w:val="20"/>
                <w:color w:val="auto"/>
              </w:rPr>
            </w:pPr>
            <w:r>
              <w:rPr>
                <w:rFonts w:ascii="Arial" w:cs="Arial" w:eastAsia="Arial" w:hAnsi="Arial"/>
                <w:sz w:val="16"/>
                <w:szCs w:val="16"/>
                <w:color w:val="auto"/>
              </w:rPr>
              <w:t>David Moore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556,832</w:t>
            </w:r>
          </w:p>
        </w:tc>
        <w:tc>
          <w:tcPr>
            <w:tcW w:w="1700" w:type="dxa"/>
            <w:vAlign w:val="bottom"/>
          </w:tcPr>
          <w:p>
            <w:pPr>
              <w:jc w:val="right"/>
              <w:ind w:right="280"/>
              <w:spacing w:after="0"/>
              <w:rPr>
                <w:sz w:val="20"/>
                <w:szCs w:val="20"/>
                <w:color w:val="auto"/>
              </w:rPr>
            </w:pPr>
            <w:r>
              <w:rPr>
                <w:rFonts w:ascii="Arial" w:cs="Arial" w:eastAsia="Arial" w:hAnsi="Arial"/>
                <w:sz w:val="16"/>
                <w:szCs w:val="16"/>
                <w:color w:val="auto"/>
              </w:rPr>
              <w:t>2.50%</w:t>
            </w:r>
          </w:p>
        </w:tc>
      </w:tr>
      <w:tr>
        <w:trPr>
          <w:trHeight w:val="59"/>
        </w:trPr>
        <w:tc>
          <w:tcPr>
            <w:tcW w:w="7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00" w:type="dxa"/>
            <w:vAlign w:val="bottom"/>
          </w:tcPr>
          <w:p>
            <w:pPr>
              <w:spacing w:after="0"/>
              <w:rPr>
                <w:sz w:val="5"/>
                <w:szCs w:val="5"/>
                <w:color w:val="auto"/>
              </w:rPr>
            </w:pPr>
          </w:p>
        </w:tc>
      </w:tr>
      <w:tr>
        <w:trPr>
          <w:trHeight w:val="264"/>
        </w:trPr>
        <w:tc>
          <w:tcPr>
            <w:tcW w:w="70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Scott Wilson</w:t>
            </w:r>
          </w:p>
        </w:tc>
        <w:tc>
          <w:tcPr>
            <w:tcW w:w="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5E5E5"/>
            </w:tcBorders>
            <w:shd w:val="clear" w:color="auto" w:fill="E5E5E5"/>
          </w:tcPr>
          <w:p>
            <w:pPr>
              <w:jc w:val="right"/>
              <w:ind w:right="98"/>
              <w:spacing w:after="0"/>
              <w:rPr>
                <w:sz w:val="20"/>
                <w:szCs w:val="20"/>
                <w:color w:val="auto"/>
              </w:rPr>
            </w:pPr>
            <w:r>
              <w:rPr>
                <w:rFonts w:ascii="Arial" w:cs="Arial" w:eastAsia="Arial" w:hAnsi="Arial"/>
                <w:sz w:val="16"/>
                <w:szCs w:val="16"/>
                <w:color w:val="auto"/>
              </w:rPr>
              <w:t>577,844</w:t>
            </w:r>
          </w:p>
        </w:tc>
        <w:tc>
          <w:tcPr>
            <w:tcW w:w="1700" w:type="dxa"/>
            <w:vAlign w:val="bottom"/>
            <w:tcBorders>
              <w:bottom w:val="single" w:sz="8" w:color="E5E5E5"/>
            </w:tcBorders>
            <w:shd w:val="clear" w:color="auto" w:fill="E5E5E5"/>
          </w:tcPr>
          <w:p>
            <w:pPr>
              <w:jc w:val="right"/>
              <w:ind w:right="280"/>
              <w:spacing w:after="0"/>
              <w:rPr>
                <w:sz w:val="20"/>
                <w:szCs w:val="20"/>
                <w:color w:val="auto"/>
              </w:rPr>
            </w:pPr>
            <w:r>
              <w:rPr>
                <w:rFonts w:ascii="Arial" w:cs="Arial" w:eastAsia="Arial" w:hAnsi="Arial"/>
                <w:sz w:val="16"/>
                <w:szCs w:val="16"/>
                <w:color w:val="auto"/>
              </w:rPr>
              <w:t>2.50%</w:t>
            </w:r>
          </w:p>
        </w:tc>
      </w:tr>
      <w:tr>
        <w:trPr>
          <w:trHeight w:val="225"/>
        </w:trPr>
        <w:tc>
          <w:tcPr>
            <w:tcW w:w="7000" w:type="dxa"/>
            <w:vAlign w:val="bottom"/>
          </w:tcPr>
          <w:p>
            <w:pPr>
              <w:ind w:left="60"/>
              <w:spacing w:after="0"/>
              <w:rPr>
                <w:sz w:val="20"/>
                <w:szCs w:val="20"/>
                <w:color w:val="auto"/>
              </w:rPr>
            </w:pPr>
            <w:r>
              <w:rPr>
                <w:rFonts w:ascii="Arial" w:cs="Arial" w:eastAsia="Arial" w:hAnsi="Arial"/>
                <w:sz w:val="16"/>
                <w:szCs w:val="16"/>
                <w:color w:val="auto"/>
              </w:rPr>
              <w:t>Douglas Barnett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740,691</w:t>
            </w:r>
          </w:p>
        </w:tc>
        <w:tc>
          <w:tcPr>
            <w:tcW w:w="1700" w:type="dxa"/>
            <w:vAlign w:val="bottom"/>
          </w:tcPr>
          <w:p>
            <w:pPr>
              <w:jc w:val="right"/>
              <w:ind w:right="280"/>
              <w:spacing w:after="0"/>
              <w:rPr>
                <w:sz w:val="20"/>
                <w:szCs w:val="20"/>
                <w:color w:val="auto"/>
              </w:rPr>
            </w:pPr>
            <w:r>
              <w:rPr>
                <w:rFonts w:ascii="Arial" w:cs="Arial" w:eastAsia="Arial" w:hAnsi="Arial"/>
                <w:sz w:val="16"/>
                <w:szCs w:val="16"/>
                <w:color w:val="auto"/>
              </w:rPr>
              <w:t>2.50%</w:t>
            </w:r>
          </w:p>
        </w:tc>
      </w:tr>
      <w:tr>
        <w:trPr>
          <w:trHeight w:val="59"/>
        </w:trPr>
        <w:tc>
          <w:tcPr>
            <w:tcW w:w="7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00" w:type="dxa"/>
            <w:vAlign w:val="bottom"/>
          </w:tcPr>
          <w:p>
            <w:pPr>
              <w:spacing w:after="0"/>
              <w:rPr>
                <w:sz w:val="5"/>
                <w:szCs w:val="5"/>
                <w:color w:val="auto"/>
              </w:rPr>
            </w:pPr>
          </w:p>
        </w:tc>
      </w:tr>
      <w:tr>
        <w:trPr>
          <w:trHeight w:val="264"/>
        </w:trPr>
        <w:tc>
          <w:tcPr>
            <w:tcW w:w="70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Wade Jones</w:t>
            </w:r>
          </w:p>
        </w:tc>
        <w:tc>
          <w:tcPr>
            <w:tcW w:w="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5E5E5"/>
            </w:tcBorders>
            <w:shd w:val="clear" w:color="auto" w:fill="E5E5E5"/>
          </w:tcPr>
          <w:p>
            <w:pPr>
              <w:jc w:val="right"/>
              <w:ind w:right="98"/>
              <w:spacing w:after="0"/>
              <w:rPr>
                <w:sz w:val="20"/>
                <w:szCs w:val="20"/>
                <w:color w:val="auto"/>
              </w:rPr>
            </w:pPr>
            <w:r>
              <w:rPr>
                <w:rFonts w:ascii="Arial" w:cs="Arial" w:eastAsia="Arial" w:hAnsi="Arial"/>
                <w:sz w:val="16"/>
                <w:szCs w:val="16"/>
                <w:color w:val="auto"/>
              </w:rPr>
              <w:t>656,641</w:t>
            </w:r>
          </w:p>
        </w:tc>
        <w:tc>
          <w:tcPr>
            <w:tcW w:w="1700" w:type="dxa"/>
            <w:vAlign w:val="bottom"/>
            <w:tcBorders>
              <w:bottom w:val="single" w:sz="8" w:color="E5E5E5"/>
            </w:tcBorders>
            <w:shd w:val="clear" w:color="auto" w:fill="E5E5E5"/>
          </w:tcPr>
          <w:p>
            <w:pPr>
              <w:jc w:val="right"/>
              <w:ind w:right="280"/>
              <w:spacing w:after="0"/>
              <w:rPr>
                <w:sz w:val="20"/>
                <w:szCs w:val="20"/>
                <w:color w:val="auto"/>
              </w:rPr>
            </w:pPr>
            <w:r>
              <w:rPr>
                <w:rFonts w:ascii="Arial" w:cs="Arial" w:eastAsia="Arial" w:hAnsi="Arial"/>
                <w:sz w:val="16"/>
                <w:szCs w:val="16"/>
                <w:color w:val="auto"/>
              </w:rPr>
              <w:t>2.50%</w:t>
            </w:r>
          </w:p>
        </w:tc>
      </w:tr>
      <w:tr>
        <w:trPr>
          <w:trHeight w:val="225"/>
        </w:trPr>
        <w:tc>
          <w:tcPr>
            <w:tcW w:w="7000" w:type="dxa"/>
            <w:vAlign w:val="bottom"/>
          </w:tcPr>
          <w:p>
            <w:pPr>
              <w:ind w:left="60"/>
              <w:spacing w:after="0"/>
              <w:rPr>
                <w:sz w:val="20"/>
                <w:szCs w:val="20"/>
                <w:color w:val="auto"/>
              </w:rPr>
            </w:pPr>
            <w:r>
              <w:rPr>
                <w:rFonts w:ascii="Arial" w:cs="Arial" w:eastAsia="Arial" w:hAnsi="Arial"/>
                <w:sz w:val="16"/>
                <w:szCs w:val="16"/>
                <w:color w:val="auto"/>
              </w:rPr>
              <w:t>Cem Tanyel</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auto"/>
              </w:rPr>
              <w:t>510,000</w:t>
            </w:r>
          </w:p>
        </w:tc>
        <w:tc>
          <w:tcPr>
            <w:tcW w:w="1700" w:type="dxa"/>
            <w:vAlign w:val="bottom"/>
          </w:tcPr>
          <w:p>
            <w:pPr>
              <w:jc w:val="right"/>
              <w:ind w:right="4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76835</wp:posOffset>
            </wp:positionV>
            <wp:extent cx="70675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38" w:lineRule="exact"/>
        <w:rPr>
          <w:sz w:val="20"/>
          <w:szCs w:val="20"/>
          <w:color w:val="auto"/>
        </w:rPr>
      </w:pPr>
    </w:p>
    <w:p>
      <w:pPr>
        <w:ind w:left="980" w:right="360" w:hanging="400"/>
        <w:spacing w:after="0" w:line="273" w:lineRule="auto"/>
        <w:tabs>
          <w:tab w:leader="none" w:pos="9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Messrs. Randolfi and Ekert did not receive base salary increases in 2022, due to the timing of their appointment to their respective positions in 2022, and their annual base salaries for 2022 were $650,000 and $750,000, respectively.</w:t>
      </w:r>
    </w:p>
    <w:p>
      <w:pPr>
        <w:spacing w:after="0" w:line="143" w:lineRule="exact"/>
        <w:rPr>
          <w:sz w:val="20"/>
          <w:szCs w:val="20"/>
          <w:color w:val="auto"/>
        </w:rPr>
      </w:pPr>
    </w:p>
    <w:p>
      <w:pPr>
        <w:ind w:left="580" w:right="20"/>
        <w:spacing w:after="0" w:line="242" w:lineRule="auto"/>
        <w:rPr>
          <w:sz w:val="20"/>
          <w:szCs w:val="20"/>
          <w:color w:val="auto"/>
        </w:rPr>
      </w:pPr>
      <w:r>
        <w:rPr>
          <w:rFonts w:ascii="Arial" w:cs="Arial" w:eastAsia="Arial" w:hAnsi="Arial"/>
          <w:sz w:val="18"/>
          <w:szCs w:val="18"/>
          <w:color w:val="auto"/>
        </w:rPr>
        <w:t>As noted above, the Compensation Committee considered several factors in approving these base salaries, including an assessment of competitive market data and each executive officer’s contributions towards meeting our financial objectives, as well as the objective of moving certain executives’ base salaries closer to the median of the competitive market for similarly situated executives at the companies in our compensation peer group.</w:t>
      </w:r>
    </w:p>
    <w:p>
      <w:pPr>
        <w:spacing w:after="0" w:line="154" w:lineRule="exact"/>
        <w:rPr>
          <w:sz w:val="20"/>
          <w:szCs w:val="20"/>
          <w:color w:val="auto"/>
        </w:rPr>
      </w:pPr>
    </w:p>
    <w:p>
      <w:pPr>
        <w:ind w:left="580" w:right="80"/>
        <w:spacing w:after="0" w:line="267" w:lineRule="auto"/>
        <w:rPr>
          <w:sz w:val="20"/>
          <w:szCs w:val="20"/>
          <w:color w:val="auto"/>
        </w:rPr>
      </w:pPr>
      <w:r>
        <w:rPr>
          <w:rFonts w:ascii="Arial" w:cs="Arial" w:eastAsia="Arial" w:hAnsi="Arial"/>
          <w:sz w:val="18"/>
          <w:szCs w:val="18"/>
          <w:color w:val="auto"/>
        </w:rPr>
        <w:t>The base salaries paid to our named executive officers during 2022 are set forth in the “2022 Summary Compensation Table” below.</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Annual Incentive Compensation</w:t>
      </w:r>
    </w:p>
    <w:p>
      <w:pPr>
        <w:spacing w:after="0" w:line="88" w:lineRule="exact"/>
        <w:rPr>
          <w:sz w:val="20"/>
          <w:szCs w:val="20"/>
          <w:color w:val="auto"/>
        </w:rPr>
      </w:pPr>
    </w:p>
    <w:p>
      <w:pPr>
        <w:ind w:left="580" w:right="120"/>
        <w:spacing w:after="0" w:line="242" w:lineRule="auto"/>
        <w:rPr>
          <w:sz w:val="20"/>
          <w:szCs w:val="20"/>
          <w:color w:val="auto"/>
        </w:rPr>
      </w:pPr>
      <w:r>
        <w:rPr>
          <w:rFonts w:ascii="Arial" w:cs="Arial" w:eastAsia="Arial" w:hAnsi="Arial"/>
          <w:sz w:val="18"/>
          <w:szCs w:val="18"/>
          <w:color w:val="auto"/>
        </w:rPr>
        <w:t>We use annual incentive compensation to support and encourage the achievement of our specific annual corporate and business segment goals as reflected in our annual operating plan. Each year, our officers at the level of senior vice president or above, which includes our named executive officers, are eligible to receive annual cash incentive payments under our Executive Incentive Program, or EIP.</w:t>
      </w:r>
    </w:p>
    <w:p>
      <w:pPr>
        <w:spacing w:after="0" w:line="154" w:lineRule="exact"/>
        <w:rPr>
          <w:sz w:val="20"/>
          <w:szCs w:val="20"/>
          <w:color w:val="auto"/>
        </w:rPr>
      </w:pPr>
    </w:p>
    <w:p>
      <w:pPr>
        <w:ind w:left="580" w:right="40"/>
        <w:spacing w:after="0" w:line="242" w:lineRule="auto"/>
        <w:rPr>
          <w:sz w:val="20"/>
          <w:szCs w:val="20"/>
          <w:color w:val="auto"/>
        </w:rPr>
      </w:pPr>
      <w:r>
        <w:rPr>
          <w:rFonts w:ascii="Arial" w:cs="Arial" w:eastAsia="Arial" w:hAnsi="Arial"/>
          <w:sz w:val="18"/>
          <w:szCs w:val="18"/>
          <w:color w:val="auto"/>
        </w:rPr>
        <w:t>Typically, at the beginning of the fiscal year the Compensation Committee approves the terms and conditions of the EIP for the year, including the selection of one or more performance measures as the basis for determining the funding of annual cash incentive payments for the year. Subject to available funding, the EIP provides cash incentive payments based upon our achievement as measured against the pre-established target levels for these performance measures.</w:t>
      </w:r>
    </w:p>
    <w:p>
      <w:pPr>
        <w:spacing w:after="0" w:line="93"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Annual Cash Incentive Target</w:t>
      </w:r>
    </w:p>
    <w:p>
      <w:pPr>
        <w:spacing w:after="0" w:line="90" w:lineRule="exact"/>
        <w:rPr>
          <w:sz w:val="20"/>
          <w:szCs w:val="20"/>
          <w:color w:val="auto"/>
        </w:rPr>
      </w:pPr>
    </w:p>
    <w:p>
      <w:pPr>
        <w:ind w:left="580" w:right="60"/>
        <w:spacing w:after="0" w:line="267" w:lineRule="auto"/>
        <w:rPr>
          <w:sz w:val="20"/>
          <w:szCs w:val="20"/>
          <w:color w:val="auto"/>
        </w:rPr>
      </w:pPr>
      <w:r>
        <w:rPr>
          <w:rFonts w:ascii="Arial" w:cs="Arial" w:eastAsia="Arial" w:hAnsi="Arial"/>
          <w:sz w:val="18"/>
          <w:szCs w:val="18"/>
          <w:color w:val="auto"/>
        </w:rPr>
        <w:t>For purposes of the 2022 EIP, the annual cash incentive target for each of our eligible executive officers, including our named executive officers, was expressed as a percentage of his or her base salary during 2022 and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5203825</wp:posOffset>
            </wp:positionH>
            <wp:positionV relativeFrom="paragraph">
              <wp:posOffset>113665</wp:posOffset>
            </wp:positionV>
            <wp:extent cx="15875" cy="16014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875" cy="160147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113665</wp:posOffset>
            </wp:positionV>
            <wp:extent cx="15875" cy="16014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875" cy="1601470"/>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5160" w:type="dxa"/>
            <w:vAlign w:val="bottom"/>
            <w:shd w:val="clear" w:color="auto" w:fill="666666"/>
          </w:tcPr>
          <w:p>
            <w:pPr>
              <w:spacing w:after="0"/>
              <w:rPr>
                <w:sz w:val="17"/>
                <w:szCs w:val="17"/>
                <w:color w:val="auto"/>
              </w:rPr>
            </w:pPr>
          </w:p>
        </w:tc>
        <w:tc>
          <w:tcPr>
            <w:tcW w:w="2680" w:type="dxa"/>
            <w:vAlign w:val="bottom"/>
            <w:shd w:val="clear" w:color="auto" w:fill="666666"/>
          </w:tcPr>
          <w:p>
            <w:pPr>
              <w:jc w:val="right"/>
              <w:ind w:right="399"/>
              <w:spacing w:after="0"/>
              <w:rPr>
                <w:sz w:val="20"/>
                <w:szCs w:val="20"/>
                <w:color w:val="auto"/>
              </w:rPr>
            </w:pPr>
            <w:r>
              <w:rPr>
                <w:rFonts w:ascii="Arial" w:cs="Arial" w:eastAsia="Arial" w:hAnsi="Arial"/>
                <w:sz w:val="15"/>
                <w:szCs w:val="15"/>
                <w:b w:val="1"/>
                <w:bCs w:val="1"/>
                <w:color w:val="FFFFFF"/>
              </w:rPr>
              <w:t>2022 Cash Incentive Target</w:t>
            </w:r>
          </w:p>
        </w:tc>
        <w:tc>
          <w:tcPr>
            <w:tcW w:w="2240" w:type="dxa"/>
            <w:vAlign w:val="bottom"/>
            <w:shd w:val="clear" w:color="auto" w:fill="666666"/>
          </w:tcPr>
          <w:p>
            <w:pPr>
              <w:spacing w:after="0"/>
              <w:rPr>
                <w:sz w:val="17"/>
                <w:szCs w:val="17"/>
                <w:color w:val="auto"/>
              </w:rPr>
            </w:pPr>
          </w:p>
        </w:tc>
      </w:tr>
      <w:tr>
        <w:trPr>
          <w:trHeight w:val="210"/>
        </w:trPr>
        <w:tc>
          <w:tcPr>
            <w:tcW w:w="5160" w:type="dxa"/>
            <w:vAlign w:val="bottom"/>
            <w:shd w:val="clear" w:color="auto" w:fill="666666"/>
          </w:tcPr>
          <w:p>
            <w:pPr>
              <w:ind w:left="60"/>
              <w:spacing w:after="0"/>
              <w:rPr>
                <w:sz w:val="20"/>
                <w:szCs w:val="20"/>
                <w:color w:val="auto"/>
              </w:rPr>
            </w:pPr>
            <w:r>
              <w:rPr>
                <w:rFonts w:ascii="Arial" w:cs="Arial" w:eastAsia="Arial" w:hAnsi="Arial"/>
                <w:sz w:val="15"/>
                <w:szCs w:val="15"/>
                <w:b w:val="1"/>
                <w:bCs w:val="1"/>
                <w:color w:val="FFFFFF"/>
              </w:rPr>
              <w:t>Named Executive Officer</w:t>
            </w:r>
          </w:p>
        </w:tc>
        <w:tc>
          <w:tcPr>
            <w:tcW w:w="2680" w:type="dxa"/>
            <w:vAlign w:val="bottom"/>
            <w:shd w:val="clear" w:color="auto" w:fill="666666"/>
          </w:tcPr>
          <w:p>
            <w:pPr>
              <w:jc w:val="right"/>
              <w:ind w:right="219"/>
              <w:spacing w:after="0"/>
              <w:rPr>
                <w:sz w:val="20"/>
                <w:szCs w:val="20"/>
                <w:color w:val="auto"/>
              </w:rPr>
            </w:pPr>
            <w:r>
              <w:rPr>
                <w:rFonts w:ascii="Arial" w:cs="Arial" w:eastAsia="Arial" w:hAnsi="Arial"/>
                <w:sz w:val="15"/>
                <w:szCs w:val="15"/>
                <w:b w:val="1"/>
                <w:bCs w:val="1"/>
                <w:color w:val="FFFFFF"/>
              </w:rPr>
              <w:t>(as a percentage of base salary)</w:t>
            </w:r>
          </w:p>
        </w:tc>
        <w:tc>
          <w:tcPr>
            <w:tcW w:w="2240" w:type="dxa"/>
            <w:vAlign w:val="bottom"/>
            <w:shd w:val="clear" w:color="auto" w:fill="666666"/>
          </w:tcPr>
          <w:p>
            <w:pPr>
              <w:jc w:val="center"/>
              <w:ind w:right="39"/>
              <w:spacing w:after="0"/>
              <w:rPr>
                <w:sz w:val="20"/>
                <w:szCs w:val="20"/>
                <w:color w:val="auto"/>
              </w:rPr>
            </w:pPr>
            <w:r>
              <w:rPr>
                <w:rFonts w:ascii="Arial" w:cs="Arial" w:eastAsia="Arial" w:hAnsi="Arial"/>
                <w:sz w:val="15"/>
                <w:szCs w:val="15"/>
                <w:b w:val="1"/>
                <w:bCs w:val="1"/>
                <w:color w:val="FFFFFF"/>
                <w:w w:val="98"/>
              </w:rPr>
              <w:t>Potential Payout</w:t>
            </w:r>
          </w:p>
        </w:tc>
      </w:tr>
      <w:tr>
        <w:trPr>
          <w:trHeight w:val="264"/>
        </w:trPr>
        <w:tc>
          <w:tcPr>
            <w:tcW w:w="51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Sean Menke</w:t>
            </w:r>
          </w:p>
        </w:tc>
        <w:tc>
          <w:tcPr>
            <w:tcW w:w="2680" w:type="dxa"/>
            <w:vAlign w:val="bottom"/>
            <w:tcBorders>
              <w:bottom w:val="single" w:sz="8" w:color="E5E5E5"/>
            </w:tcBorders>
            <w:shd w:val="clear" w:color="auto" w:fill="E5E5E5"/>
          </w:tcPr>
          <w:p>
            <w:pPr>
              <w:jc w:val="right"/>
              <w:ind w:right="1119"/>
              <w:spacing w:after="0"/>
              <w:rPr>
                <w:sz w:val="20"/>
                <w:szCs w:val="20"/>
                <w:color w:val="auto"/>
              </w:rPr>
            </w:pPr>
            <w:r>
              <w:rPr>
                <w:rFonts w:ascii="Arial" w:cs="Arial" w:eastAsia="Arial" w:hAnsi="Arial"/>
                <w:sz w:val="16"/>
                <w:szCs w:val="16"/>
                <w:color w:val="auto"/>
              </w:rPr>
              <w:t>150%</w:t>
            </w:r>
          </w:p>
        </w:tc>
        <w:tc>
          <w:tcPr>
            <w:tcW w:w="2240" w:type="dxa"/>
            <w:vAlign w:val="bottom"/>
            <w:tcBorders>
              <w:bottom w:val="single" w:sz="8" w:color="E5E5E5"/>
            </w:tcBorders>
            <w:shd w:val="clear" w:color="auto" w:fill="E5E5E5"/>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272"/>
        </w:trPr>
        <w:tc>
          <w:tcPr>
            <w:tcW w:w="5160" w:type="dxa"/>
            <w:vAlign w:val="bottom"/>
          </w:tcPr>
          <w:p>
            <w:pPr>
              <w:spacing w:after="0" w:line="272" w:lineRule="exact"/>
              <w:rPr>
                <w:sz w:val="20"/>
                <w:szCs w:val="20"/>
                <w:color w:val="auto"/>
              </w:rPr>
            </w:pPr>
            <w:r>
              <w:rPr>
                <w:rFonts w:ascii="Arial" w:cs="Arial" w:eastAsia="Arial" w:hAnsi="Arial"/>
                <w:sz w:val="16"/>
                <w:szCs w:val="16"/>
                <w:color w:val="auto"/>
              </w:rPr>
              <w:t>Michael Randolfi</w:t>
            </w:r>
            <w:r>
              <w:rPr>
                <w:rFonts w:ascii="Arial" w:cs="Arial" w:eastAsia="Arial" w:hAnsi="Arial"/>
                <w:sz w:val="24"/>
                <w:szCs w:val="24"/>
                <w:color w:val="auto"/>
                <w:vertAlign w:val="superscript"/>
              </w:rPr>
              <w:t>(1)</w:t>
            </w:r>
          </w:p>
        </w:tc>
        <w:tc>
          <w:tcPr>
            <w:tcW w:w="2680" w:type="dxa"/>
            <w:vAlign w:val="bottom"/>
          </w:tcPr>
          <w:p>
            <w:pPr>
              <w:jc w:val="right"/>
              <w:ind w:right="1119"/>
              <w:spacing w:after="0"/>
              <w:rPr>
                <w:sz w:val="20"/>
                <w:szCs w:val="20"/>
                <w:color w:val="auto"/>
              </w:rPr>
            </w:pPr>
            <w:r>
              <w:rPr>
                <w:rFonts w:ascii="Arial" w:cs="Arial" w:eastAsia="Arial" w:hAnsi="Arial"/>
                <w:sz w:val="16"/>
                <w:szCs w:val="16"/>
                <w:color w:val="auto"/>
              </w:rPr>
              <w:t>90%</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252"/>
        </w:trPr>
        <w:tc>
          <w:tcPr>
            <w:tcW w:w="51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Kurt Ekert</w:t>
            </w:r>
          </w:p>
        </w:tc>
        <w:tc>
          <w:tcPr>
            <w:tcW w:w="2680" w:type="dxa"/>
            <w:vAlign w:val="bottom"/>
            <w:tcBorders>
              <w:bottom w:val="single" w:sz="8" w:color="E5E5E5"/>
            </w:tcBorders>
            <w:shd w:val="clear" w:color="auto" w:fill="E5E5E5"/>
          </w:tcPr>
          <w:p>
            <w:pPr>
              <w:jc w:val="right"/>
              <w:ind w:right="1119"/>
              <w:spacing w:after="0"/>
              <w:rPr>
                <w:sz w:val="20"/>
                <w:szCs w:val="20"/>
                <w:color w:val="auto"/>
              </w:rPr>
            </w:pPr>
            <w:r>
              <w:rPr>
                <w:rFonts w:ascii="Arial" w:cs="Arial" w:eastAsia="Arial" w:hAnsi="Arial"/>
                <w:sz w:val="16"/>
                <w:szCs w:val="16"/>
                <w:color w:val="auto"/>
              </w:rPr>
              <w:t>125%</w:t>
            </w:r>
          </w:p>
        </w:tc>
        <w:tc>
          <w:tcPr>
            <w:tcW w:w="2240" w:type="dxa"/>
            <w:vAlign w:val="bottom"/>
            <w:tcBorders>
              <w:bottom w:val="single" w:sz="8" w:color="E5E5E5"/>
            </w:tcBorders>
            <w:shd w:val="clear" w:color="auto" w:fill="E5E5E5"/>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225"/>
        </w:trPr>
        <w:tc>
          <w:tcPr>
            <w:tcW w:w="5160" w:type="dxa"/>
            <w:vAlign w:val="bottom"/>
          </w:tcPr>
          <w:p>
            <w:pPr>
              <w:spacing w:after="0"/>
              <w:rPr>
                <w:sz w:val="20"/>
                <w:szCs w:val="20"/>
                <w:color w:val="auto"/>
              </w:rPr>
            </w:pPr>
            <w:r>
              <w:rPr>
                <w:rFonts w:ascii="Arial" w:cs="Arial" w:eastAsia="Arial" w:hAnsi="Arial"/>
                <w:sz w:val="16"/>
                <w:szCs w:val="16"/>
                <w:color w:val="auto"/>
              </w:rPr>
              <w:t>David Moore</w:t>
            </w:r>
          </w:p>
        </w:tc>
        <w:tc>
          <w:tcPr>
            <w:tcW w:w="2680" w:type="dxa"/>
            <w:vAlign w:val="bottom"/>
          </w:tcPr>
          <w:p>
            <w:pPr>
              <w:jc w:val="right"/>
              <w:ind w:right="1119"/>
              <w:spacing w:after="0"/>
              <w:rPr>
                <w:sz w:val="20"/>
                <w:szCs w:val="20"/>
                <w:color w:val="auto"/>
              </w:rPr>
            </w:pPr>
            <w:r>
              <w:rPr>
                <w:rFonts w:ascii="Arial" w:cs="Arial" w:eastAsia="Arial" w:hAnsi="Arial"/>
                <w:sz w:val="16"/>
                <w:szCs w:val="16"/>
                <w:color w:val="auto"/>
              </w:rPr>
              <w:t>85%</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47"/>
        </w:trPr>
        <w:tc>
          <w:tcPr>
            <w:tcW w:w="51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40"/>
        </w:trPr>
        <w:tc>
          <w:tcPr>
            <w:tcW w:w="51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Scott Wilson</w:t>
            </w:r>
          </w:p>
        </w:tc>
        <w:tc>
          <w:tcPr>
            <w:tcW w:w="2680" w:type="dxa"/>
            <w:vAlign w:val="bottom"/>
            <w:tcBorders>
              <w:bottom w:val="single" w:sz="8" w:color="E5E5E5"/>
            </w:tcBorders>
            <w:shd w:val="clear" w:color="auto" w:fill="E5E5E5"/>
          </w:tcPr>
          <w:p>
            <w:pPr>
              <w:jc w:val="right"/>
              <w:ind w:right="1119"/>
              <w:spacing w:after="0"/>
              <w:rPr>
                <w:sz w:val="20"/>
                <w:szCs w:val="20"/>
                <w:color w:val="auto"/>
              </w:rPr>
            </w:pPr>
            <w:r>
              <w:rPr>
                <w:rFonts w:ascii="Arial" w:cs="Arial" w:eastAsia="Arial" w:hAnsi="Arial"/>
                <w:sz w:val="16"/>
                <w:szCs w:val="16"/>
                <w:color w:val="auto"/>
              </w:rPr>
              <w:t>85%</w:t>
            </w:r>
          </w:p>
        </w:tc>
        <w:tc>
          <w:tcPr>
            <w:tcW w:w="2240" w:type="dxa"/>
            <w:vAlign w:val="bottom"/>
            <w:tcBorders>
              <w:bottom w:val="single" w:sz="8" w:color="E5E5E5"/>
            </w:tcBorders>
            <w:shd w:val="clear" w:color="auto" w:fill="E5E5E5"/>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225"/>
        </w:trPr>
        <w:tc>
          <w:tcPr>
            <w:tcW w:w="5160" w:type="dxa"/>
            <w:vAlign w:val="bottom"/>
          </w:tcPr>
          <w:p>
            <w:pPr>
              <w:spacing w:after="0"/>
              <w:rPr>
                <w:sz w:val="20"/>
                <w:szCs w:val="20"/>
                <w:color w:val="auto"/>
              </w:rPr>
            </w:pPr>
            <w:r>
              <w:rPr>
                <w:rFonts w:ascii="Arial" w:cs="Arial" w:eastAsia="Arial" w:hAnsi="Arial"/>
                <w:sz w:val="16"/>
                <w:szCs w:val="16"/>
                <w:color w:val="auto"/>
              </w:rPr>
              <w:t>Douglas Barnett</w:t>
            </w:r>
          </w:p>
        </w:tc>
        <w:tc>
          <w:tcPr>
            <w:tcW w:w="2680" w:type="dxa"/>
            <w:vAlign w:val="bottom"/>
          </w:tcPr>
          <w:p>
            <w:pPr>
              <w:jc w:val="right"/>
              <w:ind w:right="1119"/>
              <w:spacing w:after="0"/>
              <w:rPr>
                <w:sz w:val="20"/>
                <w:szCs w:val="20"/>
                <w:color w:val="auto"/>
              </w:rPr>
            </w:pPr>
            <w:r>
              <w:rPr>
                <w:rFonts w:ascii="Arial" w:cs="Arial" w:eastAsia="Arial" w:hAnsi="Arial"/>
                <w:sz w:val="16"/>
                <w:szCs w:val="16"/>
                <w:color w:val="auto"/>
              </w:rPr>
              <w:t>100%</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35"/>
        </w:trPr>
        <w:tc>
          <w:tcPr>
            <w:tcW w:w="51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40"/>
        </w:trPr>
        <w:tc>
          <w:tcPr>
            <w:tcW w:w="51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6"/>
                <w:szCs w:val="16"/>
                <w:color w:val="auto"/>
              </w:rPr>
              <w:t>Wade Jones</w:t>
            </w:r>
          </w:p>
        </w:tc>
        <w:tc>
          <w:tcPr>
            <w:tcW w:w="2680" w:type="dxa"/>
            <w:vAlign w:val="bottom"/>
            <w:tcBorders>
              <w:bottom w:val="single" w:sz="8" w:color="E5E5E5"/>
            </w:tcBorders>
            <w:shd w:val="clear" w:color="auto" w:fill="E5E5E5"/>
          </w:tcPr>
          <w:p>
            <w:pPr>
              <w:jc w:val="right"/>
              <w:ind w:right="1119"/>
              <w:spacing w:after="0"/>
              <w:rPr>
                <w:sz w:val="20"/>
                <w:szCs w:val="20"/>
                <w:color w:val="auto"/>
              </w:rPr>
            </w:pPr>
            <w:r>
              <w:rPr>
                <w:rFonts w:ascii="Arial" w:cs="Arial" w:eastAsia="Arial" w:hAnsi="Arial"/>
                <w:sz w:val="16"/>
                <w:szCs w:val="16"/>
                <w:color w:val="auto"/>
              </w:rPr>
              <w:t>85%</w:t>
            </w:r>
          </w:p>
        </w:tc>
        <w:tc>
          <w:tcPr>
            <w:tcW w:w="2240" w:type="dxa"/>
            <w:vAlign w:val="bottom"/>
            <w:tcBorders>
              <w:bottom w:val="single" w:sz="8" w:color="E5E5E5"/>
            </w:tcBorders>
            <w:shd w:val="clear" w:color="auto" w:fill="E5E5E5"/>
          </w:tcPr>
          <w:p>
            <w:pPr>
              <w:jc w:val="center"/>
              <w:ind w:right="19"/>
              <w:spacing w:after="0"/>
              <w:rPr>
                <w:sz w:val="20"/>
                <w:szCs w:val="20"/>
                <w:color w:val="auto"/>
              </w:rPr>
            </w:pPr>
            <w:r>
              <w:rPr>
                <w:rFonts w:ascii="Arial" w:cs="Arial" w:eastAsia="Arial" w:hAnsi="Arial"/>
                <w:sz w:val="16"/>
                <w:szCs w:val="16"/>
                <w:color w:val="auto"/>
              </w:rPr>
              <w:t>0% to 150% of target</w:t>
            </w:r>
          </w:p>
        </w:tc>
      </w:tr>
      <w:tr>
        <w:trPr>
          <w:trHeight w:val="225"/>
        </w:trPr>
        <w:tc>
          <w:tcPr>
            <w:tcW w:w="5160" w:type="dxa"/>
            <w:vAlign w:val="bottom"/>
          </w:tcPr>
          <w:p>
            <w:pPr>
              <w:spacing w:after="0"/>
              <w:rPr>
                <w:sz w:val="20"/>
                <w:szCs w:val="20"/>
                <w:color w:val="auto"/>
              </w:rPr>
            </w:pPr>
            <w:r>
              <w:rPr>
                <w:rFonts w:ascii="Arial" w:cs="Arial" w:eastAsia="Arial" w:hAnsi="Arial"/>
                <w:sz w:val="16"/>
                <w:szCs w:val="16"/>
                <w:color w:val="auto"/>
              </w:rPr>
              <w:t>Cem Tanyel</w:t>
            </w:r>
          </w:p>
        </w:tc>
        <w:tc>
          <w:tcPr>
            <w:tcW w:w="2680" w:type="dxa"/>
            <w:vAlign w:val="bottom"/>
          </w:tcPr>
          <w:p>
            <w:pPr>
              <w:jc w:val="right"/>
              <w:ind w:right="1119"/>
              <w:spacing w:after="0"/>
              <w:rPr>
                <w:sz w:val="20"/>
                <w:szCs w:val="20"/>
                <w:color w:val="auto"/>
              </w:rPr>
            </w:pPr>
            <w:r>
              <w:rPr>
                <w:rFonts w:ascii="Arial" w:cs="Arial" w:eastAsia="Arial" w:hAnsi="Arial"/>
                <w:sz w:val="16"/>
                <w:szCs w:val="16"/>
                <w:color w:val="auto"/>
              </w:rPr>
              <w:t>80%</w:t>
            </w:r>
          </w:p>
        </w:tc>
        <w:tc>
          <w:tcPr>
            <w:tcW w:w="2240" w:type="dxa"/>
            <w:vAlign w:val="bottom"/>
          </w:tcPr>
          <w:p>
            <w:pPr>
              <w:jc w:val="center"/>
              <w:ind w:right="19"/>
              <w:spacing w:after="0"/>
              <w:rPr>
                <w:sz w:val="20"/>
                <w:szCs w:val="20"/>
                <w:color w:val="auto"/>
              </w:rPr>
            </w:pPr>
            <w:r>
              <w:rPr>
                <w:rFonts w:ascii="Arial" w:cs="Arial" w:eastAsia="Arial" w:hAnsi="Arial"/>
                <w:sz w:val="16"/>
                <w:szCs w:val="16"/>
                <w:color w:val="auto"/>
              </w:rPr>
              <w:t>0% to 150%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92710</wp:posOffset>
            </wp:positionV>
            <wp:extent cx="70675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63" w:lineRule="exact"/>
        <w:rPr>
          <w:sz w:val="20"/>
          <w:szCs w:val="20"/>
          <w:color w:val="auto"/>
        </w:rPr>
      </w:pPr>
    </w:p>
    <w:p>
      <w:pPr>
        <w:ind w:left="980" w:hanging="400"/>
        <w:spacing w:after="0"/>
        <w:tabs>
          <w:tab w:leader="none" w:pos="9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Mr. Randolfi’s cash incentive target is prorated for his service in 2022, as described below.</w:t>
      </w:r>
    </w:p>
    <w:p>
      <w:pPr>
        <w:spacing w:after="0" w:line="189" w:lineRule="exact"/>
        <w:rPr>
          <w:sz w:val="20"/>
          <w:szCs w:val="20"/>
          <w:color w:val="auto"/>
        </w:rPr>
      </w:pPr>
    </w:p>
    <w:p>
      <w:pPr>
        <w:ind w:left="580" w:right="120"/>
        <w:spacing w:after="0" w:line="237" w:lineRule="auto"/>
        <w:rPr>
          <w:sz w:val="20"/>
          <w:szCs w:val="20"/>
          <w:color w:val="auto"/>
        </w:rPr>
      </w:pPr>
      <w:r>
        <w:rPr>
          <w:rFonts w:ascii="Arial" w:cs="Arial" w:eastAsia="Arial" w:hAnsi="Arial"/>
          <w:sz w:val="18"/>
          <w:szCs w:val="18"/>
          <w:color w:val="auto"/>
        </w:rPr>
        <w:t>The annual cash incentive targets were established by the Compensation Committee based on its consideration of various factors such as each executive officer’s contribution towards meeting our financial objectives, the executive officer’s qualifications, knowledge, experience, tenure, and scope of responsibilities, the executive officer’s past performance as against individual goals, the executive officer’s future potential, the recommendations of our CEO (with respect to the other executive officers), competitive market data and practices, our desired compensation position with respect to the competitive market, internal equity, and external factors.</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Corporate Performance Measures and Weights</w:t>
      </w:r>
    </w:p>
    <w:p>
      <w:pPr>
        <w:spacing w:after="0" w:line="90" w:lineRule="exact"/>
        <w:rPr>
          <w:sz w:val="20"/>
          <w:szCs w:val="20"/>
          <w:color w:val="auto"/>
        </w:rPr>
      </w:pPr>
    </w:p>
    <w:p>
      <w:pPr>
        <w:ind w:left="580" w:right="100"/>
        <w:spacing w:after="0" w:line="267" w:lineRule="auto"/>
        <w:rPr>
          <w:sz w:val="20"/>
          <w:szCs w:val="20"/>
          <w:color w:val="auto"/>
        </w:rPr>
      </w:pPr>
      <w:r>
        <w:rPr>
          <w:rFonts w:ascii="Arial" w:cs="Arial" w:eastAsia="Arial" w:hAnsi="Arial"/>
          <w:sz w:val="18"/>
          <w:szCs w:val="18"/>
          <w:color w:val="auto"/>
        </w:rPr>
        <w:t>After considering stockholder feedback and the results of our 2021 say-on-pay vote, the Compensation Committee approved the following 2022 EIP performance measures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113665</wp:posOffset>
            </wp:positionV>
            <wp:extent cx="15875" cy="7931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875" cy="79311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113665</wp:posOffset>
            </wp:positionV>
            <wp:extent cx="15875" cy="7931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875" cy="7931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6160" w:type="dxa"/>
            <w:vAlign w:val="bottom"/>
            <w:gridSpan w:val="2"/>
            <w:shd w:val="clear" w:color="auto" w:fill="666666"/>
          </w:tcPr>
          <w:p>
            <w:pPr>
              <w:ind w:left="60"/>
              <w:spacing w:after="0"/>
              <w:rPr>
                <w:sz w:val="20"/>
                <w:szCs w:val="20"/>
                <w:color w:val="auto"/>
              </w:rPr>
            </w:pPr>
            <w:r>
              <w:rPr>
                <w:rFonts w:ascii="Arial" w:cs="Arial" w:eastAsia="Arial" w:hAnsi="Arial"/>
                <w:sz w:val="15"/>
                <w:szCs w:val="15"/>
                <w:b w:val="1"/>
                <w:bCs w:val="1"/>
                <w:color w:val="FFFFFF"/>
              </w:rPr>
              <w:t>Named Executive Officer</w:t>
            </w:r>
          </w:p>
        </w:tc>
        <w:tc>
          <w:tcPr>
            <w:tcW w:w="1240" w:type="dxa"/>
            <w:vAlign w:val="bottom"/>
            <w:shd w:val="clear" w:color="auto" w:fill="666666"/>
          </w:tcPr>
          <w:p>
            <w:pPr>
              <w:jc w:val="right"/>
              <w:ind w:right="160"/>
              <w:spacing w:after="0"/>
              <w:rPr>
                <w:sz w:val="20"/>
                <w:szCs w:val="20"/>
                <w:color w:val="auto"/>
              </w:rPr>
            </w:pPr>
            <w:r>
              <w:rPr>
                <w:rFonts w:ascii="Arial" w:cs="Arial" w:eastAsia="Arial" w:hAnsi="Arial"/>
                <w:sz w:val="15"/>
                <w:szCs w:val="15"/>
                <w:b w:val="1"/>
                <w:bCs w:val="1"/>
                <w:color w:val="FFFFFF"/>
              </w:rPr>
              <w:t>Weighting</w:t>
            </w:r>
          </w:p>
        </w:tc>
        <w:tc>
          <w:tcPr>
            <w:tcW w:w="2680" w:type="dxa"/>
            <w:vAlign w:val="bottom"/>
            <w:shd w:val="clear" w:color="auto" w:fill="666666"/>
          </w:tcPr>
          <w:p>
            <w:pPr>
              <w:jc w:val="center"/>
              <w:ind w:left="79"/>
              <w:spacing w:after="0"/>
              <w:rPr>
                <w:sz w:val="20"/>
                <w:szCs w:val="20"/>
                <w:color w:val="auto"/>
              </w:rPr>
            </w:pPr>
            <w:r>
              <w:rPr>
                <w:rFonts w:ascii="Arial" w:cs="Arial" w:eastAsia="Arial" w:hAnsi="Arial"/>
                <w:sz w:val="15"/>
                <w:szCs w:val="15"/>
                <w:b w:val="1"/>
                <w:bCs w:val="1"/>
                <w:color w:val="FFFFFF"/>
                <w:w w:val="99"/>
              </w:rPr>
              <w:t>Performance Measures</w:t>
            </w:r>
          </w:p>
        </w:tc>
      </w:tr>
      <w:tr>
        <w:trPr>
          <w:trHeight w:val="284"/>
        </w:trPr>
        <w:tc>
          <w:tcPr>
            <w:tcW w:w="616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CEO, CFO, and President</w:t>
            </w:r>
          </w:p>
        </w:tc>
        <w:tc>
          <w:tcPr>
            <w:tcW w:w="1240" w:type="dxa"/>
            <w:vAlign w:val="bottom"/>
            <w:shd w:val="clear" w:color="auto" w:fill="E5E5E5"/>
          </w:tcPr>
          <w:p>
            <w:pPr>
              <w:jc w:val="right"/>
              <w:ind w:right="260"/>
              <w:spacing w:after="0"/>
              <w:rPr>
                <w:sz w:val="20"/>
                <w:szCs w:val="20"/>
                <w:color w:val="auto"/>
              </w:rPr>
            </w:pPr>
            <w:r>
              <w:rPr>
                <w:rFonts w:ascii="Arial" w:cs="Arial" w:eastAsia="Arial" w:hAnsi="Arial"/>
                <w:sz w:val="16"/>
                <w:szCs w:val="16"/>
                <w:color w:val="auto"/>
              </w:rPr>
              <w:t>100%</w:t>
            </w:r>
          </w:p>
        </w:tc>
        <w:tc>
          <w:tcPr>
            <w:tcW w:w="2680" w:type="dxa"/>
            <w:vAlign w:val="bottom"/>
            <w:shd w:val="clear" w:color="auto" w:fill="E5E5E5"/>
          </w:tcPr>
          <w:p>
            <w:pPr>
              <w:jc w:val="center"/>
              <w:ind w:left="39"/>
              <w:spacing w:after="0"/>
              <w:rPr>
                <w:sz w:val="20"/>
                <w:szCs w:val="20"/>
                <w:color w:val="auto"/>
              </w:rPr>
            </w:pPr>
            <w:r>
              <w:rPr>
                <w:rFonts w:ascii="Arial" w:cs="Arial" w:eastAsia="Arial" w:hAnsi="Arial"/>
                <w:sz w:val="16"/>
                <w:szCs w:val="16"/>
                <w:color w:val="auto"/>
                <w:w w:val="99"/>
              </w:rPr>
              <w:t>2022 Adjusted EBITDA</w:t>
            </w:r>
            <w:r>
              <w:rPr>
                <w:rFonts w:ascii="Arial" w:cs="Arial" w:eastAsia="Arial" w:hAnsi="Arial"/>
                <w:sz w:val="24"/>
                <w:szCs w:val="24"/>
                <w:color w:val="auto"/>
                <w:w w:val="99"/>
                <w:vertAlign w:val="superscript"/>
              </w:rPr>
              <w:t>(1)</w:t>
            </w:r>
          </w:p>
        </w:tc>
      </w:tr>
      <w:tr>
        <w:trPr>
          <w:trHeight w:val="272"/>
        </w:trPr>
        <w:tc>
          <w:tcPr>
            <w:tcW w:w="11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240" w:type="dxa"/>
            <w:vAlign w:val="bottom"/>
          </w:tcPr>
          <w:p>
            <w:pPr>
              <w:jc w:val="right"/>
              <w:ind w:right="260"/>
              <w:spacing w:after="0"/>
              <w:rPr>
                <w:sz w:val="20"/>
                <w:szCs w:val="20"/>
                <w:color w:val="auto"/>
              </w:rPr>
            </w:pPr>
            <w:r>
              <w:rPr>
                <w:rFonts w:ascii="Arial" w:cs="Arial" w:eastAsia="Arial" w:hAnsi="Arial"/>
                <w:sz w:val="16"/>
                <w:szCs w:val="16"/>
                <w:color w:val="auto"/>
              </w:rPr>
              <w:t>70%</w:t>
            </w:r>
          </w:p>
        </w:tc>
        <w:tc>
          <w:tcPr>
            <w:tcW w:w="2680" w:type="dxa"/>
            <w:vAlign w:val="bottom"/>
          </w:tcPr>
          <w:p>
            <w:pPr>
              <w:jc w:val="center"/>
              <w:ind w:left="39"/>
              <w:spacing w:after="0" w:line="272" w:lineRule="exact"/>
              <w:rPr>
                <w:sz w:val="20"/>
                <w:szCs w:val="20"/>
                <w:color w:val="auto"/>
              </w:rPr>
            </w:pPr>
            <w:r>
              <w:rPr>
                <w:rFonts w:ascii="Arial" w:cs="Arial" w:eastAsia="Arial" w:hAnsi="Arial"/>
                <w:sz w:val="16"/>
                <w:szCs w:val="16"/>
                <w:color w:val="auto"/>
                <w:w w:val="99"/>
              </w:rPr>
              <w:t>2022 Adjusted EBITDA</w:t>
            </w:r>
            <w:r>
              <w:rPr>
                <w:rFonts w:ascii="Arial" w:cs="Arial" w:eastAsia="Arial" w:hAnsi="Arial"/>
                <w:sz w:val="24"/>
                <w:szCs w:val="24"/>
                <w:color w:val="auto"/>
                <w:w w:val="99"/>
                <w:vertAlign w:val="superscript"/>
              </w:rPr>
              <w:t>(1)</w:t>
            </w:r>
          </w:p>
        </w:tc>
      </w:tr>
      <w:tr>
        <w:trPr>
          <w:trHeight w:val="193"/>
        </w:trPr>
        <w:tc>
          <w:tcPr>
            <w:tcW w:w="616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All other named executive officers</w:t>
            </w:r>
          </w:p>
        </w:tc>
        <w:tc>
          <w:tcPr>
            <w:tcW w:w="1240" w:type="dxa"/>
            <w:vAlign w:val="bottom"/>
            <w:shd w:val="clear" w:color="auto" w:fill="E5E5E5"/>
          </w:tcPr>
          <w:p>
            <w:pPr>
              <w:spacing w:after="0"/>
              <w:rPr>
                <w:sz w:val="16"/>
                <w:szCs w:val="16"/>
                <w:color w:val="auto"/>
              </w:rPr>
            </w:pPr>
          </w:p>
        </w:tc>
        <w:tc>
          <w:tcPr>
            <w:tcW w:w="2680" w:type="dxa"/>
            <w:vAlign w:val="bottom"/>
            <w:shd w:val="clear" w:color="auto" w:fill="E5E5E5"/>
          </w:tcPr>
          <w:p>
            <w:pPr>
              <w:jc w:val="center"/>
              <w:ind w:left="79"/>
              <w:spacing w:after="0"/>
              <w:rPr>
                <w:sz w:val="20"/>
                <w:szCs w:val="20"/>
                <w:color w:val="auto"/>
              </w:rPr>
            </w:pPr>
            <w:r>
              <w:rPr>
                <w:rFonts w:ascii="Arial" w:cs="Arial" w:eastAsia="Arial" w:hAnsi="Arial"/>
                <w:sz w:val="16"/>
                <w:szCs w:val="16"/>
                <w:color w:val="auto"/>
              </w:rPr>
              <w:t>2022 business unit/staff function</w:t>
            </w:r>
          </w:p>
        </w:tc>
      </w:tr>
      <w:tr>
        <w:trPr>
          <w:trHeight w:val="244"/>
        </w:trPr>
        <w:tc>
          <w:tcPr>
            <w:tcW w:w="1120" w:type="dxa"/>
            <w:vAlign w:val="bottom"/>
            <w:tcBorders>
              <w:bottom w:val="single" w:sz="8" w:color="E5E5E5"/>
            </w:tcBorders>
            <w:shd w:val="clear" w:color="auto" w:fill="E5E5E5"/>
          </w:tcPr>
          <w:p>
            <w:pPr>
              <w:spacing w:after="0"/>
              <w:rPr>
                <w:sz w:val="21"/>
                <w:szCs w:val="21"/>
                <w:color w:val="auto"/>
              </w:rPr>
            </w:pPr>
          </w:p>
        </w:tc>
        <w:tc>
          <w:tcPr>
            <w:tcW w:w="5040" w:type="dxa"/>
            <w:vAlign w:val="bottom"/>
            <w:tcBorders>
              <w:bottom w:val="single" w:sz="8" w:color="E5E5E5"/>
            </w:tcBorders>
            <w:shd w:val="clear" w:color="auto" w:fill="E5E5E5"/>
          </w:tcPr>
          <w:p>
            <w:pPr>
              <w:spacing w:after="0"/>
              <w:rPr>
                <w:sz w:val="21"/>
                <w:szCs w:val="21"/>
                <w:color w:val="auto"/>
              </w:rPr>
            </w:pPr>
          </w:p>
        </w:tc>
        <w:tc>
          <w:tcPr>
            <w:tcW w:w="1240" w:type="dxa"/>
            <w:vAlign w:val="bottom"/>
            <w:tcBorders>
              <w:bottom w:val="single" w:sz="8" w:color="E5E5E5"/>
            </w:tcBorders>
            <w:shd w:val="clear" w:color="auto" w:fill="E5E5E5"/>
          </w:tcPr>
          <w:p>
            <w:pPr>
              <w:jc w:val="right"/>
              <w:ind w:right="260"/>
              <w:spacing w:after="0"/>
              <w:rPr>
                <w:sz w:val="20"/>
                <w:szCs w:val="20"/>
                <w:color w:val="auto"/>
              </w:rPr>
            </w:pPr>
            <w:r>
              <w:rPr>
                <w:rFonts w:ascii="Arial" w:cs="Arial" w:eastAsia="Arial" w:hAnsi="Arial"/>
                <w:sz w:val="16"/>
                <w:szCs w:val="16"/>
                <w:color w:val="auto"/>
              </w:rPr>
              <w:t>30%</w:t>
            </w:r>
          </w:p>
        </w:tc>
        <w:tc>
          <w:tcPr>
            <w:tcW w:w="2680" w:type="dxa"/>
            <w:vAlign w:val="bottom"/>
            <w:tcBorders>
              <w:bottom w:val="single" w:sz="8" w:color="E5E5E5"/>
            </w:tcBorders>
            <w:shd w:val="clear" w:color="auto" w:fill="E5E5E5"/>
          </w:tcPr>
          <w:p>
            <w:pPr>
              <w:jc w:val="center"/>
              <w:ind w:left="79"/>
              <w:spacing w:after="0"/>
              <w:rPr>
                <w:sz w:val="20"/>
                <w:szCs w:val="20"/>
                <w:color w:val="auto"/>
              </w:rPr>
            </w:pPr>
            <w:r>
              <w:rPr>
                <w:rFonts w:ascii="Arial" w:cs="Arial" w:eastAsia="Arial" w:hAnsi="Arial"/>
                <w:sz w:val="16"/>
                <w:szCs w:val="16"/>
                <w:color w:val="auto"/>
              </w:rPr>
              <w:t>objectives</w:t>
            </w:r>
          </w:p>
        </w:tc>
      </w:tr>
      <w:tr>
        <w:trPr>
          <w:trHeight w:val="124"/>
        </w:trPr>
        <w:tc>
          <w:tcPr>
            <w:tcW w:w="1120" w:type="dxa"/>
            <w:vAlign w:val="bottom"/>
            <w:tcBorders>
              <w:bottom w:val="single" w:sz="8" w:color="auto"/>
            </w:tcBorders>
          </w:tcPr>
          <w:p>
            <w:pPr>
              <w:spacing w:after="0"/>
              <w:rPr>
                <w:sz w:val="10"/>
                <w:szCs w:val="10"/>
                <w:color w:val="auto"/>
              </w:rPr>
            </w:pPr>
          </w:p>
        </w:tc>
        <w:tc>
          <w:tcPr>
            <w:tcW w:w="5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80" w:type="dxa"/>
            <w:vAlign w:val="bottom"/>
          </w:tcPr>
          <w:p>
            <w:pPr>
              <w:spacing w:after="0"/>
              <w:rPr>
                <w:sz w:val="10"/>
                <w:szCs w:val="10"/>
                <w:color w:val="auto"/>
              </w:rPr>
            </w:pPr>
          </w:p>
        </w:tc>
      </w:tr>
    </w:tbl>
    <w:p>
      <w:pPr>
        <w:spacing w:after="0" w:line="25" w:lineRule="exact"/>
        <w:rPr>
          <w:sz w:val="20"/>
          <w:szCs w:val="20"/>
          <w:color w:val="auto"/>
        </w:rPr>
      </w:pPr>
    </w:p>
    <w:p>
      <w:pPr>
        <w:ind w:left="980" w:right="20" w:hanging="400"/>
        <w:spacing w:after="0" w:line="251" w:lineRule="auto"/>
        <w:tabs>
          <w:tab w:leader="none" w:pos="9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for additional information on Adjusted EBITDA, including a non-GAAP to GAAP reconciliation. The Compensation Committee approved these adjustments to better reflect the efforts and performance of our executive officers in relation to the current year’s business performance, as well as to encourage them to make decisions that improve the potential for future growth without being penalized for the short-term investment required to achieve that growth.</w:t>
      </w:r>
    </w:p>
    <w:p>
      <w:pPr>
        <w:spacing w:after="0" w:line="160" w:lineRule="exact"/>
        <w:rPr>
          <w:sz w:val="20"/>
          <w:szCs w:val="20"/>
          <w:color w:val="auto"/>
        </w:rPr>
      </w:pPr>
    </w:p>
    <w:p>
      <w:pPr>
        <w:ind w:left="580" w:right="280"/>
        <w:spacing w:after="0" w:line="248" w:lineRule="auto"/>
        <w:rPr>
          <w:sz w:val="20"/>
          <w:szCs w:val="20"/>
          <w:color w:val="auto"/>
        </w:rPr>
      </w:pPr>
      <w:r>
        <w:rPr>
          <w:rFonts w:ascii="Arial" w:cs="Arial" w:eastAsia="Arial" w:hAnsi="Arial"/>
          <w:sz w:val="18"/>
          <w:szCs w:val="18"/>
          <w:color w:val="auto"/>
        </w:rPr>
        <w:t>The Compensation Committee selected Adjusted EBITDA because it believes it is an important indicator of our overall operating performance. For 2022, Adjusted EBITDA was defined as (Loss) Income from continuing operations adjusted for depreciation and amortization of property and equipment,</w:t>
      </w:r>
    </w:p>
    <w:p>
      <w:pPr>
        <w:spacing w:after="0" w:line="8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66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right="360"/>
        <w:spacing w:after="0" w:line="242" w:lineRule="auto"/>
        <w:rPr>
          <w:sz w:val="20"/>
          <w:szCs w:val="20"/>
          <w:color w:val="auto"/>
        </w:rPr>
      </w:pPr>
      <w:r>
        <w:rPr>
          <w:rFonts w:ascii="Arial" w:cs="Arial" w:eastAsia="Arial" w:hAnsi="Arial"/>
          <w:sz w:val="18"/>
          <w:szCs w:val="18"/>
          <w:color w:val="auto"/>
        </w:rPr>
        <w:t>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(benefit) provision for income taxes. The following table illustrates information regarding the 2022 EIP performance measure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127000</wp:posOffset>
            </wp:positionV>
            <wp:extent cx="15875" cy="3765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875" cy="3765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127000</wp:posOffset>
            </wp:positionV>
            <wp:extent cx="15875" cy="3765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875" cy="37655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127000</wp:posOffset>
            </wp:positionV>
            <wp:extent cx="15875" cy="3765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875" cy="37655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127000</wp:posOffset>
            </wp:positionV>
            <wp:extent cx="15875" cy="3765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875" cy="376555"/>
                    </a:xfrm>
                    <a:prstGeom prst="rect">
                      <a:avLst/>
                    </a:prstGeom>
                    <a:noFill/>
                  </pic:spPr>
                </pic:pic>
              </a:graphicData>
            </a:graphic>
          </wp:anchor>
        </w:drawing>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3980" w:type="dxa"/>
            <w:vAlign w:val="bottom"/>
            <w:shd w:val="clear" w:color="auto" w:fill="666666"/>
          </w:tcPr>
          <w:p>
            <w:pPr>
              <w:spacing w:after="0"/>
              <w:rPr>
                <w:sz w:val="17"/>
                <w:szCs w:val="17"/>
                <w:color w:val="auto"/>
              </w:rPr>
            </w:pPr>
          </w:p>
        </w:tc>
        <w:tc>
          <w:tcPr>
            <w:tcW w:w="3340" w:type="dxa"/>
            <w:vAlign w:val="bottom"/>
            <w:shd w:val="clear" w:color="auto" w:fill="666666"/>
          </w:tcPr>
          <w:p>
            <w:pPr>
              <w:jc w:val="center"/>
              <w:ind w:left="2083"/>
              <w:spacing w:after="0"/>
              <w:rPr>
                <w:sz w:val="20"/>
                <w:szCs w:val="20"/>
                <w:color w:val="auto"/>
              </w:rPr>
            </w:pPr>
            <w:r>
              <w:rPr>
                <w:rFonts w:ascii="Arial" w:cs="Arial" w:eastAsia="Arial" w:hAnsi="Arial"/>
                <w:sz w:val="15"/>
                <w:szCs w:val="15"/>
                <w:b w:val="1"/>
                <w:bCs w:val="1"/>
                <w:color w:val="FFFFFF"/>
                <w:w w:val="99"/>
              </w:rPr>
              <w:t>Threshold Goal</w:t>
            </w:r>
          </w:p>
        </w:tc>
        <w:tc>
          <w:tcPr>
            <w:tcW w:w="9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Target Goal</w:t>
            </w:r>
          </w:p>
        </w:tc>
        <w:tc>
          <w:tcPr>
            <w:tcW w:w="12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Maximum Goal</w:t>
            </w:r>
          </w:p>
        </w:tc>
        <w:tc>
          <w:tcPr>
            <w:tcW w:w="620" w:type="dxa"/>
            <w:vAlign w:val="bottom"/>
            <w:shd w:val="clear" w:color="auto" w:fill="666666"/>
          </w:tcPr>
          <w:p>
            <w:pPr>
              <w:spacing w:after="0"/>
              <w:rPr>
                <w:sz w:val="17"/>
                <w:szCs w:val="17"/>
                <w:color w:val="auto"/>
              </w:rPr>
            </w:pPr>
          </w:p>
        </w:tc>
      </w:tr>
      <w:tr>
        <w:trPr>
          <w:trHeight w:val="210"/>
        </w:trPr>
        <w:tc>
          <w:tcPr>
            <w:tcW w:w="3980" w:type="dxa"/>
            <w:vAlign w:val="bottom"/>
            <w:shd w:val="clear" w:color="auto" w:fill="666666"/>
          </w:tcPr>
          <w:p>
            <w:pPr>
              <w:ind w:left="80"/>
              <w:spacing w:after="0"/>
              <w:rPr>
                <w:sz w:val="20"/>
                <w:szCs w:val="20"/>
                <w:color w:val="auto"/>
              </w:rPr>
            </w:pPr>
            <w:r>
              <w:rPr>
                <w:rFonts w:ascii="Arial" w:cs="Arial" w:eastAsia="Arial" w:hAnsi="Arial"/>
                <w:sz w:val="15"/>
                <w:szCs w:val="15"/>
                <w:b w:val="1"/>
                <w:bCs w:val="1"/>
                <w:color w:val="FFFFFF"/>
              </w:rPr>
              <w:t>Performance Metric</w:t>
            </w:r>
          </w:p>
        </w:tc>
        <w:tc>
          <w:tcPr>
            <w:tcW w:w="3340" w:type="dxa"/>
            <w:vAlign w:val="bottom"/>
            <w:shd w:val="clear" w:color="auto" w:fill="666666"/>
          </w:tcPr>
          <w:p>
            <w:pPr>
              <w:jc w:val="right"/>
              <w:ind w:right="323"/>
              <w:spacing w:after="0"/>
              <w:rPr>
                <w:sz w:val="20"/>
                <w:szCs w:val="20"/>
                <w:color w:val="auto"/>
              </w:rPr>
            </w:pPr>
            <w:r>
              <w:rPr>
                <w:rFonts w:ascii="Arial" w:cs="Arial" w:eastAsia="Arial" w:hAnsi="Arial"/>
                <w:sz w:val="15"/>
                <w:szCs w:val="15"/>
                <w:b w:val="1"/>
                <w:bCs w:val="1"/>
                <w:color w:val="FFFFFF"/>
              </w:rPr>
              <w:t>(50%)</w:t>
            </w:r>
          </w:p>
        </w:tc>
        <w:tc>
          <w:tcPr>
            <w:tcW w:w="920" w:type="dxa"/>
            <w:vAlign w:val="bottom"/>
            <w:shd w:val="clear" w:color="auto" w:fill="666666"/>
          </w:tcPr>
          <w:p>
            <w:pPr>
              <w:jc w:val="right"/>
              <w:ind w:right="143"/>
              <w:spacing w:after="0"/>
              <w:rPr>
                <w:sz w:val="20"/>
                <w:szCs w:val="20"/>
                <w:color w:val="auto"/>
              </w:rPr>
            </w:pPr>
            <w:r>
              <w:rPr>
                <w:rFonts w:ascii="Arial" w:cs="Arial" w:eastAsia="Arial" w:hAnsi="Arial"/>
                <w:sz w:val="15"/>
                <w:szCs w:val="15"/>
                <w:b w:val="1"/>
                <w:bCs w:val="1"/>
                <w:color w:val="FFFFFF"/>
              </w:rPr>
              <w:t>(100%)</w:t>
            </w:r>
          </w:p>
        </w:tc>
        <w:tc>
          <w:tcPr>
            <w:tcW w:w="1220" w:type="dxa"/>
            <w:vAlign w:val="bottom"/>
            <w:shd w:val="clear" w:color="auto" w:fill="666666"/>
          </w:tcPr>
          <w:p>
            <w:pPr>
              <w:jc w:val="right"/>
              <w:ind w:right="323"/>
              <w:spacing w:after="0"/>
              <w:rPr>
                <w:sz w:val="20"/>
                <w:szCs w:val="20"/>
                <w:color w:val="auto"/>
              </w:rPr>
            </w:pPr>
            <w:r>
              <w:rPr>
                <w:rFonts w:ascii="Arial" w:cs="Arial" w:eastAsia="Arial" w:hAnsi="Arial"/>
                <w:sz w:val="15"/>
                <w:szCs w:val="15"/>
                <w:b w:val="1"/>
                <w:bCs w:val="1"/>
                <w:color w:val="FFFFFF"/>
              </w:rPr>
              <w:t>(150%)</w:t>
            </w:r>
          </w:p>
        </w:tc>
        <w:tc>
          <w:tcPr>
            <w:tcW w:w="6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rPr>
              <w:t>Result</w:t>
            </w:r>
          </w:p>
        </w:tc>
      </w:tr>
      <w:tr>
        <w:trPr>
          <w:trHeight w:val="185"/>
        </w:trPr>
        <w:tc>
          <w:tcPr>
            <w:tcW w:w="39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2022 Adjusted EBITDA</w:t>
            </w:r>
          </w:p>
        </w:tc>
        <w:tc>
          <w:tcPr>
            <w:tcW w:w="3340" w:type="dxa"/>
            <w:vAlign w:val="bottom"/>
            <w:shd w:val="clear" w:color="auto" w:fill="E5E5E5"/>
          </w:tcPr>
          <w:p>
            <w:pPr>
              <w:jc w:val="right"/>
              <w:ind w:right="63"/>
              <w:spacing w:after="0"/>
              <w:rPr>
                <w:sz w:val="20"/>
                <w:szCs w:val="20"/>
                <w:color w:val="auto"/>
              </w:rPr>
            </w:pPr>
            <w:r>
              <w:rPr>
                <w:rFonts w:ascii="Arial" w:cs="Arial" w:eastAsia="Arial" w:hAnsi="Arial"/>
                <w:sz w:val="16"/>
                <w:szCs w:val="16"/>
                <w:color w:val="auto"/>
              </w:rPr>
              <w:t>$(245.2)</w:t>
            </w:r>
          </w:p>
        </w:tc>
        <w:tc>
          <w:tcPr>
            <w:tcW w:w="9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$(0.1)</w:t>
            </w:r>
          </w:p>
        </w:tc>
        <w:tc>
          <w:tcPr>
            <w:tcW w:w="1220" w:type="dxa"/>
            <w:vAlign w:val="bottom"/>
            <w:shd w:val="clear" w:color="auto" w:fill="E5E5E5"/>
          </w:tcPr>
          <w:p>
            <w:pPr>
              <w:jc w:val="right"/>
              <w:ind w:right="183"/>
              <w:spacing w:after="0"/>
              <w:rPr>
                <w:sz w:val="20"/>
                <w:szCs w:val="20"/>
                <w:color w:val="auto"/>
              </w:rPr>
            </w:pPr>
            <w:r>
              <w:rPr>
                <w:rFonts w:ascii="Arial" w:cs="Arial" w:eastAsia="Arial" w:hAnsi="Arial"/>
                <w:sz w:val="16"/>
                <w:szCs w:val="16"/>
                <w:color w:val="auto"/>
              </w:rPr>
              <w:t>$124.4</w:t>
            </w:r>
          </w:p>
        </w:tc>
        <w:tc>
          <w:tcPr>
            <w:tcW w:w="6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$65</w:t>
            </w:r>
          </w:p>
        </w:tc>
      </w:tr>
    </w:tbl>
    <w:p>
      <w:pPr>
        <w:spacing w:after="0" w:line="177" w:lineRule="exact"/>
        <w:rPr>
          <w:sz w:val="20"/>
          <w:szCs w:val="20"/>
          <w:color w:val="auto"/>
        </w:rPr>
      </w:pPr>
    </w:p>
    <w:p>
      <w:pPr>
        <w:ind w:left="580" w:right="340"/>
        <w:spacing w:after="0" w:line="236" w:lineRule="auto"/>
        <w:rPr>
          <w:sz w:val="20"/>
          <w:szCs w:val="20"/>
          <w:color w:val="auto"/>
        </w:rPr>
      </w:pPr>
      <w:r>
        <w:rPr>
          <w:rFonts w:ascii="Arial" w:cs="Arial" w:eastAsia="Arial" w:hAnsi="Arial"/>
          <w:sz w:val="18"/>
          <w:szCs w:val="18"/>
          <w:color w:val="auto"/>
        </w:rPr>
        <w:t>As noted above, for executive officers other than the CEO, CFO, and President, 30% of the 2022 EIP consisted of metrics based on business unit or staff function objectives set at the beginning of 2022. For Mr. Moore, these objectives included metrics related to (1) executing our technology transformation, (2) ensuring the stability and security of our systems,</w:t>
      </w:r>
    </w:p>
    <w:p>
      <w:pPr>
        <w:spacing w:after="0" w:line="1" w:lineRule="exact"/>
        <w:rPr>
          <w:sz w:val="20"/>
          <w:szCs w:val="20"/>
          <w:color w:val="auto"/>
        </w:rPr>
      </w:pPr>
    </w:p>
    <w:p>
      <w:pPr>
        <w:ind w:left="580" w:right="80"/>
        <w:spacing w:after="0" w:line="234" w:lineRule="auto"/>
        <w:tabs>
          <w:tab w:leader="none" w:pos="8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delivering product roadmaps, (4) building the right team, including operationalizing talent and performance management, managing voluntary attrition, and improving communication, and (5) achieving excellence in execution. For Mr. Wilson, these objectives included metrics related to (1) completing the replatforming of SynXis onto the cloud platform, (2) executing on the core end-to-end path to delivering a platform for the Hospitality Solutions ecosystem growth strategy, (3) winning new business while retaining customers, and (4) improving release velocity and quality by modernizing our release management process and timing.</w:t>
      </w:r>
    </w:p>
    <w:p>
      <w:pPr>
        <w:spacing w:after="0" w:line="156" w:lineRule="exact"/>
        <w:rPr>
          <w:sz w:val="20"/>
          <w:szCs w:val="20"/>
          <w:color w:val="auto"/>
        </w:rPr>
      </w:pPr>
    </w:p>
    <w:p>
      <w:pPr>
        <w:ind w:left="580" w:right="160"/>
        <w:spacing w:after="0" w:line="239" w:lineRule="auto"/>
        <w:rPr>
          <w:sz w:val="20"/>
          <w:szCs w:val="20"/>
          <w:color w:val="auto"/>
        </w:rPr>
      </w:pPr>
      <w:r>
        <w:rPr>
          <w:rFonts w:ascii="Arial" w:cs="Arial" w:eastAsia="Arial" w:hAnsi="Arial"/>
          <w:sz w:val="18"/>
          <w:szCs w:val="18"/>
          <w:color w:val="auto"/>
        </w:rPr>
        <w:t>In February 2023, the Compensation Committee determined that we achieved 119% of our 2022 Adjusted EBIDTA target. Based on this review, the Compensation Committee determined that the Adjusted EBITDA performance under the 2022 EIP would have resulted in a payout equal to 119% for that portion of the named executive officers’ target annual cash incentive target; however, the Compensation Committee took into account Sabre’s business performance in 2022 and capped that portion of the 2022 EIP at 100%.</w:t>
      </w:r>
    </w:p>
    <w:p>
      <w:pPr>
        <w:spacing w:after="0" w:line="156" w:lineRule="exact"/>
        <w:rPr>
          <w:sz w:val="20"/>
          <w:szCs w:val="20"/>
          <w:color w:val="auto"/>
        </w:rPr>
      </w:pPr>
    </w:p>
    <w:p>
      <w:pPr>
        <w:ind w:left="580" w:right="60"/>
        <w:spacing w:after="0" w:line="234" w:lineRule="auto"/>
        <w:rPr>
          <w:sz w:val="20"/>
          <w:szCs w:val="20"/>
          <w:color w:val="auto"/>
        </w:rPr>
      </w:pPr>
      <w:r>
        <w:rPr>
          <w:rFonts w:ascii="Arial" w:cs="Arial" w:eastAsia="Arial" w:hAnsi="Arial"/>
          <w:sz w:val="18"/>
          <w:szCs w:val="18"/>
          <w:color w:val="auto"/>
        </w:rPr>
        <w:t>With respect to Mr. Moore’s objectives, the Compensation Committee determined that the metrics related to (1) executing our technology transformation were achieved, (2) ensuring the stability and security of our systems were achieved, (3) delivering product roadmaps were achieved or exceeded, and (4) building the right team, including operationalizing talent and performance management, managing voluntary attrition, and improving communication, were achieved or exceeded, and</w:t>
      </w:r>
    </w:p>
    <w:p>
      <w:pPr>
        <w:spacing w:after="0" w:line="2" w:lineRule="exact"/>
        <w:rPr>
          <w:sz w:val="20"/>
          <w:szCs w:val="20"/>
          <w:color w:val="auto"/>
        </w:rPr>
      </w:pPr>
    </w:p>
    <w:p>
      <w:pPr>
        <w:ind w:left="580" w:right="220"/>
        <w:spacing w:after="0" w:line="229" w:lineRule="auto"/>
        <w:tabs>
          <w:tab w:leader="none" w:pos="8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achieving excellence in execution were achieved. With respect to Mr. Wilson’s objectives, the Compensation Committee determined that the metrics related to (1) completing the replatforming of SynXis onto the cloud platform were achieved,</w:t>
      </w:r>
    </w:p>
    <w:p>
      <w:pPr>
        <w:ind w:left="580" w:right="260"/>
        <w:spacing w:after="0" w:line="238" w:lineRule="auto"/>
        <w:tabs>
          <w:tab w:leader="none" w:pos="8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executing on the core end-to-end path to delivering a platform for the Hospitality Solutions ecosystem growth strategy were achieved, (3) winning new business while retaining customers were achieved or exceeded, and (4) improving release velocity and quality by modernizing our release management process and timing were achieved.</w:t>
      </w:r>
    </w:p>
    <w:p>
      <w:pPr>
        <w:spacing w:after="0" w:line="96"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right="40"/>
        <w:spacing w:after="0" w:line="248" w:lineRule="auto"/>
        <w:rPr>
          <w:sz w:val="20"/>
          <w:szCs w:val="20"/>
          <w:color w:val="auto"/>
        </w:rPr>
      </w:pPr>
      <w:r>
        <w:rPr>
          <w:rFonts w:ascii="Arial" w:cs="Arial" w:eastAsia="Arial" w:hAnsi="Arial"/>
          <w:sz w:val="18"/>
          <w:szCs w:val="18"/>
          <w:color w:val="auto"/>
        </w:rPr>
        <w:t>After considering this capped payout and the named executive officers’ performance for their respective business unit/staff function objectives, the Compensation Committee approved annual cash incentive payouts under the 2022 EIP in the amount of 100% of the named executive officers’ target annual cash incentive,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5651500</wp:posOffset>
            </wp:positionH>
            <wp:positionV relativeFrom="paragraph">
              <wp:posOffset>124460</wp:posOffset>
            </wp:positionV>
            <wp:extent cx="15875" cy="13265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875" cy="132651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124460</wp:posOffset>
            </wp:positionV>
            <wp:extent cx="15875" cy="13265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875" cy="1326515"/>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124460</wp:posOffset>
            </wp:positionV>
            <wp:extent cx="15875" cy="13265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875" cy="1326515"/>
                    </a:xfrm>
                    <a:prstGeom prst="rect">
                      <a:avLst/>
                    </a:prstGeom>
                    <a:noFill/>
                  </pic:spPr>
                </pic:pic>
              </a:graphicData>
            </a:graphic>
          </wp:anchor>
        </w:drawing>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60"/>
        </w:trPr>
        <w:tc>
          <w:tcPr>
            <w:tcW w:w="4060" w:type="dxa"/>
            <w:vAlign w:val="bottom"/>
            <w:shd w:val="clear" w:color="auto" w:fill="666666"/>
          </w:tcPr>
          <w:p>
            <w:pPr>
              <w:spacing w:after="0"/>
              <w:rPr>
                <w:sz w:val="22"/>
                <w:szCs w:val="22"/>
                <w:color w:val="auto"/>
              </w:rPr>
            </w:pPr>
          </w:p>
        </w:tc>
        <w:tc>
          <w:tcPr>
            <w:tcW w:w="440" w:type="dxa"/>
            <w:vAlign w:val="bottom"/>
            <w:shd w:val="clear" w:color="auto" w:fill="666666"/>
          </w:tcPr>
          <w:p>
            <w:pPr>
              <w:spacing w:after="0"/>
              <w:rPr>
                <w:sz w:val="22"/>
                <w:szCs w:val="22"/>
                <w:color w:val="auto"/>
              </w:rPr>
            </w:pPr>
          </w:p>
        </w:tc>
        <w:tc>
          <w:tcPr>
            <w:tcW w:w="1200" w:type="dxa"/>
            <w:vAlign w:val="bottom"/>
            <w:shd w:val="clear" w:color="auto" w:fill="666666"/>
          </w:tcPr>
          <w:p>
            <w:pPr>
              <w:spacing w:after="0"/>
              <w:rPr>
                <w:sz w:val="22"/>
                <w:szCs w:val="22"/>
                <w:color w:val="auto"/>
              </w:rPr>
            </w:pPr>
          </w:p>
        </w:tc>
        <w:tc>
          <w:tcPr>
            <w:tcW w:w="920" w:type="dxa"/>
            <w:vAlign w:val="bottom"/>
            <w:shd w:val="clear" w:color="auto" w:fill="666666"/>
          </w:tcPr>
          <w:p>
            <w:pPr>
              <w:spacing w:after="0"/>
              <w:rPr>
                <w:sz w:val="22"/>
                <w:szCs w:val="22"/>
                <w:color w:val="auto"/>
              </w:rPr>
            </w:pPr>
          </w:p>
        </w:tc>
        <w:tc>
          <w:tcPr>
            <w:tcW w:w="1480" w:type="dxa"/>
            <w:vAlign w:val="bottom"/>
            <w:shd w:val="clear" w:color="auto" w:fill="666666"/>
          </w:tcPr>
          <w:p>
            <w:pPr>
              <w:spacing w:after="0"/>
              <w:rPr>
                <w:sz w:val="22"/>
                <w:szCs w:val="22"/>
                <w:color w:val="auto"/>
              </w:rPr>
            </w:pPr>
          </w:p>
        </w:tc>
        <w:tc>
          <w:tcPr>
            <w:tcW w:w="1980" w:type="dxa"/>
            <w:vAlign w:val="bottom"/>
            <w:shd w:val="clear" w:color="auto" w:fill="666666"/>
          </w:tcPr>
          <w:p>
            <w:pPr>
              <w:jc w:val="center"/>
              <w:ind w:left="241"/>
              <w:spacing w:after="0"/>
              <w:rPr>
                <w:sz w:val="20"/>
                <w:szCs w:val="20"/>
                <w:color w:val="auto"/>
              </w:rPr>
            </w:pPr>
            <w:r>
              <w:rPr>
                <w:rFonts w:ascii="Arial" w:cs="Arial" w:eastAsia="Arial" w:hAnsi="Arial"/>
                <w:sz w:val="15"/>
                <w:szCs w:val="15"/>
                <w:b w:val="1"/>
                <w:bCs w:val="1"/>
                <w:color w:val="FFFFFF"/>
                <w:w w:val="98"/>
              </w:rPr>
              <w:t>2022 Actual Cash</w:t>
            </w:r>
          </w:p>
        </w:tc>
      </w:tr>
      <w:tr>
        <w:trPr>
          <w:trHeight w:val="173"/>
        </w:trPr>
        <w:tc>
          <w:tcPr>
            <w:tcW w:w="4060" w:type="dxa"/>
            <w:vAlign w:val="bottom"/>
            <w:shd w:val="clear" w:color="auto" w:fill="666666"/>
          </w:tcPr>
          <w:p>
            <w:pPr>
              <w:spacing w:after="0"/>
              <w:rPr>
                <w:sz w:val="15"/>
                <w:szCs w:val="15"/>
                <w:color w:val="auto"/>
              </w:rPr>
            </w:pPr>
          </w:p>
        </w:tc>
        <w:tc>
          <w:tcPr>
            <w:tcW w:w="440" w:type="dxa"/>
            <w:vAlign w:val="bottom"/>
            <w:shd w:val="clear" w:color="auto" w:fill="666666"/>
          </w:tcPr>
          <w:p>
            <w:pPr>
              <w:spacing w:after="0"/>
              <w:rPr>
                <w:sz w:val="15"/>
                <w:szCs w:val="15"/>
                <w:color w:val="auto"/>
              </w:rPr>
            </w:pPr>
          </w:p>
        </w:tc>
        <w:tc>
          <w:tcPr>
            <w:tcW w:w="1200" w:type="dxa"/>
            <w:vAlign w:val="bottom"/>
            <w:shd w:val="clear" w:color="auto" w:fill="666666"/>
          </w:tcPr>
          <w:p>
            <w:pPr>
              <w:jc w:val="center"/>
              <w:ind w:right="520"/>
              <w:spacing w:after="0"/>
              <w:rPr>
                <w:sz w:val="20"/>
                <w:szCs w:val="20"/>
                <w:color w:val="auto"/>
              </w:rPr>
            </w:pPr>
            <w:r>
              <w:rPr>
                <w:rFonts w:ascii="Arial" w:cs="Arial" w:eastAsia="Arial" w:hAnsi="Arial"/>
                <w:sz w:val="15"/>
                <w:szCs w:val="15"/>
                <w:b w:val="1"/>
                <w:bCs w:val="1"/>
                <w:color w:val="FFFFFF"/>
                <w:w w:val="95"/>
              </w:rPr>
              <w:t>2022</w:t>
            </w:r>
          </w:p>
        </w:tc>
        <w:tc>
          <w:tcPr>
            <w:tcW w:w="920" w:type="dxa"/>
            <w:vAlign w:val="bottom"/>
            <w:shd w:val="clear" w:color="auto" w:fill="666666"/>
          </w:tcPr>
          <w:p>
            <w:pPr>
              <w:spacing w:after="0"/>
              <w:rPr>
                <w:sz w:val="15"/>
                <w:szCs w:val="15"/>
                <w:color w:val="auto"/>
              </w:rPr>
            </w:pPr>
          </w:p>
        </w:tc>
        <w:tc>
          <w:tcPr>
            <w:tcW w:w="1480" w:type="dxa"/>
            <w:vAlign w:val="bottom"/>
            <w:shd w:val="clear" w:color="auto" w:fill="666666"/>
          </w:tcPr>
          <w:p>
            <w:pPr>
              <w:spacing w:after="0"/>
              <w:rPr>
                <w:sz w:val="15"/>
                <w:szCs w:val="15"/>
                <w:color w:val="auto"/>
              </w:rPr>
            </w:pPr>
          </w:p>
        </w:tc>
        <w:tc>
          <w:tcPr>
            <w:tcW w:w="1980" w:type="dxa"/>
            <w:vAlign w:val="bottom"/>
            <w:shd w:val="clear" w:color="auto" w:fill="666666"/>
          </w:tcPr>
          <w:p>
            <w:pPr>
              <w:jc w:val="center"/>
              <w:ind w:left="201"/>
              <w:spacing w:after="0"/>
              <w:rPr>
                <w:sz w:val="20"/>
                <w:szCs w:val="20"/>
                <w:color w:val="auto"/>
              </w:rPr>
            </w:pPr>
            <w:r>
              <w:rPr>
                <w:rFonts w:ascii="Arial" w:cs="Arial" w:eastAsia="Arial" w:hAnsi="Arial"/>
                <w:sz w:val="15"/>
                <w:szCs w:val="15"/>
                <w:b w:val="1"/>
                <w:bCs w:val="1"/>
                <w:color w:val="FFFFFF"/>
                <w:w w:val="98"/>
              </w:rPr>
              <w:t>Incentive Payment as a</w:t>
            </w:r>
          </w:p>
        </w:tc>
      </w:tr>
      <w:tr>
        <w:trPr>
          <w:trHeight w:val="173"/>
        </w:trPr>
        <w:tc>
          <w:tcPr>
            <w:tcW w:w="4060" w:type="dxa"/>
            <w:vAlign w:val="bottom"/>
            <w:shd w:val="clear" w:color="auto" w:fill="666666"/>
          </w:tcPr>
          <w:p>
            <w:pPr>
              <w:spacing w:after="0"/>
              <w:rPr>
                <w:sz w:val="15"/>
                <w:szCs w:val="15"/>
                <w:color w:val="auto"/>
              </w:rPr>
            </w:pPr>
          </w:p>
        </w:tc>
        <w:tc>
          <w:tcPr>
            <w:tcW w:w="1640" w:type="dxa"/>
            <w:vAlign w:val="bottom"/>
            <w:gridSpan w:val="2"/>
            <w:shd w:val="clear" w:color="auto" w:fill="666666"/>
          </w:tcPr>
          <w:p>
            <w:pPr>
              <w:jc w:val="center"/>
              <w:ind w:right="80"/>
              <w:spacing w:after="0"/>
              <w:rPr>
                <w:sz w:val="20"/>
                <w:szCs w:val="20"/>
                <w:color w:val="auto"/>
              </w:rPr>
            </w:pPr>
            <w:r>
              <w:rPr>
                <w:rFonts w:ascii="Arial" w:cs="Arial" w:eastAsia="Arial" w:hAnsi="Arial"/>
                <w:sz w:val="15"/>
                <w:szCs w:val="15"/>
                <w:b w:val="1"/>
                <w:bCs w:val="1"/>
                <w:color w:val="FFFFFF"/>
                <w:w w:val="98"/>
              </w:rPr>
              <w:t>Cash Incentive</w:t>
            </w:r>
          </w:p>
        </w:tc>
        <w:tc>
          <w:tcPr>
            <w:tcW w:w="2400" w:type="dxa"/>
            <w:vAlign w:val="bottom"/>
            <w:gridSpan w:val="2"/>
            <w:shd w:val="clear" w:color="auto" w:fill="666666"/>
          </w:tcPr>
          <w:p>
            <w:pPr>
              <w:ind w:left="820"/>
              <w:spacing w:after="0"/>
              <w:rPr>
                <w:sz w:val="20"/>
                <w:szCs w:val="20"/>
                <w:color w:val="auto"/>
              </w:rPr>
            </w:pPr>
            <w:r>
              <w:rPr>
                <w:rFonts w:ascii="Arial" w:cs="Arial" w:eastAsia="Arial" w:hAnsi="Arial"/>
                <w:sz w:val="15"/>
                <w:szCs w:val="15"/>
                <w:b w:val="1"/>
                <w:bCs w:val="1"/>
                <w:color w:val="FFFFFF"/>
              </w:rPr>
              <w:t>2022 Actual</w:t>
            </w:r>
          </w:p>
        </w:tc>
        <w:tc>
          <w:tcPr>
            <w:tcW w:w="1980" w:type="dxa"/>
            <w:vAlign w:val="bottom"/>
            <w:shd w:val="clear" w:color="auto" w:fill="666666"/>
          </w:tcPr>
          <w:p>
            <w:pPr>
              <w:jc w:val="center"/>
              <w:ind w:left="241"/>
              <w:spacing w:after="0"/>
              <w:rPr>
                <w:sz w:val="20"/>
                <w:szCs w:val="20"/>
                <w:color w:val="auto"/>
              </w:rPr>
            </w:pPr>
            <w:r>
              <w:rPr>
                <w:rFonts w:ascii="Arial" w:cs="Arial" w:eastAsia="Arial" w:hAnsi="Arial"/>
                <w:sz w:val="15"/>
                <w:szCs w:val="15"/>
                <w:b w:val="1"/>
                <w:bCs w:val="1"/>
                <w:color w:val="FFFFFF"/>
                <w:w w:val="98"/>
              </w:rPr>
              <w:t>Percentage of Cash</w:t>
            </w:r>
          </w:p>
        </w:tc>
      </w:tr>
      <w:tr>
        <w:trPr>
          <w:trHeight w:val="210"/>
        </w:trPr>
        <w:tc>
          <w:tcPr>
            <w:tcW w:w="4060" w:type="dxa"/>
            <w:vAlign w:val="bottom"/>
            <w:shd w:val="clear" w:color="auto" w:fill="666666"/>
          </w:tcPr>
          <w:p>
            <w:pPr>
              <w:spacing w:after="0" w:line="210" w:lineRule="exact"/>
              <w:rPr>
                <w:sz w:val="20"/>
                <w:szCs w:val="20"/>
                <w:color w:val="auto"/>
              </w:rPr>
            </w:pPr>
            <w:r>
              <w:rPr>
                <w:rFonts w:ascii="Arial" w:cs="Arial" w:eastAsia="Arial" w:hAnsi="Arial"/>
                <w:sz w:val="15"/>
                <w:szCs w:val="15"/>
                <w:b w:val="1"/>
                <w:bCs w:val="1"/>
                <w:color w:val="FFFFFF"/>
              </w:rPr>
              <w:t>Named Executive Officer</w:t>
            </w:r>
            <w:r>
              <w:rPr>
                <w:rFonts w:ascii="Arial" w:cs="Arial" w:eastAsia="Arial" w:hAnsi="Arial"/>
                <w:sz w:val="22"/>
                <w:szCs w:val="22"/>
                <w:b w:val="1"/>
                <w:bCs w:val="1"/>
                <w:color w:val="FFFFFF"/>
                <w:vertAlign w:val="superscript"/>
              </w:rPr>
              <w:t>(1)</w:t>
            </w:r>
          </w:p>
        </w:tc>
        <w:tc>
          <w:tcPr>
            <w:tcW w:w="440" w:type="dxa"/>
            <w:vAlign w:val="bottom"/>
            <w:shd w:val="clear" w:color="auto" w:fill="666666"/>
          </w:tcPr>
          <w:p>
            <w:pPr>
              <w:spacing w:after="0"/>
              <w:rPr>
                <w:sz w:val="18"/>
                <w:szCs w:val="18"/>
                <w:color w:val="auto"/>
              </w:rPr>
            </w:pPr>
          </w:p>
        </w:tc>
        <w:tc>
          <w:tcPr>
            <w:tcW w:w="1200" w:type="dxa"/>
            <w:vAlign w:val="bottom"/>
            <w:shd w:val="clear" w:color="auto" w:fill="666666"/>
          </w:tcPr>
          <w:p>
            <w:pPr>
              <w:jc w:val="center"/>
              <w:ind w:right="520"/>
              <w:spacing w:after="0"/>
              <w:rPr>
                <w:sz w:val="20"/>
                <w:szCs w:val="20"/>
                <w:color w:val="auto"/>
              </w:rPr>
            </w:pPr>
            <w:r>
              <w:rPr>
                <w:rFonts w:ascii="Arial" w:cs="Arial" w:eastAsia="Arial" w:hAnsi="Arial"/>
                <w:sz w:val="15"/>
                <w:szCs w:val="15"/>
                <w:b w:val="1"/>
                <w:bCs w:val="1"/>
                <w:color w:val="FFFFFF"/>
                <w:w w:val="95"/>
              </w:rPr>
              <w:t>Target</w:t>
            </w:r>
          </w:p>
        </w:tc>
        <w:tc>
          <w:tcPr>
            <w:tcW w:w="2400" w:type="dxa"/>
            <w:vAlign w:val="bottom"/>
            <w:gridSpan w:val="2"/>
            <w:shd w:val="clear" w:color="auto" w:fill="666666"/>
          </w:tcPr>
          <w:p>
            <w:pPr>
              <w:ind w:left="380"/>
              <w:spacing w:after="0"/>
              <w:rPr>
                <w:sz w:val="20"/>
                <w:szCs w:val="20"/>
                <w:color w:val="auto"/>
              </w:rPr>
            </w:pPr>
            <w:r>
              <w:rPr>
                <w:rFonts w:ascii="Arial" w:cs="Arial" w:eastAsia="Arial" w:hAnsi="Arial"/>
                <w:sz w:val="15"/>
                <w:szCs w:val="15"/>
                <w:b w:val="1"/>
                <w:bCs w:val="1"/>
                <w:color w:val="FFFFFF"/>
              </w:rPr>
              <w:t>Cash Incentive Payment</w:t>
            </w:r>
          </w:p>
        </w:tc>
        <w:tc>
          <w:tcPr>
            <w:tcW w:w="1980" w:type="dxa"/>
            <w:vAlign w:val="bottom"/>
            <w:shd w:val="clear" w:color="auto" w:fill="666666"/>
          </w:tcPr>
          <w:p>
            <w:pPr>
              <w:jc w:val="center"/>
              <w:ind w:left="241"/>
              <w:spacing w:after="0"/>
              <w:rPr>
                <w:sz w:val="20"/>
                <w:szCs w:val="20"/>
                <w:color w:val="auto"/>
              </w:rPr>
            </w:pPr>
            <w:r>
              <w:rPr>
                <w:rFonts w:ascii="Arial" w:cs="Arial" w:eastAsia="Arial" w:hAnsi="Arial"/>
                <w:sz w:val="15"/>
                <w:szCs w:val="15"/>
                <w:b w:val="1"/>
                <w:bCs w:val="1"/>
                <w:color w:val="FFFFFF"/>
                <w:w w:val="99"/>
              </w:rPr>
              <w:t>Incentive Target</w:t>
            </w:r>
          </w:p>
        </w:tc>
      </w:tr>
      <w:tr>
        <w:trPr>
          <w:trHeight w:val="24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Sean Menke</w:t>
            </w:r>
          </w:p>
        </w:tc>
        <w:tc>
          <w:tcPr>
            <w:tcW w:w="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380"/>
              <w:spacing w:after="0"/>
              <w:rPr>
                <w:sz w:val="20"/>
                <w:szCs w:val="20"/>
                <w:color w:val="auto"/>
              </w:rPr>
            </w:pPr>
            <w:r>
              <w:rPr>
                <w:rFonts w:ascii="Arial" w:cs="Arial" w:eastAsia="Arial" w:hAnsi="Arial"/>
                <w:sz w:val="16"/>
                <w:szCs w:val="16"/>
                <w:color w:val="auto"/>
              </w:rPr>
              <w:t>1,500,000</w:t>
            </w:r>
          </w:p>
        </w:tc>
        <w:tc>
          <w:tcPr>
            <w:tcW w:w="92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E5E5E5"/>
            </w:tcBorders>
            <w:shd w:val="clear" w:color="auto" w:fill="E5E5E5"/>
          </w:tcPr>
          <w:p>
            <w:pPr>
              <w:jc w:val="right"/>
              <w:ind w:right="658"/>
              <w:spacing w:after="0"/>
              <w:rPr>
                <w:sz w:val="20"/>
                <w:szCs w:val="20"/>
                <w:color w:val="auto"/>
              </w:rPr>
            </w:pPr>
            <w:r>
              <w:rPr>
                <w:rFonts w:ascii="Arial" w:cs="Arial" w:eastAsia="Arial" w:hAnsi="Arial"/>
                <w:sz w:val="16"/>
                <w:szCs w:val="16"/>
                <w:color w:val="auto"/>
              </w:rPr>
              <w:t>1,500,000</w:t>
            </w:r>
          </w:p>
        </w:tc>
        <w:tc>
          <w:tcPr>
            <w:tcW w:w="1980" w:type="dxa"/>
            <w:vAlign w:val="bottom"/>
            <w:tcBorders>
              <w:bottom w:val="single" w:sz="8" w:color="E5E5E5"/>
            </w:tcBorders>
            <w:shd w:val="clear" w:color="auto" w:fill="E5E5E5"/>
          </w:tcPr>
          <w:p>
            <w:pPr>
              <w:jc w:val="center"/>
              <w:ind w:left="241"/>
              <w:spacing w:after="0"/>
              <w:rPr>
                <w:sz w:val="20"/>
                <w:szCs w:val="20"/>
                <w:color w:val="auto"/>
              </w:rPr>
            </w:pPr>
            <w:r>
              <w:rPr>
                <w:rFonts w:ascii="Arial" w:cs="Arial" w:eastAsia="Arial" w:hAnsi="Arial"/>
                <w:sz w:val="16"/>
                <w:szCs w:val="16"/>
                <w:color w:val="auto"/>
              </w:rPr>
              <w:t>100%</w:t>
            </w:r>
          </w:p>
        </w:tc>
      </w:tr>
      <w:tr>
        <w:trPr>
          <w:trHeight w:val="225"/>
        </w:trPr>
        <w:tc>
          <w:tcPr>
            <w:tcW w:w="4060" w:type="dxa"/>
            <w:vAlign w:val="bottom"/>
          </w:tcPr>
          <w:p>
            <w:pPr>
              <w:ind w:left="60"/>
              <w:spacing w:after="0"/>
              <w:rPr>
                <w:sz w:val="20"/>
                <w:szCs w:val="20"/>
                <w:color w:val="auto"/>
              </w:rPr>
            </w:pPr>
            <w:r>
              <w:rPr>
                <w:rFonts w:ascii="Arial" w:cs="Arial" w:eastAsia="Arial" w:hAnsi="Arial"/>
                <w:sz w:val="16"/>
                <w:szCs w:val="16"/>
                <w:color w:val="auto"/>
              </w:rPr>
              <w:t>Michael Randolfi</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80"/>
              <w:spacing w:after="0"/>
              <w:rPr>
                <w:sz w:val="20"/>
                <w:szCs w:val="20"/>
                <w:color w:val="auto"/>
              </w:rPr>
            </w:pPr>
            <w:r>
              <w:rPr>
                <w:rFonts w:ascii="Arial" w:cs="Arial" w:eastAsia="Arial" w:hAnsi="Arial"/>
                <w:sz w:val="16"/>
                <w:szCs w:val="16"/>
                <w:color w:val="auto"/>
              </w:rPr>
              <w:t>211,562</w:t>
            </w:r>
          </w:p>
        </w:tc>
        <w:tc>
          <w:tcPr>
            <w:tcW w:w="920" w:type="dxa"/>
            <w:vAlign w:val="bottom"/>
          </w:tcPr>
          <w:p>
            <w:pPr>
              <w:ind w:left="84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658"/>
              <w:spacing w:after="0"/>
              <w:rPr>
                <w:sz w:val="20"/>
                <w:szCs w:val="20"/>
                <w:color w:val="auto"/>
              </w:rPr>
            </w:pPr>
            <w:r>
              <w:rPr>
                <w:rFonts w:ascii="Arial" w:cs="Arial" w:eastAsia="Arial" w:hAnsi="Arial"/>
                <w:sz w:val="16"/>
                <w:szCs w:val="16"/>
                <w:color w:val="auto"/>
              </w:rPr>
              <w:t>211,562</w:t>
            </w:r>
          </w:p>
        </w:tc>
        <w:tc>
          <w:tcPr>
            <w:tcW w:w="1980" w:type="dxa"/>
            <w:vAlign w:val="bottom"/>
          </w:tcPr>
          <w:p>
            <w:pPr>
              <w:jc w:val="center"/>
              <w:ind w:left="241"/>
              <w:spacing w:after="0"/>
              <w:rPr>
                <w:sz w:val="20"/>
                <w:szCs w:val="20"/>
                <w:color w:val="auto"/>
              </w:rPr>
            </w:pPr>
            <w:r>
              <w:rPr>
                <w:rFonts w:ascii="Arial" w:cs="Arial" w:eastAsia="Arial" w:hAnsi="Arial"/>
                <w:sz w:val="16"/>
                <w:szCs w:val="16"/>
                <w:color w:val="auto"/>
              </w:rPr>
              <w:t>100%</w:t>
            </w:r>
          </w:p>
        </w:tc>
      </w:tr>
      <w:tr>
        <w:trPr>
          <w:trHeight w:val="35"/>
        </w:trPr>
        <w:tc>
          <w:tcPr>
            <w:tcW w:w="4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4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Kurt Ekert</w:t>
            </w:r>
          </w:p>
        </w:tc>
        <w:tc>
          <w:tcPr>
            <w:tcW w:w="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380"/>
              <w:spacing w:after="0"/>
              <w:rPr>
                <w:sz w:val="20"/>
                <w:szCs w:val="20"/>
                <w:color w:val="auto"/>
              </w:rPr>
            </w:pPr>
            <w:r>
              <w:rPr>
                <w:rFonts w:ascii="Arial" w:cs="Arial" w:eastAsia="Arial" w:hAnsi="Arial"/>
                <w:sz w:val="16"/>
                <w:szCs w:val="16"/>
                <w:color w:val="auto"/>
              </w:rPr>
              <w:t>932,363</w:t>
            </w:r>
          </w:p>
        </w:tc>
        <w:tc>
          <w:tcPr>
            <w:tcW w:w="92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E5E5E5"/>
            </w:tcBorders>
            <w:shd w:val="clear" w:color="auto" w:fill="E5E5E5"/>
          </w:tcPr>
          <w:p>
            <w:pPr>
              <w:jc w:val="right"/>
              <w:ind w:right="658"/>
              <w:spacing w:after="0"/>
              <w:rPr>
                <w:sz w:val="20"/>
                <w:szCs w:val="20"/>
                <w:color w:val="auto"/>
              </w:rPr>
            </w:pPr>
            <w:r>
              <w:rPr>
                <w:rFonts w:ascii="Arial" w:cs="Arial" w:eastAsia="Arial" w:hAnsi="Arial"/>
                <w:sz w:val="16"/>
                <w:szCs w:val="16"/>
                <w:color w:val="auto"/>
              </w:rPr>
              <w:t>932,363</w:t>
            </w:r>
          </w:p>
        </w:tc>
        <w:tc>
          <w:tcPr>
            <w:tcW w:w="1980" w:type="dxa"/>
            <w:vAlign w:val="bottom"/>
            <w:tcBorders>
              <w:bottom w:val="single" w:sz="8" w:color="E5E5E5"/>
            </w:tcBorders>
            <w:shd w:val="clear" w:color="auto" w:fill="E5E5E5"/>
          </w:tcPr>
          <w:p>
            <w:pPr>
              <w:jc w:val="center"/>
              <w:ind w:left="241"/>
              <w:spacing w:after="0"/>
              <w:rPr>
                <w:sz w:val="20"/>
                <w:szCs w:val="20"/>
                <w:color w:val="auto"/>
              </w:rPr>
            </w:pPr>
            <w:r>
              <w:rPr>
                <w:rFonts w:ascii="Arial" w:cs="Arial" w:eastAsia="Arial" w:hAnsi="Arial"/>
                <w:sz w:val="16"/>
                <w:szCs w:val="16"/>
                <w:color w:val="auto"/>
              </w:rPr>
              <w:t>100%</w:t>
            </w:r>
          </w:p>
        </w:tc>
      </w:tr>
      <w:tr>
        <w:trPr>
          <w:trHeight w:val="225"/>
        </w:trPr>
        <w:tc>
          <w:tcPr>
            <w:tcW w:w="4060" w:type="dxa"/>
            <w:vAlign w:val="bottom"/>
          </w:tcPr>
          <w:p>
            <w:pPr>
              <w:ind w:left="60"/>
              <w:spacing w:after="0"/>
              <w:rPr>
                <w:sz w:val="20"/>
                <w:szCs w:val="20"/>
                <w:color w:val="auto"/>
              </w:rPr>
            </w:pPr>
            <w:r>
              <w:rPr>
                <w:rFonts w:ascii="Arial" w:cs="Arial" w:eastAsia="Arial" w:hAnsi="Arial"/>
                <w:sz w:val="16"/>
                <w:szCs w:val="16"/>
                <w:color w:val="auto"/>
              </w:rPr>
              <w:t>David Moore</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80"/>
              <w:spacing w:after="0"/>
              <w:rPr>
                <w:sz w:val="20"/>
                <w:szCs w:val="20"/>
                <w:color w:val="auto"/>
              </w:rPr>
            </w:pPr>
            <w:r>
              <w:rPr>
                <w:rFonts w:ascii="Arial" w:cs="Arial" w:eastAsia="Arial" w:hAnsi="Arial"/>
                <w:sz w:val="16"/>
                <w:szCs w:val="16"/>
                <w:color w:val="auto"/>
              </w:rPr>
              <w:t>470,365</w:t>
            </w:r>
          </w:p>
        </w:tc>
        <w:tc>
          <w:tcPr>
            <w:tcW w:w="920" w:type="dxa"/>
            <w:vAlign w:val="bottom"/>
          </w:tcPr>
          <w:p>
            <w:pPr>
              <w:ind w:left="84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658"/>
              <w:spacing w:after="0"/>
              <w:rPr>
                <w:sz w:val="20"/>
                <w:szCs w:val="20"/>
                <w:color w:val="auto"/>
              </w:rPr>
            </w:pPr>
            <w:r>
              <w:rPr>
                <w:rFonts w:ascii="Arial" w:cs="Arial" w:eastAsia="Arial" w:hAnsi="Arial"/>
                <w:sz w:val="16"/>
                <w:szCs w:val="16"/>
                <w:color w:val="auto"/>
              </w:rPr>
              <w:t>470,365</w:t>
            </w:r>
          </w:p>
        </w:tc>
        <w:tc>
          <w:tcPr>
            <w:tcW w:w="1980" w:type="dxa"/>
            <w:vAlign w:val="bottom"/>
          </w:tcPr>
          <w:p>
            <w:pPr>
              <w:jc w:val="center"/>
              <w:ind w:left="241"/>
              <w:spacing w:after="0"/>
              <w:rPr>
                <w:sz w:val="20"/>
                <w:szCs w:val="20"/>
                <w:color w:val="auto"/>
              </w:rPr>
            </w:pPr>
            <w:r>
              <w:rPr>
                <w:rFonts w:ascii="Arial" w:cs="Arial" w:eastAsia="Arial" w:hAnsi="Arial"/>
                <w:sz w:val="16"/>
                <w:szCs w:val="16"/>
                <w:color w:val="auto"/>
              </w:rPr>
              <w:t>100%</w:t>
            </w:r>
          </w:p>
        </w:tc>
      </w:tr>
      <w:tr>
        <w:trPr>
          <w:trHeight w:val="35"/>
        </w:trPr>
        <w:tc>
          <w:tcPr>
            <w:tcW w:w="4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35"/>
        </w:trPr>
        <w:tc>
          <w:tcPr>
            <w:tcW w:w="4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Scott Wilson</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auto"/>
              </w:rPr>
              <w:t>488,115</w:t>
            </w:r>
          </w:p>
        </w:tc>
        <w:tc>
          <w:tcPr>
            <w:tcW w:w="920" w:type="dxa"/>
            <w:vAlign w:val="bottom"/>
            <w:shd w:val="clear" w:color="auto" w:fill="E5E5E5"/>
          </w:tcPr>
          <w:p>
            <w:pPr>
              <w:ind w:left="84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5E5E5"/>
          </w:tcPr>
          <w:p>
            <w:pPr>
              <w:jc w:val="right"/>
              <w:ind w:right="658"/>
              <w:spacing w:after="0"/>
              <w:rPr>
                <w:sz w:val="20"/>
                <w:szCs w:val="20"/>
                <w:color w:val="auto"/>
              </w:rPr>
            </w:pPr>
            <w:r>
              <w:rPr>
                <w:rFonts w:ascii="Arial" w:cs="Arial" w:eastAsia="Arial" w:hAnsi="Arial"/>
                <w:sz w:val="16"/>
                <w:szCs w:val="16"/>
                <w:color w:val="auto"/>
              </w:rPr>
              <w:t>488,115</w:t>
            </w:r>
          </w:p>
        </w:tc>
        <w:tc>
          <w:tcPr>
            <w:tcW w:w="1980" w:type="dxa"/>
            <w:vAlign w:val="bottom"/>
            <w:shd w:val="clear" w:color="auto" w:fill="E5E5E5"/>
          </w:tcPr>
          <w:p>
            <w:pPr>
              <w:jc w:val="center"/>
              <w:ind w:left="241"/>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53" w:lineRule="exact"/>
        <w:rPr>
          <w:sz w:val="20"/>
          <w:szCs w:val="20"/>
          <w:color w:val="auto"/>
        </w:rPr>
      </w:pPr>
    </w:p>
    <w:p>
      <w:pPr>
        <w:ind w:left="980" w:right="120" w:hanging="400"/>
        <w:spacing w:after="0" w:line="273" w:lineRule="auto"/>
        <w:tabs>
          <w:tab w:leader="none" w:pos="9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Mr. Randolfi’s 2022 cash incentive target is prorated for his service in 2022. Messrs. Barnett, Jones, and Tanyel were not paid a 2022 annual cash incentive as a result of their departure from Sabre.</w:t>
      </w:r>
    </w:p>
    <w:p>
      <w:pPr>
        <w:spacing w:after="0" w:line="143" w:lineRule="exact"/>
        <w:rPr>
          <w:sz w:val="20"/>
          <w:szCs w:val="20"/>
          <w:color w:val="auto"/>
        </w:rPr>
      </w:pPr>
    </w:p>
    <w:p>
      <w:pPr>
        <w:ind w:left="580" w:right="60"/>
        <w:spacing w:after="0" w:line="267" w:lineRule="auto"/>
        <w:rPr>
          <w:sz w:val="20"/>
          <w:szCs w:val="20"/>
          <w:color w:val="auto"/>
        </w:rPr>
      </w:pPr>
      <w:r>
        <w:rPr>
          <w:rFonts w:ascii="Arial" w:cs="Arial" w:eastAsia="Arial" w:hAnsi="Arial"/>
          <w:sz w:val="18"/>
          <w:szCs w:val="18"/>
          <w:color w:val="auto"/>
        </w:rPr>
        <w:t>The cash incentives actually paid to our named executive officers for 2022 are included in the “2022 Summary Compensation Table” below.</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Long-Term Incentive Compensation</w:t>
      </w:r>
    </w:p>
    <w:p>
      <w:pPr>
        <w:spacing w:after="0" w:line="88" w:lineRule="exact"/>
        <w:rPr>
          <w:sz w:val="20"/>
          <w:szCs w:val="20"/>
          <w:color w:val="auto"/>
        </w:rPr>
      </w:pPr>
    </w:p>
    <w:p>
      <w:pPr>
        <w:ind w:left="580" w:right="260"/>
        <w:spacing w:after="0" w:line="242" w:lineRule="auto"/>
        <w:rPr>
          <w:sz w:val="20"/>
          <w:szCs w:val="20"/>
          <w:color w:val="auto"/>
        </w:rPr>
      </w:pPr>
      <w:r>
        <w:rPr>
          <w:rFonts w:ascii="Arial" w:cs="Arial" w:eastAsia="Arial" w:hAnsi="Arial"/>
          <w:sz w:val="18"/>
          <w:szCs w:val="18"/>
          <w:color w:val="auto"/>
        </w:rPr>
        <w:t>We have used long-term incentive compensation in the form of equity awards as the principal element of our executive compensation program to help align the financial interests of our executive officers, including our named executive officers, with those of our stockholders. We also have sought to retain top executive talent and drive long-term stockholder value creation through the use of equity-based long-term incentive compensation.</w:t>
      </w:r>
    </w:p>
    <w:p>
      <w:pPr>
        <w:spacing w:after="0" w:line="154" w:lineRule="exact"/>
        <w:rPr>
          <w:sz w:val="20"/>
          <w:szCs w:val="20"/>
          <w:color w:val="auto"/>
        </w:rPr>
      </w:pPr>
    </w:p>
    <w:p>
      <w:pPr>
        <w:ind w:left="580" w:right="40"/>
        <w:spacing w:after="0" w:line="236" w:lineRule="auto"/>
        <w:rPr>
          <w:sz w:val="20"/>
          <w:szCs w:val="20"/>
          <w:color w:val="auto"/>
        </w:rPr>
      </w:pPr>
      <w:r>
        <w:rPr>
          <w:rFonts w:ascii="Arial" w:cs="Arial" w:eastAsia="Arial" w:hAnsi="Arial"/>
          <w:sz w:val="18"/>
          <w:szCs w:val="18"/>
          <w:color w:val="auto"/>
        </w:rPr>
        <w:t>In determining the value of the long-term incentive compensation opportunities for our executive officers, including our named executive officers, the Compensation Committee considers several factors, including our financial performance, the executive officer’s contribution towards meeting our financial objectives, his or her qualifications, knowledge, experience, tenure, and scope of responsibilities, his or her past performance as against individual goals, his or her future potential, the recommendation of our CEO (with respect to our other executive officers), his or her current equity position (including the value of any unvested equity awards), competitive market data and practices, our desired compensation position with respect to the competitive market, internal equity, and external factors.</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2022 Equity Awards</w:t>
      </w:r>
    </w:p>
    <w:p>
      <w:pPr>
        <w:spacing w:after="0" w:line="90" w:lineRule="exact"/>
        <w:rPr>
          <w:sz w:val="20"/>
          <w:szCs w:val="20"/>
          <w:color w:val="auto"/>
        </w:rPr>
      </w:pPr>
    </w:p>
    <w:p>
      <w:pPr>
        <w:ind w:left="580" w:right="100"/>
        <w:spacing w:after="0" w:line="239" w:lineRule="auto"/>
        <w:rPr>
          <w:sz w:val="20"/>
          <w:szCs w:val="20"/>
          <w:color w:val="auto"/>
        </w:rPr>
      </w:pPr>
      <w:r>
        <w:rPr>
          <w:rFonts w:ascii="Arial" w:cs="Arial" w:eastAsia="Arial" w:hAnsi="Arial"/>
          <w:sz w:val="18"/>
          <w:szCs w:val="18"/>
          <w:color w:val="auto"/>
        </w:rPr>
        <w:t>The Compensation Committee approved equity awards in the form of PSUs to our named executive officers, which were granted on March 15, 2022. For 2022, the Compensation Committee set the long-term incentive compensation award value for each named executive officer, with the size of the award value based on the factors discussed above. This award value was then divided into two separate grants consisting of a PSU award and a RSU award for an equal number of shares of our common stock.</w:t>
      </w:r>
    </w:p>
    <w:p>
      <w:pPr>
        <w:spacing w:after="0" w:line="95"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68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annual equity awards granted in March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149225</wp:posOffset>
            </wp:positionV>
            <wp:extent cx="15875" cy="15386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875" cy="153860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149225</wp:posOffset>
            </wp:positionV>
            <wp:extent cx="15875" cy="15386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875" cy="153860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149225</wp:posOffset>
            </wp:positionV>
            <wp:extent cx="15875" cy="15386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875" cy="1538605"/>
                    </a:xfrm>
                    <a:prstGeom prst="rect">
                      <a:avLst/>
                    </a:prstGeom>
                    <a:noFill/>
                  </pic:spPr>
                </pic:pic>
              </a:graphicData>
            </a:graphic>
          </wp:anchor>
        </w:drawing>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260"/>
        </w:trPr>
        <w:tc>
          <w:tcPr>
            <w:tcW w:w="5760" w:type="dxa"/>
            <w:vAlign w:val="bottom"/>
            <w:shd w:val="clear" w:color="auto" w:fill="666666"/>
          </w:tcPr>
          <w:p>
            <w:pPr>
              <w:spacing w:after="0"/>
              <w:rPr>
                <w:sz w:val="22"/>
                <w:szCs w:val="22"/>
                <w:color w:val="auto"/>
              </w:rPr>
            </w:pPr>
          </w:p>
        </w:tc>
        <w:tc>
          <w:tcPr>
            <w:tcW w:w="1440" w:type="dxa"/>
            <w:vAlign w:val="bottom"/>
            <w:shd w:val="clear" w:color="auto" w:fill="666666"/>
          </w:tcPr>
          <w:p>
            <w:pPr>
              <w:ind w:left="360"/>
              <w:spacing w:after="0"/>
              <w:rPr>
                <w:sz w:val="20"/>
                <w:szCs w:val="20"/>
                <w:color w:val="auto"/>
              </w:rPr>
            </w:pPr>
            <w:r>
              <w:rPr>
                <w:rFonts w:ascii="Arial" w:cs="Arial" w:eastAsia="Arial" w:hAnsi="Arial"/>
                <w:sz w:val="15"/>
                <w:szCs w:val="15"/>
                <w:b w:val="1"/>
                <w:bCs w:val="1"/>
                <w:color w:val="FFFFFF"/>
              </w:rPr>
              <w:t>March 2022</w:t>
            </w:r>
          </w:p>
        </w:tc>
        <w:tc>
          <w:tcPr>
            <w:tcW w:w="1480" w:type="dxa"/>
            <w:vAlign w:val="bottom"/>
            <w:gridSpan w:val="2"/>
            <w:shd w:val="clear" w:color="auto" w:fill="666666"/>
          </w:tcPr>
          <w:p>
            <w:pPr>
              <w:ind w:left="360"/>
              <w:spacing w:after="0"/>
              <w:rPr>
                <w:sz w:val="20"/>
                <w:szCs w:val="20"/>
                <w:color w:val="auto"/>
              </w:rPr>
            </w:pPr>
            <w:r>
              <w:rPr>
                <w:rFonts w:ascii="Arial" w:cs="Arial" w:eastAsia="Arial" w:hAnsi="Arial"/>
                <w:sz w:val="15"/>
                <w:szCs w:val="15"/>
                <w:b w:val="1"/>
                <w:bCs w:val="1"/>
                <w:color w:val="FFFFFF"/>
              </w:rPr>
              <w:t>March 2022</w:t>
            </w:r>
          </w:p>
        </w:tc>
        <w:tc>
          <w:tcPr>
            <w:tcW w:w="1400" w:type="dxa"/>
            <w:vAlign w:val="bottom"/>
            <w:gridSpan w:val="2"/>
            <w:shd w:val="clear" w:color="auto" w:fill="666666"/>
          </w:tcPr>
          <w:p>
            <w:pPr>
              <w:ind w:left="340"/>
              <w:spacing w:after="0"/>
              <w:rPr>
                <w:sz w:val="20"/>
                <w:szCs w:val="20"/>
                <w:color w:val="auto"/>
              </w:rPr>
            </w:pPr>
            <w:r>
              <w:rPr>
                <w:rFonts w:ascii="Arial" w:cs="Arial" w:eastAsia="Arial" w:hAnsi="Arial"/>
                <w:sz w:val="15"/>
                <w:szCs w:val="15"/>
                <w:b w:val="1"/>
                <w:bCs w:val="1"/>
                <w:color w:val="FFFFFF"/>
              </w:rPr>
              <w:t>March 2022</w:t>
            </w:r>
          </w:p>
        </w:tc>
      </w:tr>
      <w:tr>
        <w:trPr>
          <w:trHeight w:val="173"/>
        </w:trPr>
        <w:tc>
          <w:tcPr>
            <w:tcW w:w="5760" w:type="dxa"/>
            <w:vAlign w:val="bottom"/>
            <w:shd w:val="clear" w:color="auto" w:fill="666666"/>
          </w:tcPr>
          <w:p>
            <w:pPr>
              <w:spacing w:after="0"/>
              <w:rPr>
                <w:sz w:val="15"/>
                <w:szCs w:val="15"/>
                <w:color w:val="auto"/>
              </w:rPr>
            </w:pPr>
          </w:p>
        </w:tc>
        <w:tc>
          <w:tcPr>
            <w:tcW w:w="144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5"/>
              </w:rPr>
              <w:t>Equity</w:t>
            </w:r>
          </w:p>
        </w:tc>
        <w:tc>
          <w:tcPr>
            <w:tcW w:w="1480" w:type="dxa"/>
            <w:vAlign w:val="bottom"/>
            <w:gridSpan w:val="2"/>
            <w:shd w:val="clear" w:color="auto" w:fill="666666"/>
          </w:tcPr>
          <w:p>
            <w:pPr>
              <w:ind w:left="220"/>
              <w:spacing w:after="0"/>
              <w:rPr>
                <w:sz w:val="20"/>
                <w:szCs w:val="20"/>
                <w:color w:val="auto"/>
              </w:rPr>
            </w:pPr>
            <w:r>
              <w:rPr>
                <w:rFonts w:ascii="Arial" w:cs="Arial" w:eastAsia="Arial" w:hAnsi="Arial"/>
                <w:sz w:val="15"/>
                <w:szCs w:val="15"/>
                <w:b w:val="1"/>
                <w:bCs w:val="1"/>
                <w:color w:val="FFFFFF"/>
              </w:rPr>
              <w:t>Amount of PSU</w:t>
            </w:r>
          </w:p>
        </w:tc>
        <w:tc>
          <w:tcPr>
            <w:tcW w:w="1400" w:type="dxa"/>
            <w:vAlign w:val="bottom"/>
            <w:gridSpan w:val="2"/>
            <w:shd w:val="clear" w:color="auto" w:fill="666666"/>
          </w:tcPr>
          <w:p>
            <w:pPr>
              <w:ind w:left="180"/>
              <w:spacing w:after="0"/>
              <w:rPr>
                <w:sz w:val="20"/>
                <w:szCs w:val="20"/>
                <w:color w:val="auto"/>
              </w:rPr>
            </w:pPr>
            <w:r>
              <w:rPr>
                <w:rFonts w:ascii="Arial" w:cs="Arial" w:eastAsia="Arial" w:hAnsi="Arial"/>
                <w:sz w:val="15"/>
                <w:szCs w:val="15"/>
                <w:b w:val="1"/>
                <w:bCs w:val="1"/>
                <w:color w:val="FFFFFF"/>
              </w:rPr>
              <w:t>Amount of RSU</w:t>
            </w:r>
          </w:p>
        </w:tc>
      </w:tr>
      <w:tr>
        <w:trPr>
          <w:trHeight w:val="198"/>
        </w:trPr>
        <w:tc>
          <w:tcPr>
            <w:tcW w:w="5760" w:type="dxa"/>
            <w:vAlign w:val="bottom"/>
            <w:shd w:val="clear" w:color="auto" w:fill="666666"/>
          </w:tcPr>
          <w:p>
            <w:pPr>
              <w:spacing w:after="0" w:line="198" w:lineRule="exact"/>
              <w:rPr>
                <w:sz w:val="20"/>
                <w:szCs w:val="20"/>
                <w:color w:val="auto"/>
              </w:rPr>
            </w:pPr>
            <w:r>
              <w:rPr>
                <w:rFonts w:ascii="Arial" w:cs="Arial" w:eastAsia="Arial" w:hAnsi="Arial"/>
                <w:sz w:val="15"/>
                <w:szCs w:val="15"/>
                <w:b w:val="1"/>
                <w:bCs w:val="1"/>
                <w:color w:val="FFFFFF"/>
              </w:rPr>
              <w:t>Named Executive Officer</w:t>
            </w:r>
            <w:r>
              <w:rPr>
                <w:rFonts w:ascii="Arial" w:cs="Arial" w:eastAsia="Arial" w:hAnsi="Arial"/>
                <w:sz w:val="22"/>
                <w:szCs w:val="22"/>
                <w:b w:val="1"/>
                <w:bCs w:val="1"/>
                <w:color w:val="FFFFFF"/>
                <w:vertAlign w:val="superscript"/>
              </w:rPr>
              <w:t>(1)</w:t>
            </w:r>
          </w:p>
        </w:tc>
        <w:tc>
          <w:tcPr>
            <w:tcW w:w="144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Award Value</w:t>
            </w:r>
          </w:p>
        </w:tc>
        <w:tc>
          <w:tcPr>
            <w:tcW w:w="460" w:type="dxa"/>
            <w:vAlign w:val="bottom"/>
            <w:shd w:val="clear" w:color="auto" w:fill="666666"/>
          </w:tcPr>
          <w:p>
            <w:pPr>
              <w:spacing w:after="0"/>
              <w:rPr>
                <w:sz w:val="17"/>
                <w:szCs w:val="17"/>
                <w:color w:val="auto"/>
              </w:rPr>
            </w:pPr>
          </w:p>
        </w:tc>
        <w:tc>
          <w:tcPr>
            <w:tcW w:w="1020" w:type="dxa"/>
            <w:vAlign w:val="bottom"/>
            <w:shd w:val="clear" w:color="auto" w:fill="666666"/>
          </w:tcPr>
          <w:p>
            <w:pPr>
              <w:jc w:val="right"/>
              <w:ind w:right="399"/>
              <w:spacing w:after="0"/>
              <w:rPr>
                <w:sz w:val="20"/>
                <w:szCs w:val="20"/>
                <w:color w:val="auto"/>
              </w:rPr>
            </w:pPr>
            <w:r>
              <w:rPr>
                <w:rFonts w:ascii="Arial" w:cs="Arial" w:eastAsia="Arial" w:hAnsi="Arial"/>
                <w:sz w:val="15"/>
                <w:szCs w:val="15"/>
                <w:b w:val="1"/>
                <w:bCs w:val="1"/>
                <w:color w:val="FFFFFF"/>
              </w:rPr>
              <w:t>Award</w:t>
            </w:r>
          </w:p>
        </w:tc>
        <w:tc>
          <w:tcPr>
            <w:tcW w:w="440" w:type="dxa"/>
            <w:vAlign w:val="bottom"/>
            <w:shd w:val="clear" w:color="auto" w:fill="666666"/>
          </w:tcPr>
          <w:p>
            <w:pPr>
              <w:spacing w:after="0"/>
              <w:rPr>
                <w:sz w:val="17"/>
                <w:szCs w:val="17"/>
                <w:color w:val="auto"/>
              </w:rPr>
            </w:pPr>
          </w:p>
        </w:tc>
        <w:tc>
          <w:tcPr>
            <w:tcW w:w="960" w:type="dxa"/>
            <w:vAlign w:val="bottom"/>
            <w:shd w:val="clear" w:color="auto" w:fill="666666"/>
          </w:tcPr>
          <w:p>
            <w:pPr>
              <w:jc w:val="right"/>
              <w:ind w:right="359"/>
              <w:spacing w:after="0"/>
              <w:rPr>
                <w:sz w:val="20"/>
                <w:szCs w:val="20"/>
                <w:color w:val="auto"/>
              </w:rPr>
            </w:pPr>
            <w:r>
              <w:rPr>
                <w:rFonts w:ascii="Arial" w:cs="Arial" w:eastAsia="Arial" w:hAnsi="Arial"/>
                <w:sz w:val="15"/>
                <w:szCs w:val="15"/>
                <w:b w:val="1"/>
                <w:bCs w:val="1"/>
                <w:color w:val="FFFFFF"/>
              </w:rPr>
              <w:t>Award</w:t>
            </w:r>
          </w:p>
        </w:tc>
      </w:tr>
      <w:tr>
        <w:trPr>
          <w:trHeight w:val="240"/>
        </w:trPr>
        <w:tc>
          <w:tcPr>
            <w:tcW w:w="5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Sean Menke</w:t>
            </w:r>
          </w:p>
        </w:tc>
        <w:tc>
          <w:tcPr>
            <w:tcW w:w="1440" w:type="dxa"/>
            <w:vAlign w:val="bottom"/>
            <w:tcBorders>
              <w:bottom w:val="single" w:sz="8" w:color="E5E5E5"/>
            </w:tcBorders>
            <w:shd w:val="clear" w:color="auto" w:fill="E5E5E5"/>
          </w:tcPr>
          <w:p>
            <w:pPr>
              <w:jc w:val="center"/>
              <w:ind w:left="40"/>
              <w:spacing w:after="0"/>
              <w:rPr>
                <w:sz w:val="20"/>
                <w:szCs w:val="20"/>
                <w:color w:val="auto"/>
              </w:rPr>
            </w:pPr>
            <w:r>
              <w:rPr>
                <w:rFonts w:ascii="Arial" w:cs="Arial" w:eastAsia="Arial" w:hAnsi="Arial"/>
                <w:sz w:val="16"/>
                <w:szCs w:val="16"/>
                <w:color w:val="auto"/>
              </w:rPr>
              <w:t>$7,000,000</w:t>
            </w:r>
          </w:p>
        </w:tc>
        <w:tc>
          <w:tcPr>
            <w:tcW w:w="46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E5E5E5"/>
            </w:tcBorders>
            <w:shd w:val="clear" w:color="auto" w:fill="E5E5E5"/>
          </w:tcPr>
          <w:p>
            <w:pPr>
              <w:jc w:val="right"/>
              <w:ind w:right="199"/>
              <w:spacing w:after="0"/>
              <w:rPr>
                <w:sz w:val="20"/>
                <w:szCs w:val="20"/>
                <w:color w:val="auto"/>
              </w:rPr>
            </w:pPr>
            <w:r>
              <w:rPr>
                <w:rFonts w:ascii="Arial" w:cs="Arial" w:eastAsia="Arial" w:hAnsi="Arial"/>
                <w:sz w:val="16"/>
                <w:szCs w:val="16"/>
                <w:color w:val="auto"/>
              </w:rPr>
              <w:t>3,500,000</w:t>
            </w:r>
          </w:p>
        </w:tc>
        <w:tc>
          <w:tcPr>
            <w:tcW w:w="440" w:type="dxa"/>
            <w:vAlign w:val="bottom"/>
            <w:tcBorders>
              <w:bottom w:val="single" w:sz="8" w:color="E5E5E5"/>
            </w:tcBorders>
            <w:shd w:val="clear" w:color="auto" w:fill="E5E5E5"/>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w w:val="98"/>
              </w:rPr>
              <w:t>3,500,000</w:t>
            </w:r>
          </w:p>
        </w:tc>
      </w:tr>
      <w:tr>
        <w:trPr>
          <w:trHeight w:val="225"/>
        </w:trPr>
        <w:tc>
          <w:tcPr>
            <w:tcW w:w="5760" w:type="dxa"/>
            <w:vAlign w:val="bottom"/>
          </w:tcPr>
          <w:p>
            <w:pPr>
              <w:ind w:left="60"/>
              <w:spacing w:after="0"/>
              <w:rPr>
                <w:sz w:val="20"/>
                <w:szCs w:val="20"/>
                <w:color w:val="auto"/>
              </w:rPr>
            </w:pPr>
            <w:r>
              <w:rPr>
                <w:rFonts w:ascii="Arial" w:cs="Arial" w:eastAsia="Arial" w:hAnsi="Arial"/>
                <w:sz w:val="16"/>
                <w:szCs w:val="16"/>
                <w:color w:val="auto"/>
              </w:rPr>
              <w:t>Kurt Ekert</w:t>
            </w:r>
          </w:p>
        </w:tc>
        <w:tc>
          <w:tcPr>
            <w:tcW w:w="1440" w:type="dxa"/>
            <w:vAlign w:val="bottom"/>
          </w:tcPr>
          <w:p>
            <w:pPr>
              <w:jc w:val="center"/>
              <w:ind w:left="40"/>
              <w:spacing w:after="0"/>
              <w:rPr>
                <w:sz w:val="20"/>
                <w:szCs w:val="20"/>
                <w:color w:val="auto"/>
              </w:rPr>
            </w:pPr>
            <w:r>
              <w:rPr>
                <w:rFonts w:ascii="Arial" w:cs="Arial" w:eastAsia="Arial" w:hAnsi="Arial"/>
                <w:sz w:val="16"/>
                <w:szCs w:val="16"/>
                <w:color w:val="auto"/>
              </w:rPr>
              <w:t>$3,000,000</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1,500,000</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w w:val="98"/>
              </w:rPr>
              <w:t>1,500,000</w:t>
            </w:r>
          </w:p>
        </w:tc>
      </w:tr>
      <w:tr>
        <w:trPr>
          <w:trHeight w:val="35"/>
        </w:trPr>
        <w:tc>
          <w:tcPr>
            <w:tcW w:w="5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0"/>
        </w:trPr>
        <w:tc>
          <w:tcPr>
            <w:tcW w:w="5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David Moore</w:t>
            </w:r>
          </w:p>
        </w:tc>
        <w:tc>
          <w:tcPr>
            <w:tcW w:w="1440" w:type="dxa"/>
            <w:vAlign w:val="bottom"/>
            <w:tcBorders>
              <w:bottom w:val="single" w:sz="8" w:color="E5E5E5"/>
            </w:tcBorders>
            <w:shd w:val="clear" w:color="auto" w:fill="E5E5E5"/>
          </w:tcPr>
          <w:p>
            <w:pPr>
              <w:jc w:val="center"/>
              <w:ind w:left="40"/>
              <w:spacing w:after="0"/>
              <w:rPr>
                <w:sz w:val="20"/>
                <w:szCs w:val="20"/>
                <w:color w:val="auto"/>
              </w:rPr>
            </w:pPr>
            <w:r>
              <w:rPr>
                <w:rFonts w:ascii="Arial" w:cs="Arial" w:eastAsia="Arial" w:hAnsi="Arial"/>
                <w:sz w:val="16"/>
                <w:szCs w:val="16"/>
                <w:color w:val="auto"/>
              </w:rPr>
              <w:t>$1,500,000</w:t>
            </w:r>
          </w:p>
        </w:tc>
        <w:tc>
          <w:tcPr>
            <w:tcW w:w="46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E5E5E5"/>
            </w:tcBorders>
            <w:shd w:val="clear" w:color="auto" w:fill="E5E5E5"/>
          </w:tcPr>
          <w:p>
            <w:pPr>
              <w:jc w:val="right"/>
              <w:ind w:right="199"/>
              <w:spacing w:after="0"/>
              <w:rPr>
                <w:sz w:val="20"/>
                <w:szCs w:val="20"/>
                <w:color w:val="auto"/>
              </w:rPr>
            </w:pPr>
            <w:r>
              <w:rPr>
                <w:rFonts w:ascii="Arial" w:cs="Arial" w:eastAsia="Arial" w:hAnsi="Arial"/>
                <w:sz w:val="16"/>
                <w:szCs w:val="16"/>
                <w:color w:val="auto"/>
              </w:rPr>
              <w:t>750,000</w:t>
            </w:r>
          </w:p>
        </w:tc>
        <w:tc>
          <w:tcPr>
            <w:tcW w:w="440" w:type="dxa"/>
            <w:vAlign w:val="bottom"/>
            <w:tcBorders>
              <w:bottom w:val="single" w:sz="8" w:color="E5E5E5"/>
            </w:tcBorders>
            <w:shd w:val="clear" w:color="auto" w:fill="E5E5E5"/>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750,000</w:t>
            </w:r>
          </w:p>
        </w:tc>
      </w:tr>
      <w:tr>
        <w:trPr>
          <w:trHeight w:val="225"/>
        </w:trPr>
        <w:tc>
          <w:tcPr>
            <w:tcW w:w="5760" w:type="dxa"/>
            <w:vAlign w:val="bottom"/>
          </w:tcPr>
          <w:p>
            <w:pPr>
              <w:ind w:left="60"/>
              <w:spacing w:after="0"/>
              <w:rPr>
                <w:sz w:val="20"/>
                <w:szCs w:val="20"/>
                <w:color w:val="auto"/>
              </w:rPr>
            </w:pPr>
            <w:r>
              <w:rPr>
                <w:rFonts w:ascii="Arial" w:cs="Arial" w:eastAsia="Arial" w:hAnsi="Arial"/>
                <w:sz w:val="16"/>
                <w:szCs w:val="16"/>
                <w:color w:val="auto"/>
              </w:rPr>
              <w:t>Scott Wilson</w:t>
            </w:r>
          </w:p>
        </w:tc>
        <w:tc>
          <w:tcPr>
            <w:tcW w:w="1440" w:type="dxa"/>
            <w:vAlign w:val="bottom"/>
          </w:tcPr>
          <w:p>
            <w:pPr>
              <w:jc w:val="center"/>
              <w:ind w:left="40"/>
              <w:spacing w:after="0"/>
              <w:rPr>
                <w:sz w:val="20"/>
                <w:szCs w:val="20"/>
                <w:color w:val="auto"/>
              </w:rPr>
            </w:pPr>
            <w:r>
              <w:rPr>
                <w:rFonts w:ascii="Arial" w:cs="Arial" w:eastAsia="Arial" w:hAnsi="Arial"/>
                <w:sz w:val="16"/>
                <w:szCs w:val="16"/>
                <w:color w:val="auto"/>
              </w:rPr>
              <w:t>$1,500,000</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750,000</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750,000</w:t>
            </w:r>
          </w:p>
        </w:tc>
      </w:tr>
      <w:tr>
        <w:trPr>
          <w:trHeight w:val="35"/>
        </w:trPr>
        <w:tc>
          <w:tcPr>
            <w:tcW w:w="57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0"/>
        </w:trPr>
        <w:tc>
          <w:tcPr>
            <w:tcW w:w="5760" w:type="dxa"/>
            <w:vAlign w:val="bottom"/>
            <w:shd w:val="clear" w:color="auto" w:fill="E5E5E5"/>
          </w:tcPr>
          <w:p>
            <w:pPr>
              <w:ind w:left="60"/>
              <w:spacing w:after="0" w:line="259" w:lineRule="exact"/>
              <w:rPr>
                <w:sz w:val="20"/>
                <w:szCs w:val="20"/>
                <w:color w:val="auto"/>
              </w:rPr>
            </w:pPr>
            <w:r>
              <w:rPr>
                <w:rFonts w:ascii="Arial" w:cs="Arial" w:eastAsia="Arial" w:hAnsi="Arial"/>
                <w:sz w:val="16"/>
                <w:szCs w:val="16"/>
                <w:color w:val="auto"/>
              </w:rPr>
              <w:t>Douglas Barnett</w:t>
            </w:r>
            <w:r>
              <w:rPr>
                <w:rFonts w:ascii="Arial" w:cs="Arial" w:eastAsia="Arial" w:hAnsi="Arial"/>
                <w:sz w:val="24"/>
                <w:szCs w:val="24"/>
                <w:color w:val="auto"/>
                <w:vertAlign w:val="superscript"/>
              </w:rPr>
              <w:t>(2)</w:t>
            </w:r>
          </w:p>
        </w:tc>
        <w:tc>
          <w:tcPr>
            <w:tcW w:w="1440" w:type="dxa"/>
            <w:vAlign w:val="bottom"/>
            <w:shd w:val="clear" w:color="auto" w:fill="E5E5E5"/>
          </w:tcPr>
          <w:p>
            <w:pPr>
              <w:jc w:val="center"/>
              <w:ind w:left="40"/>
              <w:spacing w:after="0"/>
              <w:rPr>
                <w:sz w:val="20"/>
                <w:szCs w:val="20"/>
                <w:color w:val="auto"/>
              </w:rPr>
            </w:pPr>
            <w:r>
              <w:rPr>
                <w:rFonts w:ascii="Arial" w:cs="Arial" w:eastAsia="Arial" w:hAnsi="Arial"/>
                <w:sz w:val="16"/>
                <w:szCs w:val="16"/>
                <w:color w:val="auto"/>
              </w:rPr>
              <w:t>$2,500,000</w:t>
            </w:r>
          </w:p>
        </w:tc>
        <w:tc>
          <w:tcPr>
            <w:tcW w:w="460" w:type="dxa"/>
            <w:vAlign w:val="bottom"/>
            <w:shd w:val="clear" w:color="auto" w:fill="E5E5E5"/>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E5E5"/>
          </w:tcPr>
          <w:p>
            <w:pPr>
              <w:jc w:val="right"/>
              <w:ind w:right="199"/>
              <w:spacing w:after="0"/>
              <w:rPr>
                <w:sz w:val="20"/>
                <w:szCs w:val="20"/>
                <w:color w:val="auto"/>
              </w:rPr>
            </w:pPr>
            <w:r>
              <w:rPr>
                <w:rFonts w:ascii="Arial" w:cs="Arial" w:eastAsia="Arial" w:hAnsi="Arial"/>
                <w:sz w:val="16"/>
                <w:szCs w:val="16"/>
                <w:color w:val="auto"/>
              </w:rPr>
              <w:t>1,250,000</w:t>
            </w:r>
          </w:p>
        </w:tc>
        <w:tc>
          <w:tcPr>
            <w:tcW w:w="440" w:type="dxa"/>
            <w:vAlign w:val="bottom"/>
            <w:shd w:val="clear" w:color="auto" w:fill="E5E5E5"/>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w w:val="98"/>
              </w:rPr>
              <w:t>1,250,000</w:t>
            </w:r>
          </w:p>
        </w:tc>
      </w:tr>
      <w:tr>
        <w:trPr>
          <w:trHeight w:val="260"/>
        </w:trPr>
        <w:tc>
          <w:tcPr>
            <w:tcW w:w="5760" w:type="dxa"/>
            <w:vAlign w:val="bottom"/>
          </w:tcPr>
          <w:p>
            <w:pPr>
              <w:ind w:left="60"/>
              <w:spacing w:after="0" w:line="259" w:lineRule="exact"/>
              <w:rPr>
                <w:sz w:val="20"/>
                <w:szCs w:val="20"/>
                <w:color w:val="auto"/>
              </w:rPr>
            </w:pPr>
            <w:r>
              <w:rPr>
                <w:rFonts w:ascii="Arial" w:cs="Arial" w:eastAsia="Arial" w:hAnsi="Arial"/>
                <w:sz w:val="16"/>
                <w:szCs w:val="16"/>
                <w:color w:val="auto"/>
              </w:rPr>
              <w:t>Wade Jones</w:t>
            </w:r>
            <w:r>
              <w:rPr>
                <w:rFonts w:ascii="Arial" w:cs="Arial" w:eastAsia="Arial" w:hAnsi="Arial"/>
                <w:sz w:val="24"/>
                <w:szCs w:val="24"/>
                <w:color w:val="auto"/>
                <w:vertAlign w:val="superscript"/>
              </w:rPr>
              <w:t>(2)</w:t>
            </w:r>
          </w:p>
        </w:tc>
        <w:tc>
          <w:tcPr>
            <w:tcW w:w="1440" w:type="dxa"/>
            <w:vAlign w:val="bottom"/>
          </w:tcPr>
          <w:p>
            <w:pPr>
              <w:jc w:val="center"/>
              <w:ind w:left="40"/>
              <w:spacing w:after="0"/>
              <w:rPr>
                <w:sz w:val="20"/>
                <w:szCs w:val="20"/>
                <w:color w:val="auto"/>
              </w:rPr>
            </w:pPr>
            <w:r>
              <w:rPr>
                <w:rFonts w:ascii="Arial" w:cs="Arial" w:eastAsia="Arial" w:hAnsi="Arial"/>
                <w:sz w:val="16"/>
                <w:szCs w:val="16"/>
                <w:color w:val="auto"/>
              </w:rPr>
              <w:t>$1,500,000</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750,000</w:t>
            </w:r>
          </w:p>
        </w:tc>
        <w:tc>
          <w:tcPr>
            <w:tcW w:w="440" w:type="dxa"/>
            <w:vAlign w:val="bottom"/>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750,000</w:t>
            </w:r>
          </w:p>
        </w:tc>
      </w:tr>
      <w:tr>
        <w:trPr>
          <w:trHeight w:val="235"/>
        </w:trPr>
        <w:tc>
          <w:tcPr>
            <w:tcW w:w="5760" w:type="dxa"/>
            <w:vAlign w:val="bottom"/>
            <w:shd w:val="clear" w:color="auto" w:fill="E5E5E5"/>
          </w:tcPr>
          <w:p>
            <w:pPr>
              <w:ind w:left="60"/>
              <w:spacing w:after="0" w:line="235" w:lineRule="exact"/>
              <w:rPr>
                <w:sz w:val="20"/>
                <w:szCs w:val="20"/>
                <w:color w:val="auto"/>
              </w:rPr>
            </w:pPr>
            <w:r>
              <w:rPr>
                <w:rFonts w:ascii="Arial" w:cs="Arial" w:eastAsia="Arial" w:hAnsi="Arial"/>
                <w:sz w:val="16"/>
                <w:szCs w:val="16"/>
                <w:color w:val="auto"/>
              </w:rPr>
              <w:t>Cem Tanyel</w:t>
            </w:r>
            <w:r>
              <w:rPr>
                <w:rFonts w:ascii="Arial" w:cs="Arial" w:eastAsia="Arial" w:hAnsi="Arial"/>
                <w:sz w:val="24"/>
                <w:szCs w:val="24"/>
                <w:color w:val="auto"/>
                <w:vertAlign w:val="superscript"/>
              </w:rPr>
              <w:t>(2)</w:t>
            </w:r>
          </w:p>
        </w:tc>
        <w:tc>
          <w:tcPr>
            <w:tcW w:w="1440" w:type="dxa"/>
            <w:vAlign w:val="bottom"/>
            <w:shd w:val="clear" w:color="auto" w:fill="E5E5E5"/>
          </w:tcPr>
          <w:p>
            <w:pPr>
              <w:jc w:val="center"/>
              <w:ind w:left="40"/>
              <w:spacing w:after="0"/>
              <w:rPr>
                <w:sz w:val="20"/>
                <w:szCs w:val="20"/>
                <w:color w:val="auto"/>
              </w:rPr>
            </w:pPr>
            <w:r>
              <w:rPr>
                <w:rFonts w:ascii="Arial" w:cs="Arial" w:eastAsia="Arial" w:hAnsi="Arial"/>
                <w:sz w:val="16"/>
                <w:szCs w:val="16"/>
                <w:color w:val="auto"/>
              </w:rPr>
              <w:t>$1,000,000</w:t>
            </w:r>
          </w:p>
        </w:tc>
        <w:tc>
          <w:tcPr>
            <w:tcW w:w="460" w:type="dxa"/>
            <w:vAlign w:val="bottom"/>
            <w:shd w:val="clear" w:color="auto" w:fill="E5E5E5"/>
          </w:tcPr>
          <w:p>
            <w:pPr>
              <w:ind w:left="38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E5E5"/>
          </w:tcPr>
          <w:p>
            <w:pPr>
              <w:jc w:val="right"/>
              <w:ind w:right="199"/>
              <w:spacing w:after="0"/>
              <w:rPr>
                <w:sz w:val="20"/>
                <w:szCs w:val="20"/>
                <w:color w:val="auto"/>
              </w:rPr>
            </w:pPr>
            <w:r>
              <w:rPr>
                <w:rFonts w:ascii="Arial" w:cs="Arial" w:eastAsia="Arial" w:hAnsi="Arial"/>
                <w:sz w:val="16"/>
                <w:szCs w:val="16"/>
                <w:color w:val="auto"/>
              </w:rPr>
              <w:t>500,000</w:t>
            </w:r>
          </w:p>
        </w:tc>
        <w:tc>
          <w:tcPr>
            <w:tcW w:w="440" w:type="dxa"/>
            <w:vAlign w:val="bottom"/>
            <w:shd w:val="clear" w:color="auto" w:fill="E5E5E5"/>
          </w:tcPr>
          <w:p>
            <w:pPr>
              <w:ind w:left="3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53" w:lineRule="exact"/>
        <w:rPr>
          <w:sz w:val="20"/>
          <w:szCs w:val="20"/>
          <w:color w:val="auto"/>
        </w:rPr>
      </w:pPr>
    </w:p>
    <w:p>
      <w:pPr>
        <w:ind w:left="980" w:hanging="400"/>
        <w:spacing w:after="0"/>
        <w:tabs>
          <w:tab w:leader="none" w:pos="9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Mr. Randolfi did not receive an annual equity award in March 2022.</w:t>
      </w:r>
    </w:p>
    <w:p>
      <w:pPr>
        <w:spacing w:after="0" w:line="111" w:lineRule="exact"/>
        <w:rPr>
          <w:rFonts w:ascii="Arial" w:cs="Arial" w:eastAsia="Arial" w:hAnsi="Arial"/>
          <w:sz w:val="15"/>
          <w:szCs w:val="15"/>
          <w:color w:val="auto"/>
        </w:rPr>
      </w:pPr>
    </w:p>
    <w:p>
      <w:pPr>
        <w:ind w:left="980" w:hanging="400"/>
        <w:spacing w:after="0"/>
        <w:tabs>
          <w:tab w:leader="none" w:pos="9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Messrs. Barnett’s, Jones’ and Tanyel’s March 2022 awards were subsequently forfeited in connection with their departure from Sabre.</w:t>
      </w:r>
    </w:p>
    <w:p>
      <w:pPr>
        <w:spacing w:after="0" w:line="189" w:lineRule="exact"/>
        <w:rPr>
          <w:sz w:val="20"/>
          <w:szCs w:val="20"/>
          <w:color w:val="auto"/>
        </w:rPr>
      </w:pPr>
    </w:p>
    <w:p>
      <w:pPr>
        <w:ind w:left="580"/>
        <w:spacing w:after="0" w:line="211" w:lineRule="auto"/>
        <w:rPr>
          <w:sz w:val="20"/>
          <w:szCs w:val="20"/>
          <w:color w:val="auto"/>
        </w:rPr>
      </w:pPr>
      <w:r>
        <w:rPr>
          <w:rFonts w:ascii="Arial" w:cs="Arial" w:eastAsia="Arial" w:hAnsi="Arial"/>
          <w:sz w:val="18"/>
          <w:szCs w:val="18"/>
          <w:color w:val="auto"/>
        </w:rPr>
        <w:t>The PSUs granted in March 2022 have the potential to earn up to 200% of the target number of PSUs based on our actual performance against our Adjusted Free Cash Flow measured for 2024, with a TSR modifier based on our common stock’s price relative performance to the S&amp;P Composite 1500 Information Technology index over the three-year measurement period from January 1, 2022 to December 31, 2024, using a 30-trading day average stock price. The TSR modifier will increase or decrease the number of PSUs earned by 10%, subject to a maximum payout of 200%. If our common stock’s relative performance compared to this index is at or below the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the number of PSUs will be reduced by 10%, and if our common stock’s relative performance is at or above the 75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the number of PSUs will be increased by 10%; otherwise, there is no adjustment to the number of PSUs. These PSUs have a three-year vesting period and will vest on March 15, 2025, subject to the named executive officer’s continued employment through this vesting date.</w:t>
      </w:r>
    </w:p>
    <w:p>
      <w:pPr>
        <w:spacing w:after="0" w:line="158" w:lineRule="exact"/>
        <w:rPr>
          <w:sz w:val="20"/>
          <w:szCs w:val="20"/>
          <w:color w:val="auto"/>
        </w:rPr>
      </w:pPr>
    </w:p>
    <w:p>
      <w:pPr>
        <w:ind w:left="580" w:right="160"/>
        <w:spacing w:after="0" w:line="233" w:lineRule="auto"/>
        <w:rPr>
          <w:sz w:val="20"/>
          <w:szCs w:val="20"/>
          <w:color w:val="auto"/>
        </w:rPr>
      </w:pPr>
      <w:r>
        <w:rPr>
          <w:rFonts w:ascii="Arial" w:cs="Arial" w:eastAsia="Arial" w:hAnsi="Arial"/>
          <w:sz w:val="18"/>
          <w:szCs w:val="18"/>
          <w:color w:val="auto"/>
        </w:rPr>
        <w:t>The total number of units eligible to be earned under the PSU awards will range from 0% to 200% of the number of units granted, depending on the degree to which we achieve our Adjusted Free Cash Flow targets, which vary depending on the level of our GDS booking recovery for 2024, subject to the TSR modifier described above. The Adjusted Free Cash Flow funding levels are a diagonal line from the 25% funding levels to an initial 100% threshold; from there, the funding levels remain flat for a specified range; followed by another diagonal line to the 200% funding level. The midpoint of the target payout for these PSU awards was consistent with our multi-year outlook for internal planning purposes for our expected Adjusted Free Cash Flow for 2024 and our expected GDS booking recovery for 2024; at that level of GDS booking recovery, the Adjusted Free Cash Flow necessary to achieve the 25% and 200% funding levels is 80% and 120% of our expected Adjusted Free Cash Flow for 2024, respectively. Adjusted Free Cash Flow is defined as Adjusted EBITDA less capital expenditures. The Compensation Committee selected Adjusted Free Cash as a performance measure, given the focus of stockholders on growth of our cash position.</w:t>
      </w:r>
    </w:p>
    <w:p>
      <w:pPr>
        <w:spacing w:after="0" w:line="163" w:lineRule="exact"/>
        <w:rPr>
          <w:sz w:val="20"/>
          <w:szCs w:val="20"/>
          <w:color w:val="auto"/>
        </w:rPr>
      </w:pPr>
    </w:p>
    <w:p>
      <w:pPr>
        <w:ind w:left="580" w:right="140"/>
        <w:spacing w:after="0" w:line="242" w:lineRule="auto"/>
        <w:rPr>
          <w:sz w:val="20"/>
          <w:szCs w:val="20"/>
          <w:color w:val="auto"/>
        </w:rPr>
      </w:pPr>
      <w:r>
        <w:rPr>
          <w:rFonts w:ascii="Arial" w:cs="Arial" w:eastAsia="Arial" w:hAnsi="Arial"/>
          <w:sz w:val="18"/>
          <w:szCs w:val="18"/>
          <w:color w:val="auto"/>
        </w:rPr>
        <w:t>The RSUs granted in March 2022 vest ratably on an annual basis over three years, subject to the named executive officer’s continued employment through the applicable vesting date. The Compensation Committee believes that the RSUs help further align our executive officers’ interest with those of our stockholders and encourage them to remain with us through the multi-year vesting schedule.</w:t>
      </w:r>
    </w:p>
    <w:p>
      <w:pPr>
        <w:spacing w:after="0" w:line="93"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right="340"/>
        <w:spacing w:after="0" w:line="267" w:lineRule="auto"/>
        <w:rPr>
          <w:sz w:val="20"/>
          <w:szCs w:val="20"/>
          <w:color w:val="auto"/>
        </w:rPr>
      </w:pPr>
      <w:r>
        <w:rPr>
          <w:rFonts w:ascii="Arial" w:cs="Arial" w:eastAsia="Arial" w:hAnsi="Arial"/>
          <w:sz w:val="18"/>
          <w:szCs w:val="18"/>
          <w:color w:val="auto"/>
        </w:rPr>
        <w:t>For additional information on these equity awards, see the “2022 Summary Compensation Table” and the “2022 Grants of Plan-Based Awards Table” below.</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Health, Welfare, and Other Employee Benefits</w:t>
      </w:r>
    </w:p>
    <w:p>
      <w:pPr>
        <w:spacing w:after="0" w:line="88" w:lineRule="exact"/>
        <w:rPr>
          <w:sz w:val="20"/>
          <w:szCs w:val="20"/>
          <w:color w:val="auto"/>
        </w:rPr>
      </w:pPr>
    </w:p>
    <w:p>
      <w:pPr>
        <w:ind w:left="580" w:right="20"/>
        <w:spacing w:after="0" w:line="239" w:lineRule="auto"/>
        <w:rPr>
          <w:sz w:val="20"/>
          <w:szCs w:val="20"/>
          <w:color w:val="auto"/>
        </w:rPr>
      </w:pPr>
      <w:r>
        <w:rPr>
          <w:rFonts w:ascii="Arial" w:cs="Arial" w:eastAsia="Arial" w:hAnsi="Arial"/>
          <w:sz w:val="18"/>
          <w:szCs w:val="18"/>
          <w:color w:val="auto"/>
        </w:rPr>
        <w:t>We have established a defined contribution or “401(k)” retirement plan for all employees who satisfy certain eligibility requirements, including requirements relating to age and length of service. We currently match contributions made to the plan by our employees, including our executive officers, up to 6% of their eligible compensation. We intend for the plan to qualify under Section 401(a) of the Code so that contributions by employees to the plan, and income earned on plan contributions, are not taxable to employees until withdrawn from the plan.</w:t>
      </w:r>
    </w:p>
    <w:p>
      <w:pPr>
        <w:spacing w:after="0" w:line="156" w:lineRule="exact"/>
        <w:rPr>
          <w:sz w:val="20"/>
          <w:szCs w:val="20"/>
          <w:color w:val="auto"/>
        </w:rPr>
      </w:pPr>
    </w:p>
    <w:p>
      <w:pPr>
        <w:ind w:left="580" w:right="140"/>
        <w:spacing w:after="0" w:line="242" w:lineRule="auto"/>
        <w:rPr>
          <w:sz w:val="20"/>
          <w:szCs w:val="20"/>
          <w:color w:val="auto"/>
        </w:rPr>
      </w:pPr>
      <w:r>
        <w:rPr>
          <w:rFonts w:ascii="Arial" w:cs="Arial" w:eastAsia="Arial" w:hAnsi="Arial"/>
          <w:sz w:val="18"/>
          <w:szCs w:val="18"/>
          <w:color w:val="auto"/>
        </w:rPr>
        <w:t>In addition, we provide other benefits to our executive officers, including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154" w:lineRule="exact"/>
        <w:rPr>
          <w:sz w:val="20"/>
          <w:szCs w:val="20"/>
          <w:color w:val="auto"/>
        </w:rPr>
      </w:pPr>
    </w:p>
    <w:p>
      <w:pPr>
        <w:jc w:val="both"/>
        <w:ind w:left="580" w:right="180"/>
        <w:spacing w:after="0" w:line="248"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Perquisites and Other Personal Benefits</w:t>
      </w:r>
    </w:p>
    <w:p>
      <w:pPr>
        <w:spacing w:after="0" w:line="90"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provide perquisites and other personal benefits to our executive officers in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an annual allowance of up to $13,000 per year, which can be applied towards items such as financial planning benefits, an annual physical program, tax advice and preparation, and legal advice. We also provide relocation assistance and reimbursement of certain commuting expenses, as applicable. The Compensation Committee believes that these personal benefits are a reasonable component of our overall executive compensation program and are consistent with market practices.</w:t>
      </w:r>
    </w:p>
    <w:p>
      <w:pPr>
        <w:spacing w:after="0" w:line="162" w:lineRule="exact"/>
        <w:rPr>
          <w:sz w:val="20"/>
          <w:szCs w:val="20"/>
          <w:color w:val="auto"/>
        </w:rPr>
      </w:pPr>
    </w:p>
    <w:p>
      <w:pPr>
        <w:ind w:left="580" w:right="100"/>
        <w:spacing w:after="0" w:line="248" w:lineRule="auto"/>
        <w:rPr>
          <w:sz w:val="20"/>
          <w:szCs w:val="20"/>
          <w:color w:val="auto"/>
        </w:rPr>
      </w:pPr>
      <w:r>
        <w:rPr>
          <w:rFonts w:ascii="Arial" w:cs="Arial" w:eastAsia="Arial" w:hAnsi="Arial"/>
          <w:sz w:val="18"/>
          <w:szCs w:val="18"/>
          <w:color w:val="auto"/>
        </w:rPr>
        <w:t>In the future, we may provide perquisites or other personal benefits in limited circumstances. Future practices with respect to perquisites or other personal benefits for named executive officers will be approved and subject to periodic review by the Compensation Committee.</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2023 Executive Compensation Program</w:t>
      </w:r>
    </w:p>
    <w:p>
      <w:pPr>
        <w:spacing w:after="0" w:line="90" w:lineRule="exact"/>
        <w:rPr>
          <w:sz w:val="20"/>
          <w:szCs w:val="20"/>
          <w:color w:val="auto"/>
        </w:rPr>
      </w:pPr>
    </w:p>
    <w:p>
      <w:pPr>
        <w:ind w:left="580" w:right="20"/>
        <w:spacing w:after="0" w:line="241" w:lineRule="auto"/>
        <w:rPr>
          <w:sz w:val="20"/>
          <w:szCs w:val="20"/>
          <w:color w:val="auto"/>
        </w:rPr>
      </w:pPr>
      <w:r>
        <w:rPr>
          <w:rFonts w:ascii="Arial" w:cs="Arial" w:eastAsia="Arial" w:hAnsi="Arial"/>
          <w:sz w:val="18"/>
          <w:szCs w:val="18"/>
          <w:color w:val="auto"/>
        </w:rPr>
        <w:t>As noted above, in connection with stockholder feedback received in connection with our fall 2022 outreach program, we believe stockholders were supportive of the changes in our executive compensation program design we made in early 2022. As a result, in the first quarter of 2023, the Compensation Committee took certain actions with respect to the compensation of our named executive officers, including the following:</w:t>
      </w:r>
    </w:p>
    <w:p>
      <w:pPr>
        <w:spacing w:after="0" w:line="71" w:lineRule="exact"/>
        <w:rPr>
          <w:sz w:val="20"/>
          <w:szCs w:val="20"/>
          <w:color w:val="auto"/>
        </w:rPr>
      </w:pPr>
    </w:p>
    <w:p>
      <w:pPr>
        <w:ind w:left="780" w:right="60" w:hanging="200"/>
        <w:spacing w:after="0" w:line="186" w:lineRule="auto"/>
        <w:tabs>
          <w:tab w:leader="none" w:pos="780" w:val="left"/>
        </w:tabs>
        <w:numPr>
          <w:ilvl w:val="0"/>
          <w:numId w:val="60"/>
        </w:numPr>
        <w:rPr>
          <w:rFonts w:ascii="Arial" w:cs="Arial" w:eastAsia="Arial" w:hAnsi="Arial"/>
          <w:sz w:val="34"/>
          <w:szCs w:val="34"/>
          <w:color w:val="auto"/>
          <w:vertAlign w:val="subscript"/>
        </w:rPr>
      </w:pPr>
      <w:r>
        <w:rPr>
          <w:rFonts w:ascii="Arial" w:cs="Arial" w:eastAsia="Arial" w:hAnsi="Arial"/>
          <w:sz w:val="15"/>
          <w:szCs w:val="15"/>
          <w:b w:val="1"/>
          <w:bCs w:val="1"/>
          <w:i w:val="1"/>
          <w:iCs w:val="1"/>
          <w:color w:val="auto"/>
        </w:rPr>
        <w:t>Annual cash incentive framework</w:t>
      </w:r>
      <w:r>
        <w:rPr>
          <w:rFonts w:ascii="Arial" w:cs="Arial" w:eastAsia="Arial" w:hAnsi="Arial"/>
          <w:sz w:val="15"/>
          <w:szCs w:val="15"/>
          <w:color w:val="auto"/>
        </w:rPr>
        <w:t>. For the CEO, the President, and the CFO, the performance measures for 2023 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annual cash EIP will continue to be based on Adjusted EBITDA (100% of funding</w:t>
      </w:r>
    </w:p>
    <w:p>
      <w:pPr>
        <w:spacing w:after="0" w:line="96"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70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780" w:right="220"/>
        <w:spacing w:after="0" w:line="239" w:lineRule="auto"/>
        <w:rPr>
          <w:sz w:val="20"/>
          <w:szCs w:val="20"/>
          <w:color w:val="auto"/>
        </w:rPr>
      </w:pPr>
      <w:r>
        <w:rPr>
          <w:rFonts w:ascii="Arial" w:cs="Arial" w:eastAsia="Arial" w:hAnsi="Arial"/>
          <w:sz w:val="18"/>
          <w:szCs w:val="18"/>
          <w:color w:val="auto"/>
        </w:rPr>
        <w:t>formula), with a Free Cash Flow modifier that increases or reduces the payout by 10%, subject to a maximum payout of 150%. For the remaining executive officers, the performance measures for 2023 will continue to be based on Adjusted EBITDA (70% of funding formula), also with the Free Cash Flow modifier described above, and 30% on measurable business unit/staff function objectives, subject to a maximum payout of 150%. To the extent that the payout requirements are met, the 2023 annual cash incentive is expected to be paid in March 2024.</w:t>
      </w:r>
    </w:p>
    <w:p>
      <w:pPr>
        <w:spacing w:after="0" w:line="70" w:lineRule="exact"/>
        <w:rPr>
          <w:sz w:val="20"/>
          <w:szCs w:val="20"/>
          <w:color w:val="auto"/>
        </w:rPr>
      </w:pPr>
    </w:p>
    <w:p>
      <w:pPr>
        <w:ind w:left="780" w:right="40" w:hanging="200"/>
        <w:spacing w:after="0" w:line="225" w:lineRule="auto"/>
        <w:tabs>
          <w:tab w:leader="none" w:pos="780" w:val="left"/>
        </w:tabs>
        <w:numPr>
          <w:ilvl w:val="0"/>
          <w:numId w:val="61"/>
        </w:numPr>
        <w:rPr>
          <w:rFonts w:ascii="Arial" w:cs="Arial" w:eastAsia="Arial" w:hAnsi="Arial"/>
          <w:sz w:val="43"/>
          <w:szCs w:val="43"/>
          <w:color w:val="auto"/>
          <w:vertAlign w:val="subscript"/>
        </w:rPr>
      </w:pPr>
      <w:r>
        <w:rPr>
          <w:rFonts w:ascii="Arial" w:cs="Arial" w:eastAsia="Arial" w:hAnsi="Arial"/>
          <w:sz w:val="17"/>
          <w:szCs w:val="17"/>
          <w:b w:val="1"/>
          <w:bCs w:val="1"/>
          <w:i w:val="1"/>
          <w:iCs w:val="1"/>
          <w:color w:val="auto"/>
        </w:rPr>
        <w:t>Long-term incentive awards</w:t>
      </w:r>
      <w:r>
        <w:rPr>
          <w:rFonts w:ascii="Arial" w:cs="Arial" w:eastAsia="Arial" w:hAnsi="Arial"/>
          <w:sz w:val="17"/>
          <w:szCs w:val="17"/>
          <w:color w:val="auto"/>
        </w:rPr>
        <w:t>. We approved long-term incentive awards in March 2023 to be granted in May 2023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approval of the 2023 Omnibus Plan), after setting the long-term incentive compensation award value for each named executive officer. This award value was divided into separate grants consisting of PSUs (50%) and RSUs (50%), as discussed below.</w:t>
      </w:r>
    </w:p>
    <w:p>
      <w:pPr>
        <w:spacing w:after="0" w:line="72" w:lineRule="exact"/>
        <w:rPr>
          <w:rFonts w:ascii="Arial" w:cs="Arial" w:eastAsia="Arial" w:hAnsi="Arial"/>
          <w:sz w:val="43"/>
          <w:szCs w:val="43"/>
          <w:color w:val="auto"/>
          <w:vertAlign w:val="subscript"/>
        </w:rPr>
      </w:pPr>
    </w:p>
    <w:p>
      <w:pPr>
        <w:ind w:left="1080" w:hanging="302"/>
        <w:spacing w:after="0" w:line="229" w:lineRule="auto"/>
        <w:tabs>
          <w:tab w:leader="none" w:pos="1080" w:val="left"/>
        </w:tabs>
        <w:numPr>
          <w:ilvl w:val="1"/>
          <w:numId w:val="61"/>
        </w:numPr>
        <w:rPr>
          <w:rFonts w:ascii="Arial" w:cs="Arial" w:eastAsia="Arial" w:hAnsi="Arial"/>
          <w:sz w:val="22"/>
          <w:szCs w:val="22"/>
          <w:color w:val="CF0A2C"/>
        </w:rPr>
      </w:pPr>
      <w:r>
        <w:rPr>
          <w:rFonts w:ascii="Arial" w:cs="Arial" w:eastAsia="Arial" w:hAnsi="Arial"/>
          <w:sz w:val="18"/>
          <w:szCs w:val="18"/>
          <w:b w:val="1"/>
          <w:bCs w:val="1"/>
          <w:i w:val="1"/>
          <w:iCs w:val="1"/>
          <w:color w:val="auto"/>
        </w:rPr>
        <w:t>PSUs</w:t>
      </w:r>
      <w:r>
        <w:rPr>
          <w:rFonts w:ascii="Arial" w:cs="Arial" w:eastAsia="Arial" w:hAnsi="Arial"/>
          <w:sz w:val="18"/>
          <w:szCs w:val="18"/>
          <w:color w:val="auto"/>
        </w:rPr>
        <w:t>. The PSUs approved in March 2023 will utilize Free Cash Flow as the performance measure. The PSUs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 three-year cliff vest, with the potential to earn up to 200% of the target number of PSUs based on our actual performance in each of the three years against the Free Cash Flow metric established for that year. These Free Cash Flow metrics for each year were established in March 2023. One-third of the grant is at risk each calendar year during the measurement period, and the executive officer will bank shares based on our Free Cash Flow performance for that year. The final aggregate award is subject to a TSR modifier based on our common stock price relative performance to the S&amp;P Composite 1500 Information Technology index over the three-year measurement period from January 1, 2023 to December 31, 2025, which will increase or decrease the aggregate number of PSUs earned by 10%, subject to a maximum payout of 200%.</w:t>
      </w:r>
    </w:p>
    <w:p>
      <w:pPr>
        <w:spacing w:after="0" w:line="70" w:lineRule="exact"/>
        <w:rPr>
          <w:rFonts w:ascii="Arial" w:cs="Arial" w:eastAsia="Arial" w:hAnsi="Arial"/>
          <w:sz w:val="22"/>
          <w:szCs w:val="22"/>
          <w:color w:val="CF0A2C"/>
        </w:rPr>
      </w:pPr>
    </w:p>
    <w:p>
      <w:pPr>
        <w:ind w:left="1080" w:right="160" w:hanging="302"/>
        <w:spacing w:after="0" w:line="228" w:lineRule="auto"/>
        <w:tabs>
          <w:tab w:leader="none" w:pos="1080" w:val="left"/>
        </w:tabs>
        <w:numPr>
          <w:ilvl w:val="1"/>
          <w:numId w:val="61"/>
        </w:numPr>
        <w:rPr>
          <w:rFonts w:ascii="Arial" w:cs="Arial" w:eastAsia="Arial" w:hAnsi="Arial"/>
          <w:sz w:val="22"/>
          <w:szCs w:val="22"/>
          <w:color w:val="CF0A2C"/>
        </w:rPr>
      </w:pPr>
      <w:r>
        <w:rPr>
          <w:rFonts w:ascii="Arial" w:cs="Arial" w:eastAsia="Arial" w:hAnsi="Arial"/>
          <w:sz w:val="18"/>
          <w:szCs w:val="18"/>
          <w:b w:val="1"/>
          <w:bCs w:val="1"/>
          <w:i w:val="1"/>
          <w:iCs w:val="1"/>
          <w:color w:val="auto"/>
        </w:rPr>
        <w:t>RSUs</w:t>
      </w:r>
      <w:r>
        <w:rPr>
          <w:rFonts w:ascii="Arial" w:cs="Arial" w:eastAsia="Arial" w:hAnsi="Arial"/>
          <w:sz w:val="18"/>
          <w:szCs w:val="18"/>
          <w:color w:val="auto"/>
        </w:rPr>
        <w:t>. The RSUs approved in March 2023 will vest ratably on an annual basis over three years, subject to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continued employment through the applicable vesting date.</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Employment Agreements and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jc w:val="both"/>
        <w:ind w:left="580" w:right="220"/>
        <w:spacing w:after="0" w:line="248" w:lineRule="auto"/>
        <w:rPr>
          <w:sz w:val="20"/>
          <w:szCs w:val="20"/>
          <w:color w:val="auto"/>
        </w:rPr>
      </w:pPr>
      <w:r>
        <w:rPr>
          <w:rFonts w:ascii="Arial" w:cs="Arial" w:eastAsia="Arial" w:hAnsi="Arial"/>
          <w:sz w:val="18"/>
          <w:szCs w:val="18"/>
          <w:color w:val="auto"/>
        </w:rPr>
        <w:t>We have entered into a written employment agreement or offer letter with each of our named executive officers. We believe that these agreements and letters were necessary to induce these individuals to forego other employment opportunities or leave their current employer for the uncertainty of a demanding position in a new and unfamiliar organization.</w:t>
      </w:r>
    </w:p>
    <w:p>
      <w:pPr>
        <w:spacing w:after="0" w:line="150" w:lineRule="exact"/>
        <w:rPr>
          <w:sz w:val="20"/>
          <w:szCs w:val="20"/>
          <w:color w:val="auto"/>
        </w:rPr>
      </w:pPr>
    </w:p>
    <w:p>
      <w:pPr>
        <w:ind w:left="580" w:right="120"/>
        <w:spacing w:after="0" w:line="237" w:lineRule="auto"/>
        <w:rPr>
          <w:sz w:val="20"/>
          <w:szCs w:val="20"/>
          <w:color w:val="auto"/>
        </w:rPr>
      </w:pPr>
      <w:r>
        <w:rPr>
          <w:rFonts w:ascii="Arial" w:cs="Arial" w:eastAsia="Arial" w:hAnsi="Arial"/>
          <w:sz w:val="18"/>
          <w:szCs w:val="18"/>
          <w:color w:val="auto"/>
        </w:rPr>
        <w:t>In filling these executive positions, the Compensation Committee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highly-competitive labor market. At the same time, the Compensation Committee was sensitive to the need to integrate new executive officers into the executive compensation structure that it was seeking to develop, balancing both competitive and internal equity considerations.</w:t>
      </w:r>
    </w:p>
    <w:p>
      <w:pPr>
        <w:spacing w:after="0" w:line="158" w:lineRule="exact"/>
        <w:rPr>
          <w:sz w:val="20"/>
          <w:szCs w:val="20"/>
          <w:color w:val="auto"/>
        </w:rPr>
      </w:pPr>
    </w:p>
    <w:p>
      <w:pPr>
        <w:ind w:left="580" w:right="880"/>
        <w:spacing w:after="0" w:line="267" w:lineRule="auto"/>
        <w:rPr>
          <w:sz w:val="20"/>
          <w:szCs w:val="20"/>
          <w:color w:val="auto"/>
        </w:rPr>
      </w:pPr>
      <w:r>
        <w:rPr>
          <w:rFonts w:ascii="Arial" w:cs="Arial" w:eastAsia="Arial" w:hAnsi="Arial"/>
          <w:sz w:val="18"/>
          <w:szCs w:val="18"/>
          <w:color w:val="auto"/>
        </w:rPr>
        <w:t>For additional information on the employment agreements and offer letters of our named executive officers, see “— Information on Employment Agreements and Offer Letters” below.</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60"/>
        <w:spacing w:after="0" w:line="267" w:lineRule="auto"/>
        <w:rPr>
          <w:sz w:val="20"/>
          <w:szCs w:val="20"/>
          <w:color w:val="auto"/>
        </w:rPr>
      </w:pPr>
      <w:r>
        <w:rPr>
          <w:rFonts w:ascii="Arial" w:cs="Arial" w:eastAsia="Arial" w:hAnsi="Arial"/>
          <w:sz w:val="18"/>
          <w:szCs w:val="18"/>
          <w:color w:val="auto"/>
        </w:rPr>
        <w:t>We have adopted the Sabre Corporation Executive Severance Plan (the “Executive Severance Plan”) for key executives of Sabre. Under the Executive Severance Plan, participants are eligible to receive certain</w:t>
      </w:r>
    </w:p>
    <w:p>
      <w:pPr>
        <w:spacing w:after="0" w:line="72"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jc w:val="both"/>
        <w:ind w:left="580" w:right="740"/>
        <w:spacing w:after="0" w:line="248" w:lineRule="auto"/>
        <w:rPr>
          <w:sz w:val="20"/>
          <w:szCs w:val="20"/>
          <w:color w:val="auto"/>
        </w:rPr>
      </w:pPr>
      <w:r>
        <w:rPr>
          <w:rFonts w:ascii="Arial" w:cs="Arial" w:eastAsia="Arial" w:hAnsi="Arial"/>
          <w:sz w:val="18"/>
          <w:szCs w:val="18"/>
          <w:color w:val="auto"/>
        </w:rPr>
        <w:t>payments and benefits in the event of a termination of their employment by Sabre without “cause” or a termination of employment by the participant for “good reason,” as well as upon “disability” (as each of these terms is defined in the Executive Severance Plan) and death.</w:t>
      </w:r>
    </w:p>
    <w:p>
      <w:pPr>
        <w:spacing w:after="0" w:line="150" w:lineRule="exact"/>
        <w:rPr>
          <w:sz w:val="20"/>
          <w:szCs w:val="20"/>
          <w:color w:val="auto"/>
        </w:rPr>
      </w:pPr>
    </w:p>
    <w:p>
      <w:pPr>
        <w:ind w:left="580"/>
        <w:spacing w:after="0" w:line="235" w:lineRule="auto"/>
        <w:rPr>
          <w:sz w:val="20"/>
          <w:szCs w:val="20"/>
          <w:color w:val="auto"/>
        </w:rPr>
      </w:pPr>
      <w:r>
        <w:rPr>
          <w:rFonts w:ascii="Arial" w:cs="Arial" w:eastAsia="Arial" w:hAnsi="Arial"/>
          <w:sz w:val="18"/>
          <w:szCs w:val="18"/>
          <w:color w:val="auto"/>
        </w:rPr>
        <w:t>We provide these arrangements under the Executive Severance Plan to encourage our named executive officers to work at a dynamic and growing business where their long-term compensation largely depends on future stock price appreciation. Specifically, the arrangements are intended to mitigate a potential disincentive for our named executive officers when they are evaluating a potential acquisition of Sabre, particularly when their services may not be required by the acquiring entity. In such a situation, we believe that these arrangements are necessary to encourage retention of our named executive officers through the conclusion of the transaction, and to ensure a smooth management transition. We believe that the level of benefits provided under these various agreements is consistent with market practice and help us to attract and retain key talent. For additional information, see “—Potential Payments upon Termination or Change in Control” below.</w:t>
      </w:r>
    </w:p>
    <w:p>
      <w:pPr>
        <w:spacing w:after="0" w:line="159" w:lineRule="exact"/>
        <w:rPr>
          <w:sz w:val="20"/>
          <w:szCs w:val="20"/>
          <w:color w:val="auto"/>
        </w:rPr>
      </w:pPr>
    </w:p>
    <w:p>
      <w:pPr>
        <w:jc w:val="both"/>
        <w:ind w:left="580" w:right="120"/>
        <w:spacing w:after="0" w:line="248" w:lineRule="auto"/>
        <w:rPr>
          <w:sz w:val="20"/>
          <w:szCs w:val="20"/>
          <w:color w:val="auto"/>
        </w:rPr>
      </w:pPr>
      <w:r>
        <w:rPr>
          <w:rFonts w:ascii="Arial" w:cs="Arial" w:eastAsia="Arial" w:hAnsi="Arial"/>
          <w:sz w:val="18"/>
          <w:szCs w:val="18"/>
          <w:color w:val="auto"/>
        </w:rPr>
        <w:t>Change-in control payments and benefits for our named executive officers are based on a “double-trigger” arrangement (that is, they require both a change in control of Sabre plus a qualifying termination of employment before payments and benefits are paid).</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Other Compensation Policies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Stock Ownership Guidelines for Executive Officers and Directors and Stock Retention Requirement</w:t>
      </w:r>
    </w:p>
    <w:p>
      <w:pPr>
        <w:spacing w:after="0" w:line="88" w:lineRule="exact"/>
        <w:rPr>
          <w:sz w:val="20"/>
          <w:szCs w:val="20"/>
          <w:color w:val="auto"/>
        </w:rPr>
      </w:pPr>
    </w:p>
    <w:p>
      <w:pPr>
        <w:ind w:left="580" w:right="100"/>
        <w:spacing w:after="0" w:line="236" w:lineRule="auto"/>
        <w:rPr>
          <w:sz w:val="20"/>
          <w:szCs w:val="20"/>
          <w:color w:val="auto"/>
        </w:rPr>
      </w:pPr>
      <w:r>
        <w:rPr>
          <w:rFonts w:ascii="Arial" w:cs="Arial" w:eastAsia="Arial" w:hAnsi="Arial"/>
          <w:sz w:val="18"/>
          <w:szCs w:val="18"/>
          <w:color w:val="auto"/>
        </w:rPr>
        <w:t>We maintain a stock ownership policy for our executive officers and the non-employee members of our Board of Directors. Under this policy, the individuals who have been designated as an executive officer or Senior Vice President are required to own that number of shares of our common stock with a value equal to a specified multiple of their annual base salary divided by the closing price of our common stock on April 1 (or if that day is not a business day, the first business day immediately preceding that date). The guideline levels may be recalculated as of such other dates as may be requested from time to time by the Compensation Committee, the CEO, or the Chief People Officer. As adopted, these stock ownership guidelines represented as base salary multiples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129540</wp:posOffset>
            </wp:positionV>
            <wp:extent cx="15875" cy="800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875" cy="800735"/>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5060" w:type="dxa"/>
            <w:vAlign w:val="bottom"/>
            <w:shd w:val="clear" w:color="auto" w:fill="666666"/>
          </w:tcPr>
          <w:p>
            <w:pPr>
              <w:spacing w:after="0"/>
              <w:rPr>
                <w:sz w:val="17"/>
                <w:szCs w:val="17"/>
                <w:color w:val="auto"/>
              </w:rPr>
            </w:pPr>
          </w:p>
        </w:tc>
        <w:tc>
          <w:tcPr>
            <w:tcW w:w="5020" w:type="dxa"/>
            <w:vAlign w:val="bottom"/>
            <w:shd w:val="clear" w:color="auto" w:fill="666666"/>
          </w:tcPr>
          <w:p>
            <w:pPr>
              <w:jc w:val="center"/>
              <w:ind w:left="221"/>
              <w:spacing w:after="0"/>
              <w:rPr>
                <w:sz w:val="20"/>
                <w:szCs w:val="20"/>
                <w:color w:val="auto"/>
              </w:rPr>
            </w:pPr>
            <w:r>
              <w:rPr>
                <w:rFonts w:ascii="Arial" w:cs="Arial" w:eastAsia="Arial" w:hAnsi="Arial"/>
                <w:sz w:val="15"/>
                <w:szCs w:val="15"/>
                <w:b w:val="1"/>
                <w:bCs w:val="1"/>
                <w:color w:val="FFFFFF"/>
                <w:w w:val="99"/>
              </w:rPr>
              <w:t>Market Value of Stock That Must be Owned</w:t>
            </w:r>
          </w:p>
        </w:tc>
      </w:tr>
      <w:tr>
        <w:trPr>
          <w:trHeight w:val="210"/>
        </w:trPr>
        <w:tc>
          <w:tcPr>
            <w:tcW w:w="5060" w:type="dxa"/>
            <w:vAlign w:val="bottom"/>
            <w:shd w:val="clear" w:color="auto" w:fill="666666"/>
          </w:tcPr>
          <w:p>
            <w:pPr>
              <w:ind w:left="80"/>
              <w:spacing w:after="0"/>
              <w:rPr>
                <w:sz w:val="20"/>
                <w:szCs w:val="20"/>
                <w:color w:val="auto"/>
              </w:rPr>
            </w:pPr>
            <w:r>
              <w:rPr>
                <w:rFonts w:ascii="Arial" w:cs="Arial" w:eastAsia="Arial" w:hAnsi="Arial"/>
                <w:sz w:val="15"/>
                <w:szCs w:val="15"/>
                <w:b w:val="1"/>
                <w:bCs w:val="1"/>
                <w:color w:val="FFFFFF"/>
              </w:rPr>
              <w:t>Position</w:t>
            </w:r>
          </w:p>
        </w:tc>
        <w:tc>
          <w:tcPr>
            <w:tcW w:w="5020" w:type="dxa"/>
            <w:vAlign w:val="bottom"/>
            <w:shd w:val="clear" w:color="auto" w:fill="666666"/>
          </w:tcPr>
          <w:p>
            <w:pPr>
              <w:jc w:val="center"/>
              <w:ind w:left="221"/>
              <w:spacing w:after="0"/>
              <w:rPr>
                <w:sz w:val="20"/>
                <w:szCs w:val="20"/>
                <w:color w:val="auto"/>
              </w:rPr>
            </w:pPr>
            <w:r>
              <w:rPr>
                <w:rFonts w:ascii="Arial" w:cs="Arial" w:eastAsia="Arial" w:hAnsi="Arial"/>
                <w:sz w:val="15"/>
                <w:szCs w:val="15"/>
                <w:b w:val="1"/>
                <w:bCs w:val="1"/>
                <w:color w:val="FFFFFF"/>
                <w:w w:val="98"/>
              </w:rPr>
              <w:t>(As a Multiple of Base Salary)</w:t>
            </w:r>
          </w:p>
        </w:tc>
      </w:tr>
      <w:tr>
        <w:trPr>
          <w:trHeight w:val="264"/>
        </w:trPr>
        <w:tc>
          <w:tcPr>
            <w:tcW w:w="506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6"/>
                <w:szCs w:val="16"/>
                <w:color w:val="auto"/>
              </w:rPr>
              <w:t>Chief Executive Officer</w:t>
            </w:r>
          </w:p>
        </w:tc>
        <w:tc>
          <w:tcPr>
            <w:tcW w:w="5020" w:type="dxa"/>
            <w:vAlign w:val="bottom"/>
            <w:tcBorders>
              <w:bottom w:val="single" w:sz="8" w:color="E5E5E5"/>
            </w:tcBorders>
            <w:shd w:val="clear" w:color="auto" w:fill="E5E5E5"/>
          </w:tcPr>
          <w:p>
            <w:pPr>
              <w:jc w:val="center"/>
              <w:ind w:left="221"/>
              <w:spacing w:after="0"/>
              <w:rPr>
                <w:sz w:val="20"/>
                <w:szCs w:val="20"/>
                <w:color w:val="auto"/>
              </w:rPr>
            </w:pPr>
            <w:r>
              <w:rPr>
                <w:rFonts w:ascii="Arial" w:cs="Arial" w:eastAsia="Arial" w:hAnsi="Arial"/>
                <w:sz w:val="16"/>
                <w:szCs w:val="16"/>
                <w:color w:val="auto"/>
              </w:rPr>
              <w:t>Five</w:t>
            </w:r>
          </w:p>
        </w:tc>
      </w:tr>
      <w:tr>
        <w:trPr>
          <w:trHeight w:val="250"/>
        </w:trPr>
        <w:tc>
          <w:tcPr>
            <w:tcW w:w="5060" w:type="dxa"/>
            <w:vAlign w:val="bottom"/>
          </w:tcPr>
          <w:p>
            <w:pPr>
              <w:ind w:left="100"/>
              <w:spacing w:after="0"/>
              <w:rPr>
                <w:sz w:val="20"/>
                <w:szCs w:val="20"/>
                <w:color w:val="auto"/>
              </w:rPr>
            </w:pPr>
            <w:r>
              <w:rPr>
                <w:rFonts w:ascii="Arial" w:cs="Arial" w:eastAsia="Arial" w:hAnsi="Arial"/>
                <w:sz w:val="16"/>
                <w:szCs w:val="16"/>
                <w:color w:val="auto"/>
              </w:rPr>
              <w:t>Executive Vice Presidents</w:t>
            </w:r>
          </w:p>
        </w:tc>
        <w:tc>
          <w:tcPr>
            <w:tcW w:w="5020" w:type="dxa"/>
            <w:vAlign w:val="bottom"/>
          </w:tcPr>
          <w:p>
            <w:pPr>
              <w:jc w:val="center"/>
              <w:ind w:left="221"/>
              <w:spacing w:after="0"/>
              <w:rPr>
                <w:sz w:val="20"/>
                <w:szCs w:val="20"/>
                <w:color w:val="auto"/>
              </w:rPr>
            </w:pPr>
            <w:r>
              <w:rPr>
                <w:rFonts w:ascii="Arial" w:cs="Arial" w:eastAsia="Arial" w:hAnsi="Arial"/>
                <w:sz w:val="16"/>
                <w:szCs w:val="16"/>
                <w:color w:val="auto"/>
              </w:rPr>
              <w:t>Three</w:t>
            </w:r>
          </w:p>
        </w:tc>
      </w:tr>
      <w:tr>
        <w:trPr>
          <w:trHeight w:val="35"/>
        </w:trPr>
        <w:tc>
          <w:tcPr>
            <w:tcW w:w="5060" w:type="dxa"/>
            <w:vAlign w:val="bottom"/>
          </w:tcPr>
          <w:p>
            <w:pPr>
              <w:spacing w:after="0"/>
              <w:rPr>
                <w:sz w:val="3"/>
                <w:szCs w:val="3"/>
                <w:color w:val="auto"/>
              </w:rPr>
            </w:pPr>
          </w:p>
        </w:tc>
        <w:tc>
          <w:tcPr>
            <w:tcW w:w="5020" w:type="dxa"/>
            <w:vAlign w:val="bottom"/>
          </w:tcPr>
          <w:p>
            <w:pPr>
              <w:spacing w:after="0"/>
              <w:rPr>
                <w:sz w:val="3"/>
                <w:szCs w:val="3"/>
                <w:color w:val="auto"/>
              </w:rPr>
            </w:pPr>
          </w:p>
        </w:tc>
      </w:tr>
      <w:tr>
        <w:trPr>
          <w:trHeight w:val="250"/>
        </w:trPr>
        <w:tc>
          <w:tcPr>
            <w:tcW w:w="50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Senior Vice Presidents</w:t>
            </w:r>
          </w:p>
        </w:tc>
        <w:tc>
          <w:tcPr>
            <w:tcW w:w="5020" w:type="dxa"/>
            <w:vAlign w:val="bottom"/>
            <w:shd w:val="clear" w:color="auto" w:fill="E5E5E5"/>
          </w:tcPr>
          <w:p>
            <w:pPr>
              <w:jc w:val="center"/>
              <w:ind w:left="221"/>
              <w:spacing w:after="0"/>
              <w:rPr>
                <w:sz w:val="20"/>
                <w:szCs w:val="20"/>
                <w:color w:val="auto"/>
              </w:rPr>
            </w:pPr>
            <w:r>
              <w:rPr>
                <w:rFonts w:ascii="Arial" w:cs="Arial" w:eastAsia="Arial" w:hAnsi="Arial"/>
                <w:sz w:val="16"/>
                <w:szCs w:val="16"/>
                <w:color w:val="auto"/>
              </w:rPr>
              <w:t>Two</w:t>
            </w:r>
          </w:p>
        </w:tc>
      </w:tr>
      <w:tr>
        <w:trPr>
          <w:trHeight w:val="35"/>
        </w:trPr>
        <w:tc>
          <w:tcPr>
            <w:tcW w:w="5060" w:type="dxa"/>
            <w:vAlign w:val="bottom"/>
            <w:shd w:val="clear" w:color="auto" w:fill="E5E5E5"/>
          </w:tcPr>
          <w:p>
            <w:pPr>
              <w:spacing w:after="0"/>
              <w:rPr>
                <w:sz w:val="3"/>
                <w:szCs w:val="3"/>
                <w:color w:val="auto"/>
              </w:rPr>
            </w:pPr>
          </w:p>
        </w:tc>
        <w:tc>
          <w:tcPr>
            <w:tcW w:w="5020" w:type="dxa"/>
            <w:vAlign w:val="bottom"/>
            <w:shd w:val="clear" w:color="auto" w:fill="E5E5E5"/>
          </w:tcPr>
          <w:p>
            <w:pPr>
              <w:spacing w:after="0"/>
              <w:rPr>
                <w:sz w:val="3"/>
                <w:szCs w:val="3"/>
                <w:color w:val="auto"/>
              </w:rPr>
            </w:pPr>
          </w:p>
        </w:tc>
      </w:tr>
    </w:tbl>
    <w:p>
      <w:pPr>
        <w:spacing w:after="0" w:line="177" w:lineRule="exact"/>
        <w:rPr>
          <w:sz w:val="20"/>
          <w:szCs w:val="20"/>
          <w:color w:val="auto"/>
        </w:rPr>
      </w:pPr>
    </w:p>
    <w:p>
      <w:pPr>
        <w:ind w:left="580" w:right="340"/>
        <w:spacing w:after="0" w:line="242" w:lineRule="auto"/>
        <w:rPr>
          <w:sz w:val="20"/>
          <w:szCs w:val="20"/>
          <w:color w:val="auto"/>
        </w:rPr>
      </w:pPr>
      <w:r>
        <w:rPr>
          <w:rFonts w:ascii="Arial" w:cs="Arial" w:eastAsia="Arial" w:hAnsi="Arial"/>
          <w:sz w:val="18"/>
          <w:szCs w:val="18"/>
          <w:color w:val="auto"/>
        </w:rPr>
        <w:t>Once an individual has satisfied his or her applicable guideline level, the number of shares needed to satisfy the guideline level for all future calculations for that individual is fixed as of that measurement date and does not change as a result of subsequent fluctuations in the market price of our common stock, unless that individual’s ownership level falls below that amount.</w:t>
      </w:r>
    </w:p>
    <w:p>
      <w:pPr>
        <w:spacing w:after="0" w:line="154" w:lineRule="exact"/>
        <w:rPr>
          <w:sz w:val="20"/>
          <w:szCs w:val="20"/>
          <w:color w:val="auto"/>
        </w:rPr>
      </w:pPr>
    </w:p>
    <w:p>
      <w:pPr>
        <w:ind w:left="580" w:right="120"/>
        <w:spacing w:after="0" w:line="242" w:lineRule="auto"/>
        <w:rPr>
          <w:sz w:val="20"/>
          <w:szCs w:val="20"/>
          <w:color w:val="auto"/>
        </w:rPr>
      </w:pPr>
      <w:r>
        <w:rPr>
          <w:rFonts w:ascii="Arial" w:cs="Arial" w:eastAsia="Arial" w:hAnsi="Arial"/>
          <w:sz w:val="18"/>
          <w:szCs w:val="18"/>
          <w:color w:val="auto"/>
        </w:rPr>
        <w:t>Shares of our common stock that count towards satisfaction of the guidelines include shares beneficially owned by the individual or immediate family members, including shares held in retirement or deferral accounts, shares held in trust for the benefit of the individual or immediate family members, vested and unvested shares of restricted stock, vested deferred stock units, restricted stock units or performance</w:t>
      </w:r>
    </w:p>
    <w:p>
      <w:pPr>
        <w:spacing w:after="0" w:line="93"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72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jc w:val="both"/>
        <w:ind w:left="580" w:right="40"/>
        <w:spacing w:after="0" w:line="242" w:lineRule="auto"/>
        <w:rPr>
          <w:sz w:val="20"/>
          <w:szCs w:val="20"/>
          <w:color w:val="auto"/>
        </w:rPr>
      </w:pPr>
      <w:r>
        <w:rPr>
          <w:rFonts w:ascii="Arial" w:cs="Arial" w:eastAsia="Arial" w:hAnsi="Arial"/>
          <w:sz w:val="18"/>
          <w:szCs w:val="18"/>
          <w:color w:val="auto"/>
        </w:rPr>
        <w:t>share units that may only be settled in shares of stock, unvested shares of deferred stock units and restricted stock units that may only be settled in shares of stock, and shares acquired as a result of the exercise of vested options. Unvested shares of performance share units and unexercised stock options (whether vested or unvested) do not count towards satisfaction of the guidelines.</w:t>
      </w:r>
    </w:p>
    <w:p>
      <w:pPr>
        <w:spacing w:after="0" w:line="154" w:lineRule="exact"/>
        <w:rPr>
          <w:sz w:val="20"/>
          <w:szCs w:val="20"/>
          <w:color w:val="auto"/>
        </w:rPr>
      </w:pPr>
    </w:p>
    <w:p>
      <w:pPr>
        <w:jc w:val="both"/>
        <w:ind w:left="580" w:right="80"/>
        <w:spacing w:after="0" w:line="242" w:lineRule="auto"/>
        <w:rPr>
          <w:sz w:val="20"/>
          <w:szCs w:val="20"/>
          <w:color w:val="auto"/>
        </w:rPr>
      </w:pPr>
      <w:r>
        <w:rPr>
          <w:rFonts w:ascii="Arial" w:cs="Arial" w:eastAsia="Arial" w:hAnsi="Arial"/>
          <w:sz w:val="18"/>
          <w:szCs w:val="18"/>
          <w:color w:val="auto"/>
        </w:rPr>
        <w:t>In addition, until such time as an executive officer has met his or her specified ownership level as described above, he or she is required to retain an amount equal to 50% of the net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shares remaining after the payment of the exercise price or the tax withholding obligations with respect to an equity award) received as the result of the exercise, vesting, or payment of any equity awards granted to him or her.</w:t>
      </w:r>
    </w:p>
    <w:p>
      <w:pPr>
        <w:spacing w:after="0" w:line="154" w:lineRule="exact"/>
        <w:rPr>
          <w:sz w:val="20"/>
          <w:szCs w:val="20"/>
          <w:color w:val="auto"/>
        </w:rPr>
      </w:pPr>
    </w:p>
    <w:p>
      <w:pPr>
        <w:jc w:val="both"/>
        <w:ind w:left="580" w:right="520"/>
        <w:spacing w:after="0" w:line="242" w:lineRule="auto"/>
        <w:rPr>
          <w:sz w:val="20"/>
          <w:szCs w:val="20"/>
          <w:color w:val="auto"/>
        </w:rPr>
      </w:pPr>
      <w:r>
        <w:rPr>
          <w:rFonts w:ascii="Arial" w:cs="Arial" w:eastAsia="Arial" w:hAnsi="Arial"/>
          <w:sz w:val="18"/>
          <w:szCs w:val="18"/>
          <w:color w:val="auto"/>
        </w:rPr>
        <w:t>Our executive officers and the non-employee members of our Board of Directors are required to meet these ownership requirements within five years of becoming an executive officer or non-employee member of our Board of Directors, as applicable. These individuals are expected to continuously own sufficient shares to satisfy the applicable guideline once attained for as long as they remain subject to the guidelines.</w:t>
      </w:r>
    </w:p>
    <w:p>
      <w:pPr>
        <w:spacing w:after="0" w:line="154" w:lineRule="exact"/>
        <w:rPr>
          <w:sz w:val="20"/>
          <w:szCs w:val="20"/>
          <w:color w:val="auto"/>
        </w:rPr>
      </w:pPr>
    </w:p>
    <w:p>
      <w:pPr>
        <w:ind w:left="580" w:right="420"/>
        <w:spacing w:after="0" w:line="248" w:lineRule="auto"/>
        <w:rPr>
          <w:sz w:val="20"/>
          <w:szCs w:val="20"/>
          <w:color w:val="auto"/>
        </w:rPr>
      </w:pPr>
      <w:r>
        <w:rPr>
          <w:rFonts w:ascii="Arial" w:cs="Arial" w:eastAsia="Arial" w:hAnsi="Arial"/>
          <w:sz w:val="18"/>
          <w:szCs w:val="18"/>
          <w:color w:val="auto"/>
        </w:rPr>
        <w:t>As of the most recent measurement date, April 1, 2022, each of our executive officers has met their stock ownership requirement or is on track to attain his or her share target by the applicable required date. The Compensation Committee believes that this stock ownership aligns the financial interests of our executive officers with those of our stockholders.</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Compensation Recovery Policy</w:t>
      </w:r>
    </w:p>
    <w:p>
      <w:pPr>
        <w:spacing w:after="0" w:line="88" w:lineRule="exact"/>
        <w:rPr>
          <w:sz w:val="20"/>
          <w:szCs w:val="20"/>
          <w:color w:val="auto"/>
        </w:rPr>
      </w:pPr>
    </w:p>
    <w:p>
      <w:pPr>
        <w:ind w:left="580" w:right="140"/>
        <w:spacing w:after="0" w:line="236" w:lineRule="auto"/>
        <w:rPr>
          <w:sz w:val="20"/>
          <w:szCs w:val="20"/>
          <w:color w:val="auto"/>
        </w:rPr>
      </w:pPr>
      <w:r>
        <w:rPr>
          <w:rFonts w:ascii="Arial" w:cs="Arial" w:eastAsia="Arial" w:hAnsi="Arial"/>
          <w:sz w:val="18"/>
          <w:szCs w:val="18"/>
          <w:color w:val="auto"/>
        </w:rPr>
        <w:t>The Compensation Committee has adopted an executive compensation recovery policy (often referred to as a “clawback” policy). The policy addresses when the Compensation Committee will be authorized to cause us to seek to recover erroneously-awarded incentive compensation in the event of an accounting restatement due to material noncompliance with any financial reporting requirements under the federal securities laws. The policy applies to any current or former Section 16 officer during a three-year look-back period. The SEC has adopted final rules requiring the stock exchanges to adopt listing standards implementing the clawback requirement of Section 954 of the Dodd-Frank Act, and we intend to review our policy in connection with the adoption of these final listing standards once Nasdaq has finalized its listing standards.</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Derivatives Trading and Hedging and Pledging Policies</w:t>
      </w:r>
    </w:p>
    <w:p>
      <w:pPr>
        <w:spacing w:after="0" w:line="88" w:lineRule="exact"/>
        <w:rPr>
          <w:sz w:val="20"/>
          <w:szCs w:val="20"/>
          <w:color w:val="auto"/>
        </w:rPr>
      </w:pPr>
    </w:p>
    <w:p>
      <w:pPr>
        <w:ind w:left="580" w:right="80"/>
        <w:spacing w:after="0" w:line="239" w:lineRule="auto"/>
        <w:rPr>
          <w:sz w:val="20"/>
          <w:szCs w:val="20"/>
          <w:color w:val="auto"/>
        </w:rPr>
      </w:pPr>
      <w:r>
        <w:rPr>
          <w:rFonts w:ascii="Arial" w:cs="Arial" w:eastAsia="Arial" w:hAnsi="Arial"/>
          <w:sz w:val="18"/>
          <w:szCs w:val="18"/>
          <w:color w:val="auto"/>
        </w:rPr>
        <w:t>We have adopted a general Insider Trading Policy which provides that employees who are recipients of equity grants, as well as individuals who have been designated as insiders, including executive officers and members of our Board of Directors, may not enter into hedging or monetization transactions, including zero-cost collars, equity swaps, exchange fund and forward sale contracts. Similarly, our Insider Trading Policy generally prohibits these individuals from pledging any of their shares of our common stock as collateral for a loan or other financial arrangement.</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Equity Award Grant Policy</w:t>
      </w:r>
    </w:p>
    <w:p>
      <w:pPr>
        <w:spacing w:after="0" w:line="88" w:lineRule="exact"/>
        <w:rPr>
          <w:sz w:val="20"/>
          <w:szCs w:val="20"/>
          <w:color w:val="auto"/>
        </w:rPr>
      </w:pPr>
    </w:p>
    <w:p>
      <w:pPr>
        <w:ind w:left="580"/>
        <w:spacing w:after="0" w:line="210" w:lineRule="auto"/>
        <w:rPr>
          <w:sz w:val="20"/>
          <w:szCs w:val="20"/>
          <w:color w:val="auto"/>
        </w:rPr>
      </w:pPr>
      <w:r>
        <w:rPr>
          <w:rFonts w:ascii="Arial" w:cs="Arial" w:eastAsia="Arial" w:hAnsi="Arial"/>
          <w:sz w:val="18"/>
          <w:szCs w:val="18"/>
          <w:color w:val="auto"/>
        </w:rPr>
        <w:t>We maintain a formal policy for the timing of equity awards. The policy provided that our annual grant pool is approved at a meeting of the Compensation Committee held in the first quarter of each fiscal year and awards are granted on the 15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of the third month of our fiscal year or if such day is not a business</w:t>
      </w:r>
    </w:p>
    <w:p>
      <w:pPr>
        <w:spacing w:after="0" w:line="96"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2362835" cy="1492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6283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right="120"/>
        <w:spacing w:after="0" w:line="223" w:lineRule="auto"/>
        <w:rPr>
          <w:sz w:val="20"/>
          <w:szCs w:val="20"/>
          <w:color w:val="auto"/>
        </w:rPr>
      </w:pPr>
      <w:r>
        <w:rPr>
          <w:rFonts w:ascii="Arial" w:cs="Arial" w:eastAsia="Arial" w:hAnsi="Arial"/>
          <w:sz w:val="18"/>
          <w:szCs w:val="18"/>
          <w:color w:val="auto"/>
        </w:rPr>
        <w:t>day, the first business day immediately preceding such day. On March 2, 2023, the Compensation Committee revised the policy to provide that these annual grants will be granted on the 15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of the fifth month of our fiscal year or if such day is not a business day, the first business day immediately preceding such day. The Compensation Committee approved this change to align our annual grants to occur following our annual meeting. In addition to our annual grant pool, we may grant equity awards to our named executive officers at other times during the year in recognition of special events, such as promotions, or for retention or other business purposes. Under our equity grant policy, all awards to our executive officers must be granted by the Compensation Committee. Annual awards to non-employee directors are granted on the date of the annual meeting. Awards to newly elected non-employee directors will be granted on the effective date of the election of the new director. If the specified grant date falls on a non-business day, the grant date will be the first business day immediately preceding that day. All stock options must be granted at an option price not less than the “fair market value” of a share of our common stock on the grant date.</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Deductibility of Compensation</w:t>
      </w:r>
    </w:p>
    <w:p>
      <w:pPr>
        <w:spacing w:after="0" w:line="88"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Section 162(m) of the Code generally disallows for public companies a tax deduction for federal income tax purposes of remuneration in excess of $1 million paid to the chief executive officer, chief financial officer, and each of the three other most highly-compensated executive officers in any taxable year. Prior to January 1, 2018, remuneration in excess of $ 1 million could in general be deducted if it qualified as “qualified performance-based compensation” within the meaning of the Code. The Tax Cuts and Jobs Act (the “TCJA”) eliminated the “performance-based” exception, beginning January 1, 2018; however, the TCJA provides a transition rule with respect to remuneration that is provided pursuant to a written binding contract that was in effect on November 2, 2017 and that was not materially modified after that date. As a result, compensation paid to our covered executive officers in excess of $1 million in taxable years beginning after December 31, 2017 is not deductible unless it qualifies for the transition relief described above.</w:t>
      </w:r>
    </w:p>
    <w:p>
      <w:pPr>
        <w:spacing w:after="0" w:line="162" w:lineRule="exact"/>
        <w:rPr>
          <w:sz w:val="20"/>
          <w:szCs w:val="20"/>
          <w:color w:val="auto"/>
        </w:rPr>
      </w:pPr>
    </w:p>
    <w:p>
      <w:pPr>
        <w:ind w:left="580" w:right="60"/>
        <w:spacing w:after="0" w:line="233" w:lineRule="auto"/>
        <w:rPr>
          <w:sz w:val="20"/>
          <w:szCs w:val="20"/>
          <w:color w:val="auto"/>
        </w:rPr>
      </w:pPr>
      <w:r>
        <w:rPr>
          <w:rFonts w:ascii="Arial" w:cs="Arial" w:eastAsia="Arial" w:hAnsi="Arial"/>
          <w:sz w:val="18"/>
          <w:szCs w:val="18"/>
          <w:color w:val="auto"/>
        </w:rPr>
        <w:t>In designing our executive compensation program and determining the compensation of our executive officers, including the named executive officers, the Compensation Committee considers a variety of factors, including the possible tax consequences to us and our executive officers, such as the potential impact of the Section 162(m) deduction limit. To maintain flexibility to compensate our executive officers in a manner designed to promote short-term and long-term corporate goals and objectives, the Compensation Committee has not adopted a policy that all compensation must be deductible. The Compensation Committee believes that our stockholder interests are best served if its discretion and flexibility in structuring compensation programs to attract, motivate, and retain key executives is not restricted, even though such arrangements may result in non-deductible compensation expense. Thus, the Compensation Committee may approve compensation for the named executive officers that does not comply with an exemption from the deduction limit when it believes that such compensation is consistent with the goals of our executive compensation program and is in the best interests of Sabre and our stockholders.</w:t>
      </w:r>
    </w:p>
    <w:p>
      <w:pPr>
        <w:spacing w:after="0" w:line="26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“Golden Parachute” Payments</w:t>
      </w:r>
    </w:p>
    <w:p>
      <w:pPr>
        <w:spacing w:after="0" w:line="88" w:lineRule="exact"/>
        <w:rPr>
          <w:sz w:val="20"/>
          <w:szCs w:val="20"/>
          <w:color w:val="auto"/>
        </w:rPr>
      </w:pPr>
    </w:p>
    <w:p>
      <w:pPr>
        <w:ind w:left="580" w:right="280"/>
        <w:spacing w:after="0" w:line="267"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an excise tax if they receive</w:t>
      </w:r>
    </w:p>
    <w:p>
      <w:pPr>
        <w:spacing w:after="0" w:line="72"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74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194310</wp:posOffset>
            </wp:positionV>
            <wp:extent cx="2425700" cy="1492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25700" cy="149225"/>
                    </a:xfrm>
                    <a:prstGeom prst="rect">
                      <a:avLst/>
                    </a:prstGeom>
                    <a:noFill/>
                  </pic:spPr>
                </pic:pic>
              </a:graphicData>
            </a:graphic>
          </wp:anchor>
        </w:drawing>
      </w:r>
    </w:p>
    <w:p>
      <w:pPr>
        <w:spacing w:after="0" w:line="311" w:lineRule="exact"/>
        <w:rPr>
          <w:sz w:val="20"/>
          <w:szCs w:val="20"/>
          <w:color w:val="auto"/>
        </w:rPr>
      </w:pPr>
    </w:p>
    <w:p>
      <w:pPr>
        <w:ind w:left="7160"/>
        <w:spacing w:after="0"/>
        <w:rPr>
          <w:sz w:val="20"/>
          <w:szCs w:val="20"/>
          <w:color w:val="auto"/>
        </w:rPr>
      </w:pPr>
      <w:r>
        <w:rPr>
          <w:rFonts w:ascii="Arial" w:cs="Arial" w:eastAsia="Arial" w:hAnsi="Arial"/>
          <w:sz w:val="15"/>
          <w:szCs w:val="15"/>
          <w:b w:val="1"/>
          <w:bCs w:val="1"/>
          <w:color w:val="FFFFFF"/>
        </w:rPr>
        <w:t>COMPENSATION DISCUSSION AND ANALYSIS</w:t>
      </w:r>
    </w:p>
    <w:p>
      <w:pPr>
        <w:spacing w:after="0" w:line="239"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payments or benefits in connection with a change in control of Sabre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2022, and we have not agreed and are not otherwise obligated to provide any named executive officer with such a “gross-up” or other reimbursement.</w:t>
      </w: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88" w:lineRule="exact"/>
        <w:rPr>
          <w:sz w:val="20"/>
          <w:szCs w:val="20"/>
          <w:color w:val="auto"/>
        </w:rPr>
      </w:pPr>
    </w:p>
    <w:p>
      <w:pPr>
        <w:ind w:left="580"/>
        <w:spacing w:after="0" w:line="236" w:lineRule="auto"/>
        <w:rPr>
          <w:sz w:val="20"/>
          <w:szCs w:val="20"/>
          <w:color w:val="auto"/>
        </w:rPr>
      </w:pPr>
      <w:r>
        <w:rPr>
          <w:rFonts w:ascii="Arial" w:cs="Arial" w:eastAsia="Arial" w:hAnsi="Arial"/>
          <w:sz w:val="18"/>
          <w:szCs w:val="18"/>
          <w:color w:val="auto"/>
        </w:rPr>
        <w:t>We follow ASC Topic 718 for our stock-based compensation awards, which requires companies to measure the compensation expense for all share-based payment awards made to employees and directors, including stock options, stock appreciation rights and other awards, based on the grant date “fair value” of these awards. This calculation is performed for accounting purposes and reported in the compensation tables below, even though our employees, including our executive officers, and directors may never realize any value from their awards. ASC Topic 718 also requires companies to recognize the compensation cost of their stock-based compensation awards in their income statements over the period that an employee or director is required to render service in exchange for the stock option, stock appreciation right, or other award.</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our management, which has the responsibility for preparing the Compensation Discussion and Analysis. Based upon this review and discussion, the Compensation Committee recommended to our Board of Directors that the Compensation Discussion and Analysis be included in this proxy statement and incorporated by reference in our Annual Report on Form 10-K filed with the SEC for the fiscal year ended December 31, 2022.</w:t>
      </w:r>
    </w:p>
    <w:p>
      <w:pPr>
        <w:spacing w:after="0" w:line="15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COMPENSATION COMMITTEE OF</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THE BOARD OF DIRECTORS</w:t>
      </w:r>
    </w:p>
    <w:p>
      <w:pPr>
        <w:spacing w:after="0" w:line="17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Scott, Chair</w:t>
      </w:r>
    </w:p>
    <w:p>
      <w:pPr>
        <w:ind w:left="6040"/>
        <w:spacing w:after="0"/>
        <w:rPr>
          <w:sz w:val="20"/>
          <w:szCs w:val="20"/>
          <w:color w:val="auto"/>
        </w:rPr>
      </w:pPr>
      <w:r>
        <w:rPr>
          <w:rFonts w:ascii="Arial" w:cs="Arial" w:eastAsia="Arial" w:hAnsi="Arial"/>
          <w:sz w:val="18"/>
          <w:szCs w:val="18"/>
          <w:color w:val="auto"/>
        </w:rPr>
        <w:t>Karl Peterson</w:t>
      </w:r>
    </w:p>
    <w:p>
      <w:pPr>
        <w:ind w:left="6040"/>
        <w:spacing w:after="0"/>
        <w:rPr>
          <w:sz w:val="20"/>
          <w:szCs w:val="20"/>
          <w:color w:val="auto"/>
        </w:rPr>
      </w:pPr>
      <w:r>
        <w:rPr>
          <w:rFonts w:ascii="Arial" w:cs="Arial" w:eastAsia="Arial" w:hAnsi="Arial"/>
          <w:sz w:val="18"/>
          <w:szCs w:val="18"/>
          <w:color w:val="auto"/>
        </w:rPr>
        <w:t>Zane Rowe</w:t>
      </w:r>
    </w:p>
    <w:p>
      <w:pPr>
        <w:spacing w:after="0" w:line="110" w:lineRule="exact"/>
        <w:rPr>
          <w:sz w:val="20"/>
          <w:szCs w:val="20"/>
          <w:color w:val="auto"/>
        </w:rPr>
      </w:pPr>
    </w:p>
    <w:p>
      <w:pPr>
        <w:ind w:left="6220"/>
        <w:spacing w:after="0"/>
        <w:tabs>
          <w:tab w:leader="none" w:pos="7980" w:val="left"/>
          <w:tab w:leader="none" w:pos="10020" w:val="left"/>
          <w:tab w:leader="none" w:pos="1038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-107315</wp:posOffset>
            </wp:positionV>
            <wp:extent cx="415925" cy="1022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EXECUTIVE COMPENSATION</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2022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40"/>
        <w:spacing w:after="0" w:line="267" w:lineRule="auto"/>
        <w:rPr>
          <w:sz w:val="20"/>
          <w:szCs w:val="20"/>
          <w:color w:val="auto"/>
        </w:rPr>
      </w:pPr>
      <w:r>
        <w:rPr>
          <w:rFonts w:ascii="Arial" w:cs="Arial" w:eastAsia="Arial" w:hAnsi="Arial"/>
          <w:sz w:val="18"/>
          <w:szCs w:val="18"/>
          <w:color w:val="auto"/>
        </w:rPr>
        <w:t>The following table sets forth the compensation paid to, received by, or earned during fiscal years 2022, 2021, and 2020 by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113665</wp:posOffset>
            </wp:positionV>
            <wp:extent cx="5157470" cy="3085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57470" cy="3085465"/>
                    </a:xfrm>
                    <a:prstGeom prst="rect">
                      <a:avLst/>
                    </a:prstGeom>
                    <a:noFill/>
                  </pic:spPr>
                </pic:pic>
              </a:graphicData>
            </a:graphic>
          </wp:anchor>
        </w:drawing>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120" w:type="dxa"/>
            <w:vAlign w:val="bottom"/>
            <w:shd w:val="clear" w:color="auto" w:fill="666666"/>
          </w:tcPr>
          <w:p>
            <w:pPr>
              <w:spacing w:after="0"/>
              <w:rPr>
                <w:sz w:val="14"/>
                <w:szCs w:val="14"/>
                <w:color w:val="auto"/>
              </w:rPr>
            </w:pPr>
          </w:p>
        </w:tc>
        <w:tc>
          <w:tcPr>
            <w:tcW w:w="860" w:type="dxa"/>
            <w:vAlign w:val="bottom"/>
            <w:shd w:val="clear" w:color="auto" w:fill="666666"/>
          </w:tcPr>
          <w:p>
            <w:pPr>
              <w:spacing w:after="0"/>
              <w:rPr>
                <w:sz w:val="14"/>
                <w:szCs w:val="14"/>
                <w:color w:val="auto"/>
              </w:rPr>
            </w:pPr>
          </w:p>
        </w:tc>
        <w:tc>
          <w:tcPr>
            <w:tcW w:w="1000" w:type="dxa"/>
            <w:vAlign w:val="bottom"/>
            <w:shd w:val="clear" w:color="auto" w:fill="666666"/>
          </w:tcPr>
          <w:p>
            <w:pPr>
              <w:spacing w:after="0"/>
              <w:rPr>
                <w:sz w:val="14"/>
                <w:szCs w:val="14"/>
                <w:color w:val="auto"/>
              </w:rPr>
            </w:pPr>
          </w:p>
        </w:tc>
        <w:tc>
          <w:tcPr>
            <w:tcW w:w="380" w:type="dxa"/>
            <w:vAlign w:val="bottom"/>
            <w:shd w:val="clear" w:color="auto" w:fill="666666"/>
          </w:tcPr>
          <w:p>
            <w:pPr>
              <w:spacing w:after="0"/>
              <w:rPr>
                <w:sz w:val="14"/>
                <w:szCs w:val="14"/>
                <w:color w:val="auto"/>
              </w:rPr>
            </w:pPr>
          </w:p>
        </w:tc>
        <w:tc>
          <w:tcPr>
            <w:tcW w:w="800" w:type="dxa"/>
            <w:vAlign w:val="bottom"/>
            <w:shd w:val="clear" w:color="auto" w:fill="666666"/>
          </w:tcPr>
          <w:p>
            <w:pPr>
              <w:spacing w:after="0"/>
              <w:rPr>
                <w:sz w:val="14"/>
                <w:szCs w:val="14"/>
                <w:color w:val="auto"/>
              </w:rPr>
            </w:pPr>
          </w:p>
        </w:tc>
        <w:tc>
          <w:tcPr>
            <w:tcW w:w="840" w:type="dxa"/>
            <w:vAlign w:val="bottom"/>
            <w:shd w:val="clear" w:color="auto" w:fill="666666"/>
          </w:tcPr>
          <w:p>
            <w:pPr>
              <w:spacing w:after="0"/>
              <w:rPr>
                <w:sz w:val="14"/>
                <w:szCs w:val="14"/>
                <w:color w:val="auto"/>
              </w:rPr>
            </w:pPr>
          </w:p>
        </w:tc>
        <w:tc>
          <w:tcPr>
            <w:tcW w:w="140" w:type="dxa"/>
            <w:vAlign w:val="bottom"/>
            <w:shd w:val="clear" w:color="auto" w:fill="666666"/>
          </w:tcPr>
          <w:p>
            <w:pPr>
              <w:spacing w:after="0"/>
              <w:rPr>
                <w:sz w:val="14"/>
                <w:szCs w:val="14"/>
                <w:color w:val="auto"/>
              </w:rPr>
            </w:pPr>
          </w:p>
        </w:tc>
        <w:tc>
          <w:tcPr>
            <w:tcW w:w="720" w:type="dxa"/>
            <w:vAlign w:val="bottom"/>
            <w:vMerge w:val="restart"/>
            <w:shd w:val="clear" w:color="auto" w:fill="666666"/>
          </w:tcPr>
          <w:p>
            <w:pPr>
              <w:jc w:val="center"/>
              <w:ind w:right="114"/>
              <w:spacing w:after="0"/>
              <w:rPr>
                <w:sz w:val="20"/>
                <w:szCs w:val="20"/>
                <w:color w:val="auto"/>
              </w:rPr>
            </w:pPr>
            <w:r>
              <w:rPr>
                <w:rFonts w:ascii="Arial" w:cs="Arial" w:eastAsia="Arial" w:hAnsi="Arial"/>
                <w:sz w:val="15"/>
                <w:szCs w:val="15"/>
                <w:b w:val="1"/>
                <w:bCs w:val="1"/>
                <w:color w:val="FFFFFF"/>
              </w:rPr>
              <w:t>Stock</w:t>
            </w:r>
          </w:p>
        </w:tc>
        <w:tc>
          <w:tcPr>
            <w:tcW w:w="740" w:type="dxa"/>
            <w:vAlign w:val="bottom"/>
            <w:gridSpan w:val="2"/>
            <w:vMerge w:val="restart"/>
            <w:shd w:val="clear" w:color="auto" w:fill="666666"/>
          </w:tcPr>
          <w:p>
            <w:pPr>
              <w:jc w:val="right"/>
              <w:ind w:right="115"/>
              <w:spacing w:after="0"/>
              <w:rPr>
                <w:sz w:val="20"/>
                <w:szCs w:val="20"/>
                <w:color w:val="auto"/>
              </w:rPr>
            </w:pPr>
            <w:r>
              <w:rPr>
                <w:rFonts w:ascii="Arial" w:cs="Arial" w:eastAsia="Arial" w:hAnsi="Arial"/>
                <w:sz w:val="15"/>
                <w:szCs w:val="15"/>
                <w:b w:val="1"/>
                <w:bCs w:val="1"/>
                <w:color w:val="FFFFFF"/>
              </w:rPr>
              <w:t>Option</w:t>
            </w:r>
          </w:p>
        </w:tc>
        <w:tc>
          <w:tcPr>
            <w:tcW w:w="136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Non-Equity</w:t>
            </w:r>
          </w:p>
        </w:tc>
        <w:tc>
          <w:tcPr>
            <w:tcW w:w="660" w:type="dxa"/>
            <w:vAlign w:val="bottom"/>
            <w:shd w:val="clear" w:color="auto" w:fill="666666"/>
          </w:tcPr>
          <w:p>
            <w:pPr>
              <w:spacing w:after="0"/>
              <w:rPr>
                <w:sz w:val="14"/>
                <w:szCs w:val="14"/>
                <w:color w:val="auto"/>
              </w:rPr>
            </w:pPr>
          </w:p>
        </w:tc>
        <w:tc>
          <w:tcPr>
            <w:tcW w:w="620" w:type="dxa"/>
            <w:vAlign w:val="bottom"/>
            <w:shd w:val="clear" w:color="auto" w:fill="666666"/>
          </w:tcPr>
          <w:p>
            <w:pPr>
              <w:spacing w:after="0"/>
              <w:rPr>
                <w:sz w:val="14"/>
                <w:szCs w:val="14"/>
                <w:color w:val="auto"/>
              </w:rPr>
            </w:pPr>
          </w:p>
        </w:tc>
        <w:tc>
          <w:tcPr>
            <w:tcW w:w="180" w:type="dxa"/>
            <w:vAlign w:val="bottom"/>
            <w:shd w:val="clear" w:color="auto" w:fill="666666"/>
          </w:tcPr>
          <w:p>
            <w:pPr>
              <w:spacing w:after="0"/>
              <w:rPr>
                <w:sz w:val="14"/>
                <w:szCs w:val="14"/>
                <w:color w:val="auto"/>
              </w:rPr>
            </w:pPr>
          </w:p>
        </w:tc>
        <w:tc>
          <w:tcPr>
            <w:tcW w:w="660" w:type="dxa"/>
            <w:vAlign w:val="bottom"/>
            <w:shd w:val="clear" w:color="auto" w:fill="666666"/>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80" w:type="dxa"/>
            <w:vAlign w:val="bottom"/>
            <w:gridSpan w:val="2"/>
            <w:shd w:val="clear" w:color="auto" w:fill="666666"/>
          </w:tcPr>
          <w:p>
            <w:pPr>
              <w:ind w:left="600"/>
              <w:spacing w:after="0" w:line="161" w:lineRule="exact"/>
              <w:rPr>
                <w:sz w:val="20"/>
                <w:szCs w:val="20"/>
                <w:color w:val="auto"/>
              </w:rPr>
            </w:pPr>
            <w:r>
              <w:rPr>
                <w:rFonts w:ascii="Arial" w:cs="Arial" w:eastAsia="Arial" w:hAnsi="Arial"/>
                <w:sz w:val="15"/>
                <w:szCs w:val="15"/>
                <w:b w:val="1"/>
                <w:bCs w:val="1"/>
                <w:color w:val="FFFFFF"/>
              </w:rPr>
              <w:t>Name and</w:t>
            </w:r>
          </w:p>
        </w:tc>
        <w:tc>
          <w:tcPr>
            <w:tcW w:w="1000" w:type="dxa"/>
            <w:vAlign w:val="bottom"/>
            <w:shd w:val="clear" w:color="auto" w:fill="666666"/>
          </w:tcPr>
          <w:p>
            <w:pPr>
              <w:spacing w:after="0"/>
              <w:rPr>
                <w:sz w:val="13"/>
                <w:szCs w:val="13"/>
                <w:color w:val="auto"/>
              </w:rPr>
            </w:pPr>
          </w:p>
        </w:tc>
        <w:tc>
          <w:tcPr>
            <w:tcW w:w="380" w:type="dxa"/>
            <w:vAlign w:val="bottom"/>
            <w:shd w:val="clear" w:color="auto" w:fill="666666"/>
          </w:tcPr>
          <w:p>
            <w:pPr>
              <w:spacing w:after="0"/>
              <w:rPr>
                <w:sz w:val="13"/>
                <w:szCs w:val="13"/>
                <w:color w:val="auto"/>
              </w:rPr>
            </w:pPr>
          </w:p>
        </w:tc>
        <w:tc>
          <w:tcPr>
            <w:tcW w:w="800" w:type="dxa"/>
            <w:vAlign w:val="bottom"/>
            <w:shd w:val="clear" w:color="auto" w:fill="666666"/>
          </w:tcPr>
          <w:p>
            <w:pPr>
              <w:spacing w:after="0"/>
              <w:rPr>
                <w:sz w:val="13"/>
                <w:szCs w:val="13"/>
                <w:color w:val="auto"/>
              </w:rPr>
            </w:pPr>
          </w:p>
        </w:tc>
        <w:tc>
          <w:tcPr>
            <w:tcW w:w="840" w:type="dxa"/>
            <w:vAlign w:val="bottom"/>
            <w:shd w:val="clear" w:color="auto" w:fill="666666"/>
          </w:tcPr>
          <w:p>
            <w:pPr>
              <w:spacing w:after="0"/>
              <w:rPr>
                <w:sz w:val="13"/>
                <w:szCs w:val="13"/>
                <w:color w:val="auto"/>
              </w:rPr>
            </w:pPr>
          </w:p>
        </w:tc>
        <w:tc>
          <w:tcPr>
            <w:tcW w:w="140" w:type="dxa"/>
            <w:vAlign w:val="bottom"/>
            <w:shd w:val="clear" w:color="auto" w:fill="666666"/>
          </w:tcPr>
          <w:p>
            <w:pPr>
              <w:spacing w:after="0"/>
              <w:rPr>
                <w:sz w:val="13"/>
                <w:szCs w:val="13"/>
                <w:color w:val="auto"/>
              </w:rPr>
            </w:pPr>
          </w:p>
        </w:tc>
        <w:tc>
          <w:tcPr>
            <w:tcW w:w="720" w:type="dxa"/>
            <w:vAlign w:val="bottom"/>
            <w:vMerge w:val="continue"/>
            <w:shd w:val="clear" w:color="auto" w:fill="666666"/>
          </w:tcPr>
          <w:p>
            <w:pPr>
              <w:spacing w:after="0"/>
              <w:rPr>
                <w:sz w:val="13"/>
                <w:szCs w:val="13"/>
                <w:color w:val="auto"/>
              </w:rPr>
            </w:pPr>
          </w:p>
        </w:tc>
        <w:tc>
          <w:tcPr>
            <w:tcW w:w="740" w:type="dxa"/>
            <w:vAlign w:val="bottom"/>
            <w:gridSpan w:val="2"/>
            <w:vMerge w:val="continue"/>
            <w:shd w:val="clear" w:color="auto" w:fill="666666"/>
          </w:tcPr>
          <w:p>
            <w:pPr>
              <w:spacing w:after="0"/>
              <w:rPr>
                <w:sz w:val="13"/>
                <w:szCs w:val="13"/>
                <w:color w:val="auto"/>
              </w:rPr>
            </w:pPr>
          </w:p>
        </w:tc>
        <w:tc>
          <w:tcPr>
            <w:tcW w:w="1360" w:type="dxa"/>
            <w:vAlign w:val="bottom"/>
            <w:gridSpan w:val="2"/>
            <w:shd w:val="clear" w:color="auto" w:fill="666666"/>
          </w:tcPr>
          <w:p>
            <w:pPr>
              <w:jc w:val="center"/>
              <w:spacing w:after="0" w:line="161" w:lineRule="exact"/>
              <w:rPr>
                <w:sz w:val="20"/>
                <w:szCs w:val="20"/>
                <w:color w:val="auto"/>
              </w:rPr>
            </w:pPr>
            <w:r>
              <w:rPr>
                <w:rFonts w:ascii="Arial" w:cs="Arial" w:eastAsia="Arial" w:hAnsi="Arial"/>
                <w:sz w:val="15"/>
                <w:szCs w:val="15"/>
                <w:b w:val="1"/>
                <w:bCs w:val="1"/>
                <w:color w:val="FFFFFF"/>
                <w:w w:val="97"/>
              </w:rPr>
              <w:t>Incentive Plan</w:t>
            </w:r>
          </w:p>
        </w:tc>
        <w:tc>
          <w:tcPr>
            <w:tcW w:w="1280" w:type="dxa"/>
            <w:vAlign w:val="bottom"/>
            <w:gridSpan w:val="2"/>
            <w:shd w:val="clear" w:color="auto" w:fill="666666"/>
          </w:tcPr>
          <w:p>
            <w:pPr>
              <w:jc w:val="right"/>
              <w:ind w:right="234"/>
              <w:spacing w:after="0" w:line="161" w:lineRule="exact"/>
              <w:rPr>
                <w:sz w:val="20"/>
                <w:szCs w:val="20"/>
                <w:color w:val="auto"/>
              </w:rPr>
            </w:pPr>
            <w:r>
              <w:rPr>
                <w:rFonts w:ascii="Arial" w:cs="Arial" w:eastAsia="Arial" w:hAnsi="Arial"/>
                <w:sz w:val="15"/>
                <w:szCs w:val="15"/>
                <w:b w:val="1"/>
                <w:bCs w:val="1"/>
                <w:color w:val="FFFFFF"/>
              </w:rPr>
              <w:t>All Other</w:t>
            </w:r>
          </w:p>
        </w:tc>
        <w:tc>
          <w:tcPr>
            <w:tcW w:w="180" w:type="dxa"/>
            <w:vAlign w:val="bottom"/>
            <w:shd w:val="clear" w:color="auto" w:fill="666666"/>
          </w:tcPr>
          <w:p>
            <w:pPr>
              <w:spacing w:after="0"/>
              <w:rPr>
                <w:sz w:val="13"/>
                <w:szCs w:val="13"/>
                <w:color w:val="auto"/>
              </w:rPr>
            </w:pPr>
          </w:p>
        </w:tc>
        <w:tc>
          <w:tcPr>
            <w:tcW w:w="660" w:type="dxa"/>
            <w:vAlign w:val="bottom"/>
            <w:shd w:val="clear" w:color="auto" w:fill="666666"/>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80" w:type="dxa"/>
            <w:vAlign w:val="bottom"/>
            <w:gridSpan w:val="2"/>
            <w:shd w:val="clear" w:color="auto" w:fill="666666"/>
          </w:tcPr>
          <w:p>
            <w:pPr>
              <w:ind w:left="660"/>
              <w:spacing w:after="0"/>
              <w:rPr>
                <w:sz w:val="20"/>
                <w:szCs w:val="20"/>
                <w:color w:val="auto"/>
              </w:rPr>
            </w:pPr>
            <w:r>
              <w:rPr>
                <w:rFonts w:ascii="Arial" w:cs="Arial" w:eastAsia="Arial" w:hAnsi="Arial"/>
                <w:sz w:val="15"/>
                <w:szCs w:val="15"/>
                <w:b w:val="1"/>
                <w:bCs w:val="1"/>
                <w:color w:val="FFFFFF"/>
              </w:rPr>
              <w:t>Principal</w:t>
            </w:r>
          </w:p>
        </w:tc>
        <w:tc>
          <w:tcPr>
            <w:tcW w:w="1000" w:type="dxa"/>
            <w:vAlign w:val="bottom"/>
            <w:shd w:val="clear" w:color="auto" w:fill="666666"/>
          </w:tcPr>
          <w:p>
            <w:pPr>
              <w:jc w:val="right"/>
              <w:ind w:right="233"/>
              <w:spacing w:after="0"/>
              <w:rPr>
                <w:sz w:val="20"/>
                <w:szCs w:val="20"/>
                <w:color w:val="auto"/>
              </w:rPr>
            </w:pPr>
            <w:r>
              <w:rPr>
                <w:rFonts w:ascii="Arial" w:cs="Arial" w:eastAsia="Arial" w:hAnsi="Arial"/>
                <w:sz w:val="15"/>
                <w:szCs w:val="15"/>
                <w:b w:val="1"/>
                <w:bCs w:val="1"/>
                <w:color w:val="FFFFFF"/>
              </w:rPr>
              <w:t>Fiscal</w:t>
            </w:r>
          </w:p>
        </w:tc>
        <w:tc>
          <w:tcPr>
            <w:tcW w:w="380" w:type="dxa"/>
            <w:vAlign w:val="bottom"/>
            <w:shd w:val="clear" w:color="auto" w:fill="666666"/>
          </w:tcPr>
          <w:p>
            <w:pPr>
              <w:spacing w:after="0"/>
              <w:rPr>
                <w:sz w:val="15"/>
                <w:szCs w:val="15"/>
                <w:color w:val="auto"/>
              </w:rPr>
            </w:pPr>
          </w:p>
        </w:tc>
        <w:tc>
          <w:tcPr>
            <w:tcW w:w="800" w:type="dxa"/>
            <w:vAlign w:val="bottom"/>
            <w:shd w:val="clear" w:color="auto" w:fill="666666"/>
          </w:tcPr>
          <w:p>
            <w:pPr>
              <w:jc w:val="right"/>
              <w:ind w:right="273"/>
              <w:spacing w:after="0"/>
              <w:rPr>
                <w:sz w:val="20"/>
                <w:szCs w:val="20"/>
                <w:color w:val="auto"/>
              </w:rPr>
            </w:pPr>
            <w:r>
              <w:rPr>
                <w:rFonts w:ascii="Arial" w:cs="Arial" w:eastAsia="Arial" w:hAnsi="Arial"/>
                <w:sz w:val="15"/>
                <w:szCs w:val="15"/>
                <w:b w:val="1"/>
                <w:bCs w:val="1"/>
                <w:color w:val="FFFFFF"/>
                <w:w w:val="97"/>
              </w:rPr>
              <w:t>Salary</w:t>
            </w:r>
          </w:p>
        </w:tc>
        <w:tc>
          <w:tcPr>
            <w:tcW w:w="840" w:type="dxa"/>
            <w:vAlign w:val="bottom"/>
            <w:shd w:val="clear" w:color="auto" w:fill="666666"/>
          </w:tcPr>
          <w:p>
            <w:pPr>
              <w:jc w:val="right"/>
              <w:ind w:right="73"/>
              <w:spacing w:after="0"/>
              <w:rPr>
                <w:sz w:val="20"/>
                <w:szCs w:val="20"/>
                <w:color w:val="auto"/>
              </w:rPr>
            </w:pPr>
            <w:r>
              <w:rPr>
                <w:rFonts w:ascii="Arial" w:cs="Arial" w:eastAsia="Arial" w:hAnsi="Arial"/>
                <w:sz w:val="15"/>
                <w:szCs w:val="15"/>
                <w:b w:val="1"/>
                <w:bCs w:val="1"/>
                <w:color w:val="FFFFFF"/>
              </w:rPr>
              <w:t>Bonus</w:t>
            </w:r>
          </w:p>
        </w:tc>
        <w:tc>
          <w:tcPr>
            <w:tcW w:w="140" w:type="dxa"/>
            <w:vAlign w:val="bottom"/>
            <w:shd w:val="clear" w:color="auto" w:fill="666666"/>
          </w:tcPr>
          <w:p>
            <w:pPr>
              <w:spacing w:after="0"/>
              <w:rPr>
                <w:sz w:val="15"/>
                <w:szCs w:val="15"/>
                <w:color w:val="auto"/>
              </w:rPr>
            </w:pPr>
          </w:p>
        </w:tc>
        <w:tc>
          <w:tcPr>
            <w:tcW w:w="720" w:type="dxa"/>
            <w:vAlign w:val="bottom"/>
            <w:shd w:val="clear" w:color="auto" w:fill="666666"/>
          </w:tcPr>
          <w:p>
            <w:pPr>
              <w:jc w:val="center"/>
              <w:ind w:right="114"/>
              <w:spacing w:after="0"/>
              <w:rPr>
                <w:sz w:val="20"/>
                <w:szCs w:val="20"/>
                <w:color w:val="auto"/>
              </w:rPr>
            </w:pPr>
            <w:r>
              <w:rPr>
                <w:rFonts w:ascii="Arial" w:cs="Arial" w:eastAsia="Arial" w:hAnsi="Arial"/>
                <w:sz w:val="15"/>
                <w:szCs w:val="15"/>
                <w:b w:val="1"/>
                <w:bCs w:val="1"/>
                <w:color w:val="FFFFFF"/>
                <w:w w:val="99"/>
              </w:rPr>
              <w:t>Awards</w:t>
            </w:r>
          </w:p>
        </w:tc>
        <w:tc>
          <w:tcPr>
            <w:tcW w:w="740" w:type="dxa"/>
            <w:vAlign w:val="bottom"/>
            <w:gridSpan w:val="2"/>
            <w:shd w:val="clear" w:color="auto" w:fill="666666"/>
          </w:tcPr>
          <w:p>
            <w:pPr>
              <w:ind w:left="60"/>
              <w:spacing w:after="0"/>
              <w:rPr>
                <w:sz w:val="20"/>
                <w:szCs w:val="20"/>
                <w:color w:val="auto"/>
              </w:rPr>
            </w:pPr>
            <w:r>
              <w:rPr>
                <w:rFonts w:ascii="Arial" w:cs="Arial" w:eastAsia="Arial" w:hAnsi="Arial"/>
                <w:sz w:val="15"/>
                <w:szCs w:val="15"/>
                <w:b w:val="1"/>
                <w:bCs w:val="1"/>
                <w:color w:val="FFFFFF"/>
              </w:rPr>
              <w:t>Awards</w:t>
            </w:r>
          </w:p>
        </w:tc>
        <w:tc>
          <w:tcPr>
            <w:tcW w:w="136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1280" w:type="dxa"/>
            <w:vAlign w:val="bottom"/>
            <w:gridSpan w:val="2"/>
            <w:shd w:val="clear" w:color="auto" w:fill="666666"/>
          </w:tcPr>
          <w:p>
            <w:pPr>
              <w:jc w:val="right"/>
              <w:ind w:right="34"/>
              <w:spacing w:after="0"/>
              <w:rPr>
                <w:sz w:val="20"/>
                <w:szCs w:val="20"/>
                <w:color w:val="auto"/>
              </w:rPr>
            </w:pPr>
            <w:r>
              <w:rPr>
                <w:rFonts w:ascii="Arial" w:cs="Arial" w:eastAsia="Arial" w:hAnsi="Arial"/>
                <w:sz w:val="15"/>
                <w:szCs w:val="15"/>
                <w:b w:val="1"/>
                <w:bCs w:val="1"/>
                <w:color w:val="FFFFFF"/>
              </w:rPr>
              <w:t>Compensation</w:t>
            </w:r>
          </w:p>
        </w:tc>
        <w:tc>
          <w:tcPr>
            <w:tcW w:w="180" w:type="dxa"/>
            <w:vAlign w:val="bottom"/>
            <w:shd w:val="clear" w:color="auto" w:fill="666666"/>
          </w:tcPr>
          <w:p>
            <w:pPr>
              <w:spacing w:after="0"/>
              <w:rPr>
                <w:sz w:val="15"/>
                <w:szCs w:val="15"/>
                <w:color w:val="auto"/>
              </w:rPr>
            </w:pPr>
          </w:p>
        </w:tc>
        <w:tc>
          <w:tcPr>
            <w:tcW w:w="660" w:type="dxa"/>
            <w:vAlign w:val="bottom"/>
            <w:shd w:val="clear" w:color="auto" w:fill="666666"/>
          </w:tcPr>
          <w:p>
            <w:pPr>
              <w:jc w:val="right"/>
              <w:ind w:right="13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8"/>
        </w:trPr>
        <w:tc>
          <w:tcPr>
            <w:tcW w:w="1980" w:type="dxa"/>
            <w:vAlign w:val="bottom"/>
            <w:gridSpan w:val="2"/>
            <w:shd w:val="clear" w:color="auto" w:fill="666666"/>
          </w:tcPr>
          <w:p>
            <w:pPr>
              <w:ind w:left="700"/>
              <w:spacing w:after="0"/>
              <w:rPr>
                <w:sz w:val="20"/>
                <w:szCs w:val="20"/>
                <w:color w:val="auto"/>
              </w:rPr>
            </w:pPr>
            <w:r>
              <w:rPr>
                <w:rFonts w:ascii="Arial" w:cs="Arial" w:eastAsia="Arial" w:hAnsi="Arial"/>
                <w:sz w:val="15"/>
                <w:szCs w:val="15"/>
                <w:b w:val="1"/>
                <w:bCs w:val="1"/>
                <w:color w:val="FFFFFF"/>
              </w:rPr>
              <w:t>Position</w:t>
            </w:r>
          </w:p>
        </w:tc>
        <w:tc>
          <w:tcPr>
            <w:tcW w:w="1000" w:type="dxa"/>
            <w:vAlign w:val="bottom"/>
            <w:shd w:val="clear" w:color="auto" w:fill="666666"/>
          </w:tcPr>
          <w:p>
            <w:pPr>
              <w:jc w:val="right"/>
              <w:ind w:right="273"/>
              <w:spacing w:after="0"/>
              <w:rPr>
                <w:sz w:val="20"/>
                <w:szCs w:val="20"/>
                <w:color w:val="auto"/>
              </w:rPr>
            </w:pPr>
            <w:r>
              <w:rPr>
                <w:rFonts w:ascii="Arial" w:cs="Arial" w:eastAsia="Arial" w:hAnsi="Arial"/>
                <w:sz w:val="15"/>
                <w:szCs w:val="15"/>
                <w:b w:val="1"/>
                <w:bCs w:val="1"/>
                <w:color w:val="FFFFFF"/>
              </w:rPr>
              <w:t>Year</w:t>
            </w:r>
          </w:p>
        </w:tc>
        <w:tc>
          <w:tcPr>
            <w:tcW w:w="380" w:type="dxa"/>
            <w:vAlign w:val="bottom"/>
            <w:shd w:val="clear" w:color="auto" w:fill="666666"/>
          </w:tcPr>
          <w:p>
            <w:pPr>
              <w:spacing w:after="0"/>
              <w:rPr>
                <w:sz w:val="17"/>
                <w:szCs w:val="17"/>
                <w:color w:val="auto"/>
              </w:rPr>
            </w:pPr>
          </w:p>
        </w:tc>
        <w:tc>
          <w:tcPr>
            <w:tcW w:w="800" w:type="dxa"/>
            <w:vAlign w:val="bottom"/>
            <w:shd w:val="clear" w:color="auto" w:fill="666666"/>
          </w:tcPr>
          <w:p>
            <w:pPr>
              <w:jc w:val="right"/>
              <w:ind w:right="393"/>
              <w:spacing w:after="0"/>
              <w:rPr>
                <w:sz w:val="20"/>
                <w:szCs w:val="20"/>
                <w:color w:val="auto"/>
              </w:rPr>
            </w:pPr>
            <w:r>
              <w:rPr>
                <w:rFonts w:ascii="Arial" w:cs="Arial" w:eastAsia="Arial" w:hAnsi="Arial"/>
                <w:sz w:val="15"/>
                <w:szCs w:val="15"/>
                <w:b w:val="1"/>
                <w:bCs w:val="1"/>
                <w:color w:val="FFFFFF"/>
              </w:rPr>
              <w:t>($)</w:t>
            </w:r>
          </w:p>
        </w:tc>
        <w:tc>
          <w:tcPr>
            <w:tcW w:w="840" w:type="dxa"/>
            <w:vAlign w:val="bottom"/>
            <w:shd w:val="clear" w:color="auto" w:fill="666666"/>
          </w:tcPr>
          <w:p>
            <w:pPr>
              <w:jc w:val="right"/>
              <w:ind w:right="213"/>
              <w:spacing w:after="0"/>
              <w:rPr>
                <w:sz w:val="20"/>
                <w:szCs w:val="20"/>
                <w:color w:val="auto"/>
              </w:rPr>
            </w:pPr>
            <w:r>
              <w:rPr>
                <w:rFonts w:ascii="Arial" w:cs="Arial" w:eastAsia="Arial" w:hAnsi="Arial"/>
                <w:sz w:val="15"/>
                <w:szCs w:val="15"/>
                <w:b w:val="1"/>
                <w:bCs w:val="1"/>
                <w:color w:val="FFFFFF"/>
              </w:rPr>
              <w:t>($)</w:t>
            </w:r>
          </w:p>
        </w:tc>
        <w:tc>
          <w:tcPr>
            <w:tcW w:w="140" w:type="dxa"/>
            <w:vAlign w:val="bottom"/>
            <w:shd w:val="clear" w:color="auto" w:fill="666666"/>
          </w:tcPr>
          <w:p>
            <w:pPr>
              <w:spacing w:after="0"/>
              <w:rPr>
                <w:sz w:val="17"/>
                <w:szCs w:val="17"/>
                <w:color w:val="auto"/>
              </w:rPr>
            </w:pPr>
          </w:p>
        </w:tc>
        <w:tc>
          <w:tcPr>
            <w:tcW w:w="720" w:type="dxa"/>
            <w:vAlign w:val="bottom"/>
            <w:shd w:val="clear" w:color="auto" w:fill="666666"/>
          </w:tcPr>
          <w:p>
            <w:pPr>
              <w:jc w:val="center"/>
              <w:ind w:right="114"/>
              <w:spacing w:after="0" w:line="198" w:lineRule="exact"/>
              <w:rPr>
                <w:sz w:val="20"/>
                <w:szCs w:val="20"/>
                <w:color w:val="auto"/>
              </w:rPr>
            </w:pPr>
            <w:r>
              <w:rPr>
                <w:rFonts w:ascii="Arial" w:cs="Arial" w:eastAsia="Arial" w:hAnsi="Arial"/>
                <w:sz w:val="22"/>
                <w:szCs w:val="22"/>
                <w:b w:val="1"/>
                <w:bCs w:val="1"/>
                <w:color w:val="FFFFFF"/>
                <w:w w:val="99"/>
                <w:vertAlign w:val="subscript"/>
              </w:rPr>
              <w:t>($)</w:t>
            </w:r>
            <w:r>
              <w:rPr>
                <w:rFonts w:ascii="Arial" w:cs="Arial" w:eastAsia="Arial" w:hAnsi="Arial"/>
                <w:sz w:val="10"/>
                <w:szCs w:val="10"/>
                <w:b w:val="1"/>
                <w:bCs w:val="1"/>
                <w:color w:val="FFFFFF"/>
                <w:w w:val="99"/>
              </w:rPr>
              <w:t>(1)</w:t>
            </w:r>
          </w:p>
        </w:tc>
        <w:tc>
          <w:tcPr>
            <w:tcW w:w="140" w:type="dxa"/>
            <w:vAlign w:val="bottom"/>
            <w:shd w:val="clear" w:color="auto" w:fill="666666"/>
          </w:tcPr>
          <w:p>
            <w:pPr>
              <w:spacing w:after="0"/>
              <w:rPr>
                <w:sz w:val="17"/>
                <w:szCs w:val="17"/>
                <w:color w:val="auto"/>
              </w:rPr>
            </w:pPr>
          </w:p>
        </w:tc>
        <w:tc>
          <w:tcPr>
            <w:tcW w:w="600" w:type="dxa"/>
            <w:vAlign w:val="bottom"/>
            <w:shd w:val="clear" w:color="auto" w:fill="666666"/>
          </w:tcPr>
          <w:p>
            <w:pPr>
              <w:jc w:val="right"/>
              <w:ind w:right="195"/>
              <w:spacing w:after="0" w:line="198"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0"/>
                <w:szCs w:val="10"/>
                <w:b w:val="1"/>
                <w:bCs w:val="1"/>
                <w:color w:val="FFFFFF"/>
              </w:rPr>
              <w:t>(1)</w:t>
            </w:r>
          </w:p>
        </w:tc>
        <w:tc>
          <w:tcPr>
            <w:tcW w:w="1360" w:type="dxa"/>
            <w:vAlign w:val="bottom"/>
            <w:gridSpan w:val="2"/>
            <w:shd w:val="clear" w:color="auto" w:fill="666666"/>
          </w:tcPr>
          <w:p>
            <w:pPr>
              <w:ind w:left="560"/>
              <w:spacing w:after="0" w:line="198"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0"/>
                <w:szCs w:val="10"/>
                <w:b w:val="1"/>
                <w:bCs w:val="1"/>
                <w:color w:val="FFFFFF"/>
              </w:rPr>
              <w:t>(2)</w:t>
            </w:r>
          </w:p>
        </w:tc>
        <w:tc>
          <w:tcPr>
            <w:tcW w:w="1280" w:type="dxa"/>
            <w:vAlign w:val="bottom"/>
            <w:gridSpan w:val="2"/>
            <w:shd w:val="clear" w:color="auto" w:fill="666666"/>
          </w:tcPr>
          <w:p>
            <w:pPr>
              <w:jc w:val="right"/>
              <w:ind w:right="334"/>
              <w:spacing w:after="0" w:line="198"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0"/>
                <w:szCs w:val="10"/>
                <w:b w:val="1"/>
                <w:bCs w:val="1"/>
                <w:color w:val="FFFFFF"/>
              </w:rPr>
              <w:t>(3)</w:t>
            </w:r>
          </w:p>
        </w:tc>
        <w:tc>
          <w:tcPr>
            <w:tcW w:w="180" w:type="dxa"/>
            <w:vAlign w:val="bottom"/>
            <w:shd w:val="clear" w:color="auto" w:fill="666666"/>
          </w:tcPr>
          <w:p>
            <w:pPr>
              <w:spacing w:after="0"/>
              <w:rPr>
                <w:sz w:val="17"/>
                <w:szCs w:val="17"/>
                <w:color w:val="auto"/>
              </w:rPr>
            </w:pPr>
          </w:p>
        </w:tc>
        <w:tc>
          <w:tcPr>
            <w:tcW w:w="660" w:type="dxa"/>
            <w:vAlign w:val="bottom"/>
            <w:shd w:val="clear" w:color="auto" w:fill="666666"/>
          </w:tcPr>
          <w:p>
            <w:pPr>
              <w:jc w:val="right"/>
              <w:ind w:right="233"/>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line="149" w:lineRule="exact"/>
              <w:rPr>
                <w:sz w:val="20"/>
                <w:szCs w:val="20"/>
                <w:color w:val="auto"/>
              </w:rPr>
            </w:pPr>
            <w:r>
              <w:rPr>
                <w:rFonts w:ascii="Arial" w:cs="Arial" w:eastAsia="Arial" w:hAnsi="Arial"/>
                <w:sz w:val="13"/>
                <w:szCs w:val="13"/>
                <w:b w:val="1"/>
                <w:bCs w:val="1"/>
                <w:color w:val="auto"/>
              </w:rPr>
              <w:t>Sean Menke</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E5E5E5"/>
          </w:tcPr>
          <w:p>
            <w:pPr>
              <w:ind w:left="100"/>
              <w:spacing w:after="0" w:line="149" w:lineRule="exact"/>
              <w:rPr>
                <w:sz w:val="20"/>
                <w:szCs w:val="20"/>
                <w:color w:val="auto"/>
              </w:rPr>
            </w:pPr>
            <w:r>
              <w:rPr>
                <w:rFonts w:ascii="Arial" w:cs="Arial" w:eastAsia="Arial" w:hAnsi="Arial"/>
                <w:sz w:val="13"/>
                <w:szCs w:val="13"/>
                <w:color w:val="auto"/>
              </w:rPr>
              <w:t>Chair of the Board and Chief</w:t>
            </w:r>
          </w:p>
        </w:tc>
        <w:tc>
          <w:tcPr>
            <w:tcW w:w="1000" w:type="dxa"/>
            <w:vAlign w:val="bottom"/>
            <w:shd w:val="clear" w:color="auto" w:fill="E5E5E5"/>
          </w:tcPr>
          <w:p>
            <w:pPr>
              <w:jc w:val="right"/>
              <w:ind w:right="273"/>
              <w:spacing w:after="0" w:line="149"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9" w:lineRule="exact"/>
              <w:rPr>
                <w:sz w:val="20"/>
                <w:szCs w:val="20"/>
                <w:color w:val="auto"/>
              </w:rPr>
            </w:pPr>
            <w:r>
              <w:rPr>
                <w:rFonts w:ascii="Arial" w:cs="Arial" w:eastAsia="Arial" w:hAnsi="Arial"/>
                <w:sz w:val="13"/>
                <w:szCs w:val="13"/>
                <w:color w:val="auto"/>
                <w:w w:val="96"/>
              </w:rPr>
              <w:t>1,000,000</w:t>
            </w:r>
          </w:p>
        </w:tc>
        <w:tc>
          <w:tcPr>
            <w:tcW w:w="8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7,237,236</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9"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$1,500,000</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9" w:lineRule="exact"/>
              <w:rPr>
                <w:sz w:val="20"/>
                <w:szCs w:val="20"/>
                <w:color w:val="auto"/>
              </w:rPr>
            </w:pPr>
            <w:r>
              <w:rPr>
                <w:rFonts w:ascii="Arial" w:cs="Arial" w:eastAsia="Arial" w:hAnsi="Arial"/>
                <w:sz w:val="13"/>
                <w:szCs w:val="13"/>
                <w:color w:val="auto"/>
              </w:rPr>
              <w:t>34,098</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9,771,335</w:t>
            </w:r>
          </w:p>
        </w:tc>
        <w:tc>
          <w:tcPr>
            <w:tcW w:w="0" w:type="dxa"/>
            <w:vAlign w:val="bottom"/>
          </w:tcPr>
          <w:p>
            <w:pPr>
              <w:spacing w:after="0"/>
              <w:rPr>
                <w:sz w:val="1"/>
                <w:szCs w:val="1"/>
                <w:color w:val="auto"/>
              </w:rPr>
            </w:pPr>
          </w:p>
        </w:tc>
      </w:tr>
      <w:tr>
        <w:trPr>
          <w:trHeight w:val="161"/>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Executive Officer</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3"/>
                <w:szCs w:val="13"/>
                <w:color w:val="auto"/>
              </w:rPr>
              <w:t>2021</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3"/>
                <w:szCs w:val="13"/>
                <w:color w:val="auto"/>
              </w:rPr>
              <w:t>993,750</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8"/>
              </w:rPr>
              <w:t>17,463,960</w:t>
            </w:r>
          </w:p>
        </w:tc>
        <w:tc>
          <w:tcPr>
            <w:tcW w:w="140" w:type="dxa"/>
            <w:vAlign w:val="bottom"/>
            <w:shd w:val="clear" w:color="auto" w:fill="E5E5E5"/>
          </w:tcPr>
          <w:p>
            <w:pPr>
              <w:spacing w:after="0"/>
              <w:rPr>
                <w:sz w:val="13"/>
                <w:szCs w:val="13"/>
                <w:color w:val="auto"/>
              </w:rPr>
            </w:pPr>
          </w:p>
        </w:tc>
        <w:tc>
          <w:tcPr>
            <w:tcW w:w="600" w:type="dxa"/>
            <w:vAlign w:val="bottom"/>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E5E5E5"/>
          </w:tcPr>
          <w:p>
            <w:pPr>
              <w:jc w:val="right"/>
              <w:ind w:right="74"/>
              <w:spacing w:after="0"/>
              <w:rPr>
                <w:sz w:val="20"/>
                <w:szCs w:val="20"/>
                <w:color w:val="auto"/>
              </w:rPr>
            </w:pPr>
            <w:r>
              <w:rPr>
                <w:rFonts w:ascii="Arial" w:cs="Arial" w:eastAsia="Arial" w:hAnsi="Arial"/>
                <w:sz w:val="13"/>
                <w:szCs w:val="13"/>
                <w:color w:val="auto"/>
              </w:rPr>
              <w:t>$1,341,678</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23,614</w:t>
            </w:r>
          </w:p>
        </w:tc>
        <w:tc>
          <w:tcPr>
            <w:tcW w:w="1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8"/>
              </w:rPr>
              <w:t>19,823,002</w:t>
            </w:r>
          </w:p>
        </w:tc>
        <w:tc>
          <w:tcPr>
            <w:tcW w:w="0" w:type="dxa"/>
            <w:vAlign w:val="bottom"/>
          </w:tcPr>
          <w:p>
            <w:pPr>
              <w:spacing w:after="0"/>
              <w:rPr>
                <w:sz w:val="1"/>
                <w:szCs w:val="1"/>
                <w:color w:val="auto"/>
              </w:rPr>
            </w:pPr>
          </w:p>
        </w:tc>
      </w:tr>
      <w:tr>
        <w:trPr>
          <w:trHeight w:val="161"/>
        </w:trPr>
        <w:tc>
          <w:tcPr>
            <w:tcW w:w="112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3"/>
                <w:szCs w:val="13"/>
                <w:color w:val="auto"/>
              </w:rPr>
              <w:t>2020</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3"/>
                <w:szCs w:val="13"/>
                <w:color w:val="auto"/>
              </w:rPr>
              <w:t>937,500</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8,416,937</w:t>
            </w:r>
          </w:p>
        </w:tc>
        <w:tc>
          <w:tcPr>
            <w:tcW w:w="740" w:type="dxa"/>
            <w:vAlign w:val="bottom"/>
            <w:gridSpan w:val="2"/>
            <w:shd w:val="clear" w:color="auto" w:fill="E5E5E5"/>
          </w:tcPr>
          <w:p>
            <w:pPr>
              <w:jc w:val="right"/>
              <w:ind w:right="55"/>
              <w:spacing w:after="0"/>
              <w:rPr>
                <w:sz w:val="20"/>
                <w:szCs w:val="20"/>
                <w:color w:val="auto"/>
              </w:rPr>
            </w:pPr>
            <w:r>
              <w:rPr>
                <w:rFonts w:ascii="Arial" w:cs="Arial" w:eastAsia="Arial" w:hAnsi="Arial"/>
                <w:sz w:val="13"/>
                <w:szCs w:val="13"/>
                <w:color w:val="auto"/>
              </w:rPr>
              <w:t>$449,849</w:t>
            </w:r>
          </w:p>
        </w:tc>
        <w:tc>
          <w:tcPr>
            <w:tcW w:w="680" w:type="dxa"/>
            <w:vAlign w:val="bottom"/>
            <w:shd w:val="clear" w:color="auto" w:fill="E5E5E5"/>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731,251</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27,523</w:t>
            </w:r>
          </w:p>
        </w:tc>
        <w:tc>
          <w:tcPr>
            <w:tcW w:w="1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w w:val="98"/>
              </w:rPr>
              <w:t>10,563,060</w:t>
            </w: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Michael Randolfi</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E5E5E5"/>
          </w:tcPr>
          <w:p>
            <w:pPr>
              <w:ind w:left="100"/>
              <w:spacing w:after="0" w:line="141" w:lineRule="exact"/>
              <w:rPr>
                <w:sz w:val="20"/>
                <w:szCs w:val="20"/>
                <w:color w:val="auto"/>
              </w:rPr>
            </w:pPr>
            <w:r>
              <w:rPr>
                <w:rFonts w:ascii="Arial" w:cs="Arial" w:eastAsia="Arial" w:hAnsi="Arial"/>
                <w:sz w:val="13"/>
                <w:szCs w:val="13"/>
                <w:color w:val="auto"/>
              </w:rPr>
              <w:t>Executive Vice President and</w:t>
            </w:r>
          </w:p>
        </w:tc>
        <w:tc>
          <w:tcPr>
            <w:tcW w:w="1000" w:type="dxa"/>
            <w:vAlign w:val="bottom"/>
            <w:shd w:val="clear" w:color="auto" w:fill="E5E5E5"/>
          </w:tcPr>
          <w:p>
            <w:pPr>
              <w:jc w:val="right"/>
              <w:ind w:right="273"/>
              <w:spacing w:after="0" w:line="141"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1" w:lineRule="exact"/>
              <w:rPr>
                <w:sz w:val="20"/>
                <w:szCs w:val="20"/>
                <w:color w:val="auto"/>
              </w:rPr>
            </w:pPr>
            <w:r>
              <w:rPr>
                <w:rFonts w:ascii="Arial" w:cs="Arial" w:eastAsia="Arial" w:hAnsi="Arial"/>
                <w:sz w:val="13"/>
                <w:szCs w:val="13"/>
                <w:color w:val="auto"/>
              </w:rPr>
              <w:t>237,500</w:t>
            </w:r>
          </w:p>
        </w:tc>
        <w:tc>
          <w:tcPr>
            <w:tcW w:w="8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$250,000</w:t>
            </w:r>
          </w:p>
        </w:tc>
        <w:tc>
          <w:tcPr>
            <w:tcW w:w="1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1,540,389</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ind w:left="540"/>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line="141" w:lineRule="exact"/>
              <w:rPr>
                <w:sz w:val="20"/>
                <w:szCs w:val="20"/>
                <w:color w:val="auto"/>
              </w:rPr>
            </w:pPr>
            <w:r>
              <w:rPr>
                <w:rFonts w:ascii="Arial" w:cs="Arial" w:eastAsia="Arial" w:hAnsi="Arial"/>
                <w:sz w:val="13"/>
                <w:szCs w:val="13"/>
                <w:color w:val="auto"/>
              </w:rPr>
              <w:t>211,562</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1" w:lineRule="exact"/>
              <w:rPr>
                <w:sz w:val="20"/>
                <w:szCs w:val="20"/>
                <w:color w:val="auto"/>
              </w:rPr>
            </w:pPr>
            <w:r>
              <w:rPr>
                <w:rFonts w:ascii="Arial" w:cs="Arial" w:eastAsia="Arial" w:hAnsi="Arial"/>
                <w:sz w:val="13"/>
                <w:szCs w:val="13"/>
                <w:color w:val="auto"/>
              </w:rPr>
              <w:t>85,812</w:t>
            </w:r>
          </w:p>
        </w:tc>
        <w:tc>
          <w:tcPr>
            <w:tcW w:w="1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2,325,262</w:t>
            </w:r>
          </w:p>
        </w:tc>
        <w:tc>
          <w:tcPr>
            <w:tcW w:w="0" w:type="dxa"/>
            <w:vAlign w:val="bottom"/>
          </w:tcPr>
          <w:p>
            <w:pPr>
              <w:spacing w:after="0"/>
              <w:rPr>
                <w:sz w:val="1"/>
                <w:szCs w:val="1"/>
                <w:color w:val="auto"/>
              </w:rPr>
            </w:pPr>
          </w:p>
        </w:tc>
      </w:tr>
      <w:tr>
        <w:trPr>
          <w:trHeight w:val="156"/>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Chief Financial Officer</w:t>
            </w:r>
          </w:p>
        </w:tc>
        <w:tc>
          <w:tcPr>
            <w:tcW w:w="100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Kurt Ekert</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E5E5E5"/>
          </w:tcPr>
          <w:p>
            <w:pPr>
              <w:ind w:left="100"/>
              <w:spacing w:after="0" w:line="149" w:lineRule="exact"/>
              <w:rPr>
                <w:sz w:val="20"/>
                <w:szCs w:val="20"/>
                <w:color w:val="auto"/>
              </w:rPr>
            </w:pPr>
            <w:r>
              <w:rPr>
                <w:rFonts w:ascii="Arial" w:cs="Arial" w:eastAsia="Arial" w:hAnsi="Arial"/>
                <w:sz w:val="13"/>
                <w:szCs w:val="13"/>
                <w:color w:val="auto"/>
              </w:rPr>
              <w:t>President</w:t>
            </w:r>
          </w:p>
        </w:tc>
        <w:tc>
          <w:tcPr>
            <w:tcW w:w="1000" w:type="dxa"/>
            <w:vAlign w:val="bottom"/>
            <w:shd w:val="clear" w:color="auto" w:fill="E5E5E5"/>
          </w:tcPr>
          <w:p>
            <w:pPr>
              <w:jc w:val="right"/>
              <w:ind w:right="273"/>
              <w:spacing w:after="0" w:line="149"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9" w:lineRule="exact"/>
              <w:rPr>
                <w:sz w:val="20"/>
                <w:szCs w:val="20"/>
                <w:color w:val="auto"/>
              </w:rPr>
            </w:pPr>
            <w:r>
              <w:rPr>
                <w:rFonts w:ascii="Arial" w:cs="Arial" w:eastAsia="Arial" w:hAnsi="Arial"/>
                <w:sz w:val="13"/>
                <w:szCs w:val="13"/>
                <w:color w:val="auto"/>
              </w:rPr>
              <w:t>750,000</w:t>
            </w:r>
          </w:p>
        </w:tc>
        <w:tc>
          <w:tcPr>
            <w:tcW w:w="8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4,101,674</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ind w:left="540"/>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932,363</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9" w:lineRule="exact"/>
              <w:rPr>
                <w:sz w:val="20"/>
                <w:szCs w:val="20"/>
                <w:color w:val="auto"/>
              </w:rPr>
            </w:pPr>
            <w:r>
              <w:rPr>
                <w:rFonts w:ascii="Arial" w:cs="Arial" w:eastAsia="Arial" w:hAnsi="Arial"/>
                <w:sz w:val="13"/>
                <w:szCs w:val="13"/>
                <w:color w:val="auto"/>
              </w:rPr>
              <w:t>156,498</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5,940,535</w:t>
            </w: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David Moore</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E5E5E5"/>
          </w:tcPr>
          <w:p>
            <w:pPr>
              <w:ind w:left="100"/>
              <w:spacing w:after="0" w:line="141" w:lineRule="exact"/>
              <w:rPr>
                <w:sz w:val="20"/>
                <w:szCs w:val="20"/>
                <w:color w:val="auto"/>
              </w:rPr>
            </w:pPr>
            <w:r>
              <w:rPr>
                <w:rFonts w:ascii="Arial" w:cs="Arial" w:eastAsia="Arial" w:hAnsi="Arial"/>
                <w:sz w:val="13"/>
                <w:szCs w:val="13"/>
                <w:color w:val="auto"/>
              </w:rPr>
              <w:t>Executive Vice President and</w:t>
            </w:r>
          </w:p>
        </w:tc>
        <w:tc>
          <w:tcPr>
            <w:tcW w:w="1000" w:type="dxa"/>
            <w:vAlign w:val="bottom"/>
            <w:shd w:val="clear" w:color="auto" w:fill="E5E5E5"/>
          </w:tcPr>
          <w:p>
            <w:pPr>
              <w:jc w:val="right"/>
              <w:ind w:right="273"/>
              <w:spacing w:after="0" w:line="141"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1" w:lineRule="exact"/>
              <w:rPr>
                <w:sz w:val="20"/>
                <w:szCs w:val="20"/>
                <w:color w:val="auto"/>
              </w:rPr>
            </w:pPr>
            <w:r>
              <w:rPr>
                <w:rFonts w:ascii="Arial" w:cs="Arial" w:eastAsia="Arial" w:hAnsi="Arial"/>
                <w:sz w:val="13"/>
                <w:szCs w:val="13"/>
                <w:color w:val="auto"/>
              </w:rPr>
              <w:t>553,436</w:t>
            </w:r>
          </w:p>
        </w:tc>
        <w:tc>
          <w:tcPr>
            <w:tcW w:w="8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1,550,825</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ind w:left="540"/>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line="141" w:lineRule="exact"/>
              <w:rPr>
                <w:sz w:val="20"/>
                <w:szCs w:val="20"/>
                <w:color w:val="auto"/>
              </w:rPr>
            </w:pPr>
            <w:r>
              <w:rPr>
                <w:rFonts w:ascii="Arial" w:cs="Arial" w:eastAsia="Arial" w:hAnsi="Arial"/>
                <w:sz w:val="13"/>
                <w:szCs w:val="13"/>
                <w:color w:val="auto"/>
              </w:rPr>
              <w:t>470,365</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1" w:lineRule="exact"/>
              <w:rPr>
                <w:sz w:val="20"/>
                <w:szCs w:val="20"/>
                <w:color w:val="auto"/>
              </w:rPr>
            </w:pPr>
            <w:r>
              <w:rPr>
                <w:rFonts w:ascii="Arial" w:cs="Arial" w:eastAsia="Arial" w:hAnsi="Arial"/>
                <w:sz w:val="13"/>
                <w:szCs w:val="13"/>
                <w:color w:val="auto"/>
              </w:rPr>
              <w:t>23,377</w:t>
            </w:r>
          </w:p>
        </w:tc>
        <w:tc>
          <w:tcPr>
            <w:tcW w:w="1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2,598,004</w:t>
            </w:r>
          </w:p>
        </w:tc>
        <w:tc>
          <w:tcPr>
            <w:tcW w:w="0" w:type="dxa"/>
            <w:vAlign w:val="bottom"/>
          </w:tcPr>
          <w:p>
            <w:pPr>
              <w:spacing w:after="0"/>
              <w:rPr>
                <w:sz w:val="1"/>
                <w:szCs w:val="1"/>
                <w:color w:val="auto"/>
              </w:rPr>
            </w:pPr>
          </w:p>
        </w:tc>
      </w:tr>
      <w:tr>
        <w:trPr>
          <w:trHeight w:val="156"/>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Chief Product Officer</w:t>
            </w:r>
          </w:p>
        </w:tc>
        <w:tc>
          <w:tcPr>
            <w:tcW w:w="100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Scott Wilson</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E5E5E5"/>
          </w:tcPr>
          <w:p>
            <w:pPr>
              <w:ind w:left="100"/>
              <w:spacing w:after="0" w:line="141" w:lineRule="exact"/>
              <w:rPr>
                <w:sz w:val="20"/>
                <w:szCs w:val="20"/>
                <w:color w:val="auto"/>
              </w:rPr>
            </w:pPr>
            <w:r>
              <w:rPr>
                <w:rFonts w:ascii="Arial" w:cs="Arial" w:eastAsia="Arial" w:hAnsi="Arial"/>
                <w:sz w:val="13"/>
                <w:szCs w:val="13"/>
                <w:color w:val="auto"/>
              </w:rPr>
              <w:t>Executive Vice President and</w:t>
            </w:r>
          </w:p>
        </w:tc>
        <w:tc>
          <w:tcPr>
            <w:tcW w:w="1000" w:type="dxa"/>
            <w:vAlign w:val="bottom"/>
            <w:shd w:val="clear" w:color="auto" w:fill="E5E5E5"/>
          </w:tcPr>
          <w:p>
            <w:pPr>
              <w:jc w:val="right"/>
              <w:ind w:right="273"/>
              <w:spacing w:after="0" w:line="141"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1" w:lineRule="exact"/>
              <w:rPr>
                <w:sz w:val="20"/>
                <w:szCs w:val="20"/>
                <w:color w:val="auto"/>
              </w:rPr>
            </w:pPr>
            <w:r>
              <w:rPr>
                <w:rFonts w:ascii="Arial" w:cs="Arial" w:eastAsia="Arial" w:hAnsi="Arial"/>
                <w:sz w:val="13"/>
                <w:szCs w:val="13"/>
                <w:color w:val="auto"/>
              </w:rPr>
              <w:t>574,321</w:t>
            </w:r>
          </w:p>
        </w:tc>
        <w:tc>
          <w:tcPr>
            <w:tcW w:w="8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1,550,825</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ind w:left="540"/>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line="141" w:lineRule="exact"/>
              <w:rPr>
                <w:sz w:val="20"/>
                <w:szCs w:val="20"/>
                <w:color w:val="auto"/>
              </w:rPr>
            </w:pPr>
            <w:r>
              <w:rPr>
                <w:rFonts w:ascii="Arial" w:cs="Arial" w:eastAsia="Arial" w:hAnsi="Arial"/>
                <w:sz w:val="13"/>
                <w:szCs w:val="13"/>
                <w:color w:val="auto"/>
              </w:rPr>
              <w:t>488,115</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1" w:lineRule="exact"/>
              <w:rPr>
                <w:sz w:val="20"/>
                <w:szCs w:val="20"/>
                <w:color w:val="auto"/>
              </w:rPr>
            </w:pPr>
            <w:r>
              <w:rPr>
                <w:rFonts w:ascii="Arial" w:cs="Arial" w:eastAsia="Arial" w:hAnsi="Arial"/>
                <w:sz w:val="13"/>
                <w:szCs w:val="13"/>
                <w:color w:val="auto"/>
              </w:rPr>
              <w:t>90,599</w:t>
            </w:r>
          </w:p>
        </w:tc>
        <w:tc>
          <w:tcPr>
            <w:tcW w:w="1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2,703,860</w:t>
            </w:r>
          </w:p>
        </w:tc>
        <w:tc>
          <w:tcPr>
            <w:tcW w:w="0" w:type="dxa"/>
            <w:vAlign w:val="bottom"/>
          </w:tcPr>
          <w:p>
            <w:pPr>
              <w:spacing w:after="0"/>
              <w:rPr>
                <w:sz w:val="1"/>
                <w:szCs w:val="1"/>
                <w:color w:val="auto"/>
              </w:rPr>
            </w:pPr>
          </w:p>
        </w:tc>
      </w:tr>
      <w:tr>
        <w:trPr>
          <w:trHeight w:val="156"/>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President, Hospitality Solutions</w:t>
            </w:r>
          </w:p>
        </w:tc>
        <w:tc>
          <w:tcPr>
            <w:tcW w:w="100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Douglas Barnett</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E5E5E5"/>
          </w:tcPr>
          <w:p>
            <w:pPr>
              <w:ind w:left="100"/>
              <w:spacing w:after="0" w:line="149" w:lineRule="exact"/>
              <w:rPr>
                <w:sz w:val="20"/>
                <w:szCs w:val="20"/>
                <w:color w:val="auto"/>
              </w:rPr>
            </w:pPr>
            <w:r>
              <w:rPr>
                <w:rFonts w:ascii="Arial" w:cs="Arial" w:eastAsia="Arial" w:hAnsi="Arial"/>
                <w:sz w:val="13"/>
                <w:szCs w:val="13"/>
                <w:color w:val="auto"/>
              </w:rPr>
              <w:t>Former Executive Vice</w:t>
            </w:r>
          </w:p>
        </w:tc>
        <w:tc>
          <w:tcPr>
            <w:tcW w:w="1000" w:type="dxa"/>
            <w:vAlign w:val="bottom"/>
            <w:shd w:val="clear" w:color="auto" w:fill="E5E5E5"/>
          </w:tcPr>
          <w:p>
            <w:pPr>
              <w:jc w:val="right"/>
              <w:ind w:right="273"/>
              <w:spacing w:after="0" w:line="149"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9" w:lineRule="exact"/>
              <w:rPr>
                <w:sz w:val="20"/>
                <w:szCs w:val="20"/>
                <w:color w:val="auto"/>
              </w:rPr>
            </w:pPr>
            <w:r>
              <w:rPr>
                <w:rFonts w:ascii="Arial" w:cs="Arial" w:eastAsia="Arial" w:hAnsi="Arial"/>
                <w:sz w:val="13"/>
                <w:szCs w:val="13"/>
                <w:color w:val="auto"/>
              </w:rPr>
              <w:t>610,827</w:t>
            </w:r>
          </w:p>
        </w:tc>
        <w:tc>
          <w:tcPr>
            <w:tcW w:w="8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2,584,722</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E5E5E5"/>
          </w:tcPr>
          <w:p>
            <w:pPr>
              <w:jc w:val="right"/>
              <w:ind w:right="34"/>
              <w:spacing w:after="0" w:line="149" w:lineRule="exact"/>
              <w:rPr>
                <w:sz w:val="20"/>
                <w:szCs w:val="20"/>
                <w:color w:val="auto"/>
              </w:rPr>
            </w:pPr>
            <w:r>
              <w:rPr>
                <w:rFonts w:ascii="Arial" w:cs="Arial" w:eastAsia="Arial" w:hAnsi="Arial"/>
                <w:sz w:val="13"/>
                <w:szCs w:val="13"/>
                <w:color w:val="auto"/>
              </w:rPr>
              <w:t>$2,324,663</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5,520,212</w:t>
            </w: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E5E5E5"/>
          </w:tcPr>
          <w:p>
            <w:pPr>
              <w:ind w:left="100"/>
              <w:spacing w:after="0" w:line="141" w:lineRule="exact"/>
              <w:rPr>
                <w:sz w:val="20"/>
                <w:szCs w:val="20"/>
                <w:color w:val="auto"/>
              </w:rPr>
            </w:pPr>
            <w:r>
              <w:rPr>
                <w:rFonts w:ascii="Arial" w:cs="Arial" w:eastAsia="Arial" w:hAnsi="Arial"/>
                <w:sz w:val="13"/>
                <w:szCs w:val="13"/>
                <w:color w:val="auto"/>
              </w:rPr>
              <w:t>President and Chief Financial</w:t>
            </w:r>
          </w:p>
        </w:tc>
        <w:tc>
          <w:tcPr>
            <w:tcW w:w="1000" w:type="dxa"/>
            <w:vAlign w:val="bottom"/>
            <w:shd w:val="clear" w:color="auto" w:fill="E5E5E5"/>
          </w:tcPr>
          <w:p>
            <w:pPr>
              <w:jc w:val="right"/>
              <w:ind w:right="273"/>
              <w:spacing w:after="0" w:line="141" w:lineRule="exact"/>
              <w:rPr>
                <w:sz w:val="20"/>
                <w:szCs w:val="20"/>
                <w:color w:val="auto"/>
              </w:rPr>
            </w:pPr>
            <w:r>
              <w:rPr>
                <w:rFonts w:ascii="Arial" w:cs="Arial" w:eastAsia="Arial" w:hAnsi="Arial"/>
                <w:sz w:val="13"/>
                <w:szCs w:val="13"/>
                <w:color w:val="auto"/>
              </w:rPr>
              <w:t>2021</w:t>
            </w:r>
          </w:p>
        </w:tc>
        <w:tc>
          <w:tcPr>
            <w:tcW w:w="3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1" w:lineRule="exact"/>
              <w:rPr>
                <w:sz w:val="20"/>
                <w:szCs w:val="20"/>
                <w:color w:val="auto"/>
              </w:rPr>
            </w:pPr>
            <w:r>
              <w:rPr>
                <w:rFonts w:ascii="Arial" w:cs="Arial" w:eastAsia="Arial" w:hAnsi="Arial"/>
                <w:sz w:val="13"/>
                <w:szCs w:val="13"/>
                <w:color w:val="auto"/>
              </w:rPr>
              <w:t>718,219</w:t>
            </w:r>
          </w:p>
        </w:tc>
        <w:tc>
          <w:tcPr>
            <w:tcW w:w="8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3,258,563</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1"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E5E5E5"/>
          </w:tcPr>
          <w:p>
            <w:pPr>
              <w:jc w:val="right"/>
              <w:ind w:right="74"/>
              <w:spacing w:after="0" w:line="141" w:lineRule="exact"/>
              <w:rPr>
                <w:sz w:val="20"/>
                <w:szCs w:val="20"/>
                <w:color w:val="auto"/>
              </w:rPr>
            </w:pPr>
            <w:r>
              <w:rPr>
                <w:rFonts w:ascii="Arial" w:cs="Arial" w:eastAsia="Arial" w:hAnsi="Arial"/>
                <w:sz w:val="13"/>
                <w:szCs w:val="13"/>
                <w:color w:val="auto"/>
              </w:rPr>
              <w:t>$2,682,365</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1" w:lineRule="exact"/>
              <w:rPr>
                <w:sz w:val="20"/>
                <w:szCs w:val="20"/>
                <w:color w:val="auto"/>
              </w:rPr>
            </w:pPr>
            <w:r>
              <w:rPr>
                <w:rFonts w:ascii="Arial" w:cs="Arial" w:eastAsia="Arial" w:hAnsi="Arial"/>
                <w:sz w:val="13"/>
                <w:szCs w:val="13"/>
                <w:color w:val="auto"/>
              </w:rPr>
              <w:t>31,290</w:t>
            </w:r>
          </w:p>
        </w:tc>
        <w:tc>
          <w:tcPr>
            <w:tcW w:w="1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6,690,437</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Officer</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3"/>
                <w:szCs w:val="13"/>
                <w:color w:val="auto"/>
              </w:rPr>
              <w:t>2020</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3"/>
                <w:szCs w:val="13"/>
                <w:color w:val="auto"/>
              </w:rPr>
              <w:t>688,731</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2,166,466</w:t>
            </w:r>
          </w:p>
        </w:tc>
        <w:tc>
          <w:tcPr>
            <w:tcW w:w="140" w:type="dxa"/>
            <w:vAlign w:val="bottom"/>
            <w:shd w:val="clear" w:color="auto" w:fill="E5E5E5"/>
          </w:tcPr>
          <w:p>
            <w:pPr>
              <w:ind w:left="6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E5E5E5"/>
          </w:tcPr>
          <w:p>
            <w:pPr>
              <w:jc w:val="right"/>
              <w:ind w:right="55"/>
              <w:spacing w:after="0"/>
              <w:rPr>
                <w:sz w:val="20"/>
                <w:szCs w:val="20"/>
                <w:color w:val="auto"/>
              </w:rPr>
            </w:pPr>
            <w:r>
              <w:rPr>
                <w:rFonts w:ascii="Arial" w:cs="Arial" w:eastAsia="Arial" w:hAnsi="Arial"/>
                <w:sz w:val="13"/>
                <w:szCs w:val="13"/>
                <w:color w:val="auto"/>
              </w:rPr>
              <w:t>96,396</w:t>
            </w:r>
          </w:p>
        </w:tc>
        <w:tc>
          <w:tcPr>
            <w:tcW w:w="680" w:type="dxa"/>
            <w:vAlign w:val="bottom"/>
            <w:shd w:val="clear" w:color="auto" w:fill="E5E5E5"/>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352,500</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10,513</w:t>
            </w:r>
          </w:p>
        </w:tc>
        <w:tc>
          <w:tcPr>
            <w:tcW w:w="1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3,314,606</w:t>
            </w: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Wade Jones</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E5E5E5"/>
          </w:tcPr>
          <w:p>
            <w:pPr>
              <w:ind w:left="100"/>
              <w:spacing w:after="0" w:line="149" w:lineRule="exact"/>
              <w:rPr>
                <w:sz w:val="20"/>
                <w:szCs w:val="20"/>
                <w:color w:val="auto"/>
              </w:rPr>
            </w:pPr>
            <w:r>
              <w:rPr>
                <w:rFonts w:ascii="Arial" w:cs="Arial" w:eastAsia="Arial" w:hAnsi="Arial"/>
                <w:sz w:val="13"/>
                <w:szCs w:val="13"/>
                <w:color w:val="auto"/>
              </w:rPr>
              <w:t>Former Executive Vice</w:t>
            </w:r>
          </w:p>
        </w:tc>
        <w:tc>
          <w:tcPr>
            <w:tcW w:w="1000" w:type="dxa"/>
            <w:vAlign w:val="bottom"/>
            <w:shd w:val="clear" w:color="auto" w:fill="E5E5E5"/>
          </w:tcPr>
          <w:p>
            <w:pPr>
              <w:jc w:val="right"/>
              <w:ind w:right="273"/>
              <w:spacing w:after="0" w:line="149"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9" w:lineRule="exact"/>
              <w:rPr>
                <w:sz w:val="20"/>
                <w:szCs w:val="20"/>
                <w:color w:val="auto"/>
              </w:rPr>
            </w:pPr>
            <w:r>
              <w:rPr>
                <w:rFonts w:ascii="Arial" w:cs="Arial" w:eastAsia="Arial" w:hAnsi="Arial"/>
                <w:sz w:val="13"/>
                <w:szCs w:val="13"/>
                <w:color w:val="auto"/>
              </w:rPr>
              <w:t>484,477</w:t>
            </w:r>
          </w:p>
        </w:tc>
        <w:tc>
          <w:tcPr>
            <w:tcW w:w="8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1,550,825</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9"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E5E5E5"/>
          </w:tcPr>
          <w:p>
            <w:pPr>
              <w:jc w:val="right"/>
              <w:ind w:right="34"/>
              <w:spacing w:after="0" w:line="149" w:lineRule="exact"/>
              <w:rPr>
                <w:sz w:val="20"/>
                <w:szCs w:val="20"/>
                <w:color w:val="auto"/>
              </w:rPr>
            </w:pPr>
            <w:r>
              <w:rPr>
                <w:rFonts w:ascii="Arial" w:cs="Arial" w:eastAsia="Arial" w:hAnsi="Arial"/>
                <w:sz w:val="13"/>
                <w:szCs w:val="13"/>
                <w:color w:val="auto"/>
              </w:rPr>
              <w:t>$1,897,295</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3,936,597</w:t>
            </w: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E5E5E5"/>
          </w:tcPr>
          <w:p>
            <w:pPr>
              <w:ind w:left="100"/>
              <w:spacing w:after="0" w:line="141" w:lineRule="exact"/>
              <w:rPr>
                <w:sz w:val="20"/>
                <w:szCs w:val="20"/>
                <w:color w:val="auto"/>
              </w:rPr>
            </w:pPr>
            <w:r>
              <w:rPr>
                <w:rFonts w:ascii="Arial" w:cs="Arial" w:eastAsia="Arial" w:hAnsi="Arial"/>
                <w:sz w:val="13"/>
                <w:szCs w:val="13"/>
                <w:color w:val="auto"/>
              </w:rPr>
              <w:t>President and Chief</w:t>
            </w:r>
          </w:p>
        </w:tc>
        <w:tc>
          <w:tcPr>
            <w:tcW w:w="1000" w:type="dxa"/>
            <w:vAlign w:val="bottom"/>
            <w:shd w:val="clear" w:color="auto" w:fill="E5E5E5"/>
          </w:tcPr>
          <w:p>
            <w:pPr>
              <w:jc w:val="right"/>
              <w:ind w:right="273"/>
              <w:spacing w:after="0" w:line="141" w:lineRule="exact"/>
              <w:rPr>
                <w:sz w:val="20"/>
                <w:szCs w:val="20"/>
                <w:color w:val="auto"/>
              </w:rPr>
            </w:pPr>
            <w:r>
              <w:rPr>
                <w:rFonts w:ascii="Arial" w:cs="Arial" w:eastAsia="Arial" w:hAnsi="Arial"/>
                <w:sz w:val="13"/>
                <w:szCs w:val="13"/>
                <w:color w:val="auto"/>
              </w:rPr>
              <w:t>2021</w:t>
            </w:r>
          </w:p>
        </w:tc>
        <w:tc>
          <w:tcPr>
            <w:tcW w:w="3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1" w:lineRule="exact"/>
              <w:rPr>
                <w:sz w:val="20"/>
                <w:szCs w:val="20"/>
                <w:color w:val="auto"/>
              </w:rPr>
            </w:pPr>
            <w:r>
              <w:rPr>
                <w:rFonts w:ascii="Arial" w:cs="Arial" w:eastAsia="Arial" w:hAnsi="Arial"/>
                <w:sz w:val="13"/>
                <w:szCs w:val="13"/>
                <w:color w:val="auto"/>
              </w:rPr>
              <w:t>636,719</w:t>
            </w:r>
          </w:p>
        </w:tc>
        <w:tc>
          <w:tcPr>
            <w:tcW w:w="8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2,005,701</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1"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E5E5E5"/>
          </w:tcPr>
          <w:p>
            <w:pPr>
              <w:jc w:val="right"/>
              <w:ind w:right="74"/>
              <w:spacing w:after="0" w:line="141" w:lineRule="exact"/>
              <w:rPr>
                <w:sz w:val="20"/>
                <w:szCs w:val="20"/>
                <w:color w:val="auto"/>
              </w:rPr>
            </w:pPr>
            <w:r>
              <w:rPr>
                <w:rFonts w:ascii="Arial" w:cs="Arial" w:eastAsia="Arial" w:hAnsi="Arial"/>
                <w:sz w:val="13"/>
                <w:szCs w:val="13"/>
                <w:color w:val="auto"/>
              </w:rPr>
              <w:t>$1,487,130</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line="141" w:lineRule="exact"/>
              <w:rPr>
                <w:sz w:val="20"/>
                <w:szCs w:val="20"/>
                <w:color w:val="auto"/>
              </w:rPr>
            </w:pPr>
            <w:r>
              <w:rPr>
                <w:rFonts w:ascii="Arial" w:cs="Arial" w:eastAsia="Arial" w:hAnsi="Arial"/>
                <w:sz w:val="13"/>
                <w:szCs w:val="13"/>
                <w:color w:val="auto"/>
              </w:rPr>
              <w:t>17,823</w:t>
            </w:r>
          </w:p>
        </w:tc>
        <w:tc>
          <w:tcPr>
            <w:tcW w:w="1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4,147,373</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Product Officer</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3"/>
                <w:szCs w:val="13"/>
                <w:color w:val="auto"/>
              </w:rPr>
              <w:t>2020</w:t>
            </w:r>
          </w:p>
        </w:tc>
        <w:tc>
          <w:tcPr>
            <w:tcW w:w="3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3"/>
                <w:szCs w:val="13"/>
                <w:color w:val="auto"/>
              </w:rPr>
              <w:t>583,154</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1,870,982</w:t>
            </w:r>
          </w:p>
        </w:tc>
        <w:tc>
          <w:tcPr>
            <w:tcW w:w="140" w:type="dxa"/>
            <w:vAlign w:val="bottom"/>
            <w:shd w:val="clear" w:color="auto" w:fill="E5E5E5"/>
          </w:tcPr>
          <w:p>
            <w:pPr>
              <w:ind w:left="6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E5E5E5"/>
          </w:tcPr>
          <w:p>
            <w:pPr>
              <w:jc w:val="right"/>
              <w:ind w:right="55"/>
              <w:spacing w:after="0"/>
              <w:rPr>
                <w:sz w:val="20"/>
                <w:szCs w:val="20"/>
                <w:color w:val="auto"/>
              </w:rPr>
            </w:pPr>
            <w:r>
              <w:rPr>
                <w:rFonts w:ascii="Arial" w:cs="Arial" w:eastAsia="Arial" w:hAnsi="Arial"/>
                <w:sz w:val="13"/>
                <w:szCs w:val="13"/>
                <w:color w:val="auto"/>
              </w:rPr>
              <w:t>64,264</w:t>
            </w:r>
          </w:p>
        </w:tc>
        <w:tc>
          <w:tcPr>
            <w:tcW w:w="680" w:type="dxa"/>
            <w:vAlign w:val="bottom"/>
            <w:shd w:val="clear" w:color="auto" w:fill="E5E5E5"/>
          </w:tcPr>
          <w:p>
            <w:pPr>
              <w:ind w:left="540"/>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253,475</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8,448</w:t>
            </w:r>
          </w:p>
        </w:tc>
        <w:tc>
          <w:tcPr>
            <w:tcW w:w="1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2,780,323</w:t>
            </w:r>
          </w:p>
        </w:tc>
        <w:tc>
          <w:tcPr>
            <w:tcW w:w="0" w:type="dxa"/>
            <w:vAlign w:val="bottom"/>
          </w:tcPr>
          <w:p>
            <w:pPr>
              <w:spacing w:after="0"/>
              <w:rPr>
                <w:sz w:val="1"/>
                <w:szCs w:val="1"/>
                <w:color w:val="auto"/>
              </w:rPr>
            </w:pPr>
          </w:p>
        </w:tc>
      </w:tr>
      <w:tr>
        <w:trPr>
          <w:trHeight w:val="161"/>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Cem Tanyel</w:t>
            </w: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80" w:type="dxa"/>
            <w:vAlign w:val="bottom"/>
            <w:gridSpan w:val="2"/>
            <w:shd w:val="clear" w:color="auto" w:fill="E5E5E5"/>
          </w:tcPr>
          <w:p>
            <w:pPr>
              <w:ind w:left="100"/>
              <w:spacing w:after="0" w:line="141" w:lineRule="exact"/>
              <w:rPr>
                <w:sz w:val="20"/>
                <w:szCs w:val="20"/>
                <w:color w:val="auto"/>
              </w:rPr>
            </w:pPr>
            <w:r>
              <w:rPr>
                <w:rFonts w:ascii="Arial" w:cs="Arial" w:eastAsia="Arial" w:hAnsi="Arial"/>
                <w:sz w:val="13"/>
                <w:szCs w:val="13"/>
                <w:color w:val="auto"/>
              </w:rPr>
              <w:t>Former Executive</w:t>
            </w:r>
          </w:p>
        </w:tc>
        <w:tc>
          <w:tcPr>
            <w:tcW w:w="1000" w:type="dxa"/>
            <w:vAlign w:val="bottom"/>
            <w:shd w:val="clear" w:color="auto" w:fill="E5E5E5"/>
          </w:tcPr>
          <w:p>
            <w:pPr>
              <w:jc w:val="right"/>
              <w:ind w:right="273"/>
              <w:spacing w:after="0" w:line="141" w:lineRule="exact"/>
              <w:rPr>
                <w:sz w:val="20"/>
                <w:szCs w:val="20"/>
                <w:color w:val="auto"/>
              </w:rPr>
            </w:pPr>
            <w:r>
              <w:rPr>
                <w:rFonts w:ascii="Arial" w:cs="Arial" w:eastAsia="Arial" w:hAnsi="Arial"/>
                <w:sz w:val="13"/>
                <w:szCs w:val="13"/>
                <w:color w:val="auto"/>
              </w:rPr>
              <w:t>2022</w:t>
            </w:r>
          </w:p>
        </w:tc>
        <w:tc>
          <w:tcPr>
            <w:tcW w:w="3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153"/>
              <w:spacing w:after="0" w:line="141" w:lineRule="exact"/>
              <w:rPr>
                <w:sz w:val="20"/>
                <w:szCs w:val="20"/>
                <w:color w:val="auto"/>
              </w:rPr>
            </w:pPr>
            <w:r>
              <w:rPr>
                <w:rFonts w:ascii="Arial" w:cs="Arial" w:eastAsia="Arial" w:hAnsi="Arial"/>
                <w:sz w:val="13"/>
                <w:szCs w:val="13"/>
                <w:color w:val="auto"/>
              </w:rPr>
              <w:t>382,500</w:t>
            </w:r>
          </w:p>
        </w:tc>
        <w:tc>
          <w:tcPr>
            <w:tcW w:w="8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1,033,897</w:t>
            </w: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55"/>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74"/>
              <w:spacing w:after="0" w:line="141"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E5E5E5"/>
          </w:tcPr>
          <w:p>
            <w:pPr>
              <w:jc w:val="right"/>
              <w:ind w:right="34"/>
              <w:spacing w:after="0" w:line="141" w:lineRule="exact"/>
              <w:rPr>
                <w:sz w:val="20"/>
                <w:szCs w:val="20"/>
                <w:color w:val="auto"/>
              </w:rPr>
            </w:pPr>
            <w:r>
              <w:rPr>
                <w:rFonts w:ascii="Arial" w:cs="Arial" w:eastAsia="Arial" w:hAnsi="Arial"/>
                <w:sz w:val="13"/>
                <w:szCs w:val="13"/>
                <w:color w:val="auto"/>
              </w:rPr>
              <w:t>$1,461,598</w:t>
            </w:r>
          </w:p>
        </w:tc>
        <w:tc>
          <w:tcPr>
            <w:tcW w:w="18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spacing w:after="0" w:line="141" w:lineRule="exact"/>
              <w:rPr>
                <w:sz w:val="20"/>
                <w:szCs w:val="20"/>
                <w:color w:val="auto"/>
              </w:rPr>
            </w:pPr>
            <w:r>
              <w:rPr>
                <w:rFonts w:ascii="Arial" w:cs="Arial" w:eastAsia="Arial" w:hAnsi="Arial"/>
                <w:sz w:val="13"/>
                <w:szCs w:val="13"/>
                <w:color w:val="auto"/>
              </w:rPr>
              <w:t>2,877,995</w:t>
            </w: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E5E5E5"/>
          </w:tcPr>
          <w:p>
            <w:pPr>
              <w:ind w:left="100"/>
              <w:spacing w:after="0" w:line="149" w:lineRule="exact"/>
              <w:rPr>
                <w:sz w:val="20"/>
                <w:szCs w:val="20"/>
                <w:color w:val="auto"/>
              </w:rPr>
            </w:pPr>
            <w:r>
              <w:rPr>
                <w:rFonts w:ascii="Arial" w:cs="Arial" w:eastAsia="Arial" w:hAnsi="Arial"/>
                <w:sz w:val="13"/>
                <w:szCs w:val="13"/>
                <w:color w:val="auto"/>
              </w:rPr>
              <w:t>Vice President and</w:t>
            </w:r>
          </w:p>
        </w:tc>
        <w:tc>
          <w:tcPr>
            <w:tcW w:w="100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80" w:type="dxa"/>
            <w:vAlign w:val="bottom"/>
            <w:gridSpan w:val="2"/>
            <w:shd w:val="clear" w:color="auto" w:fill="E5E5E5"/>
          </w:tcPr>
          <w:p>
            <w:pPr>
              <w:ind w:left="100"/>
              <w:spacing w:after="0"/>
              <w:rPr>
                <w:sz w:val="20"/>
                <w:szCs w:val="20"/>
                <w:color w:val="auto"/>
              </w:rPr>
            </w:pPr>
            <w:r>
              <w:rPr>
                <w:rFonts w:ascii="Arial" w:cs="Arial" w:eastAsia="Arial" w:hAnsi="Arial"/>
                <w:sz w:val="13"/>
                <w:szCs w:val="13"/>
                <w:color w:val="auto"/>
              </w:rPr>
              <w:t>Chief Services Officer</w:t>
            </w:r>
          </w:p>
        </w:tc>
        <w:tc>
          <w:tcPr>
            <w:tcW w:w="100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1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980" w:right="20" w:hanging="400"/>
        <w:spacing w:after="0" w:line="263" w:lineRule="auto"/>
        <w:tabs>
          <w:tab w:leader="none" w:pos="9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amounts reported in the “Stock Awards” and “Option Awards” columns represent the aggregate grant date fair value of the stock-based awards granted to our named executive officers in the years indicated, as computed in accordance with ASC Topic 718, disregarding the impact of estimated forfeitures. The assumptions used in calculating the grant date fair value of the stock options reported in the Option Awards column are set forth in Note 13, Equity-Based Awards, to the audited consolidated financial statements included in our Annual Report on Form 10-K for the year ended December 31, 2022. Note that the amounts reported in these columns reflect the accounting cost for these stock-based awards, and do not correspond to the actual economic value that may be received by our named executive officers from these awards. As previously disclosed, given the significant impact of the COVID-19 pandemic on our financial results in 2021, in March 2021, the Compensation Committee replaced performance metrics for PSUs with 2021 and/or 2022 performance periods that were granted prior to 2021, with performance metrics based on 2021 criteria. No associated accounting charge was taken with respect to these modifications that occurred in 2021, and therefore no charge is reflected in the “Stock Awards” column for 2021 with respect to these modified awards. Amounts with respect to 2021 also represent the incremental grant date fair value above the grant date fair value reported with respect to 2020 for awards granted on March 15, 2020 due to the</w:t>
      </w:r>
    </w:p>
    <w:p>
      <w:pPr>
        <w:spacing w:after="0" w:line="91"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76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194310</wp:posOffset>
            </wp:positionV>
            <wp:extent cx="1593850" cy="1492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93850" cy="149225"/>
                    </a:xfrm>
                    <a:prstGeom prst="rect">
                      <a:avLst/>
                    </a:prstGeom>
                    <a:noFill/>
                  </pic:spPr>
                </pic:pic>
              </a:graphicData>
            </a:graphic>
          </wp:anchor>
        </w:drawing>
      </w:r>
    </w:p>
    <w:p>
      <w:pPr>
        <w:spacing w:after="0" w:line="31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FFFFFF"/>
        </w:rPr>
        <w:t>EXECUTIVE COMPENSATION</w:t>
      </w:r>
    </w:p>
    <w:p>
      <w:pPr>
        <w:spacing w:after="0" w:line="248" w:lineRule="exact"/>
        <w:rPr>
          <w:sz w:val="20"/>
          <w:szCs w:val="20"/>
          <w:color w:val="auto"/>
        </w:rPr>
      </w:pPr>
    </w:p>
    <w:p>
      <w:pPr>
        <w:ind w:left="980" w:right="800"/>
        <w:spacing w:after="0" w:line="249" w:lineRule="auto"/>
        <w:rPr>
          <w:sz w:val="20"/>
          <w:szCs w:val="20"/>
          <w:color w:val="auto"/>
        </w:rPr>
      </w:pPr>
      <w:r>
        <w:rPr>
          <w:rFonts w:ascii="Arial" w:cs="Arial" w:eastAsia="Arial" w:hAnsi="Arial"/>
          <w:sz w:val="15"/>
          <w:szCs w:val="15"/>
          <w:color w:val="auto"/>
        </w:rPr>
        <w:t>modifications that occurred in 2020. The value on the date of grant of the PSUs granted on March 15, 2022, using our closing stock price on that date of $9.59 and assuming that the highest level of the performance conditions were achieved, would have been $7,000,010, $3,000,001, $1,499,991, $1,499,991, $2,499,998, $1,499,991, and $1,000,007 for Messrs. Menke, Ekert, Moore, Wilson, Barnett, Jones, and Tanyel, respectively. The value on the date of grant of the PSUs granted to Mr. Randolfi on September 15, 2022, using our closing stock price on that date of $6.87 and assuming that the highest level of the performance conditions were achieved, would have been $1,499,996.</w:t>
      </w:r>
    </w:p>
    <w:p>
      <w:pPr>
        <w:spacing w:after="0" w:line="45" w:lineRule="exact"/>
        <w:rPr>
          <w:sz w:val="20"/>
          <w:szCs w:val="20"/>
          <w:color w:val="auto"/>
        </w:rPr>
      </w:pPr>
    </w:p>
    <w:p>
      <w:pPr>
        <w:ind w:left="980" w:right="720" w:hanging="400"/>
        <w:spacing w:after="0" w:line="251" w:lineRule="auto"/>
        <w:tabs>
          <w:tab w:leader="none" w:pos="9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amounts reported in the “Non-Equity Incentive Plan Compensation” column represent the amounts paid to our named executive officers for the years indicated pursuant to the EIP. For a discussion of this plan, see “ —Compensation Elements of Total Direct Compensation—Annual Incentive Compensation.” In addition, for 2021, amounts reported in this column also represent payment of the 2020 long-term performance-based cash incentive award.</w:t>
      </w:r>
    </w:p>
    <w:p>
      <w:pPr>
        <w:spacing w:after="0" w:line="44" w:lineRule="exact"/>
        <w:rPr>
          <w:rFonts w:ascii="Arial" w:cs="Arial" w:eastAsia="Arial" w:hAnsi="Arial"/>
          <w:sz w:val="15"/>
          <w:szCs w:val="15"/>
          <w:color w:val="auto"/>
        </w:rPr>
      </w:pPr>
    </w:p>
    <w:p>
      <w:pPr>
        <w:ind w:left="980" w:right="1060" w:hanging="400"/>
        <w:spacing w:after="0" w:line="257" w:lineRule="auto"/>
        <w:tabs>
          <w:tab w:leader="none" w:pos="9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amounts reported in the “All Other Compensation” column are described in more detail in the following table. The amounts reported for perquisites and other personal benefits represent the actual incremental cost incurred by us in providing these benefits to the indicated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127000</wp:posOffset>
            </wp:positionV>
            <wp:extent cx="6165215" cy="17348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65215" cy="1734820"/>
                    </a:xfrm>
                    <a:prstGeom prst="rect">
                      <a:avLst/>
                    </a:prstGeom>
                    <a:noFill/>
                  </pic:spPr>
                </pic:pic>
              </a:graphicData>
            </a:graphic>
          </wp:anchor>
        </w:drawing>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1060" w:type="dxa"/>
            <w:vAlign w:val="bottom"/>
            <w:shd w:val="clear" w:color="auto" w:fill="666666"/>
          </w:tcPr>
          <w:p>
            <w:pPr>
              <w:spacing w:after="0"/>
              <w:rPr>
                <w:sz w:val="13"/>
                <w:szCs w:val="13"/>
                <w:color w:val="auto"/>
              </w:rPr>
            </w:pPr>
          </w:p>
        </w:tc>
        <w:tc>
          <w:tcPr>
            <w:tcW w:w="540" w:type="dxa"/>
            <w:vAlign w:val="bottom"/>
            <w:shd w:val="clear" w:color="auto" w:fill="666666"/>
          </w:tcPr>
          <w:p>
            <w:pPr>
              <w:spacing w:after="0"/>
              <w:rPr>
                <w:sz w:val="13"/>
                <w:szCs w:val="13"/>
                <w:color w:val="auto"/>
              </w:rPr>
            </w:pPr>
          </w:p>
        </w:tc>
        <w:tc>
          <w:tcPr>
            <w:tcW w:w="960" w:type="dxa"/>
            <w:vAlign w:val="bottom"/>
            <w:gridSpan w:val="2"/>
            <w:shd w:val="clear" w:color="auto" w:fill="666666"/>
          </w:tcPr>
          <w:p>
            <w:pPr>
              <w:ind w:left="240"/>
              <w:spacing w:after="0"/>
              <w:rPr>
                <w:sz w:val="20"/>
                <w:szCs w:val="20"/>
                <w:color w:val="auto"/>
              </w:rPr>
            </w:pPr>
            <w:r>
              <w:rPr>
                <w:rFonts w:ascii="Arial" w:cs="Arial" w:eastAsia="Arial" w:hAnsi="Arial"/>
                <w:sz w:val="13"/>
                <w:szCs w:val="13"/>
                <w:b w:val="1"/>
                <w:bCs w:val="1"/>
                <w:color w:val="FFFFFF"/>
              </w:rPr>
              <w:t>Group</w:t>
            </w:r>
          </w:p>
        </w:tc>
        <w:tc>
          <w:tcPr>
            <w:tcW w:w="1200" w:type="dxa"/>
            <w:vAlign w:val="bottom"/>
            <w:shd w:val="clear" w:color="auto" w:fill="666666"/>
          </w:tcPr>
          <w:p>
            <w:pPr>
              <w:spacing w:after="0"/>
              <w:rPr>
                <w:sz w:val="13"/>
                <w:szCs w:val="13"/>
                <w:color w:val="auto"/>
              </w:rPr>
            </w:pPr>
          </w:p>
        </w:tc>
        <w:tc>
          <w:tcPr>
            <w:tcW w:w="340" w:type="dxa"/>
            <w:vAlign w:val="bottom"/>
            <w:shd w:val="clear" w:color="auto" w:fill="666666"/>
          </w:tcPr>
          <w:p>
            <w:pPr>
              <w:spacing w:after="0"/>
              <w:rPr>
                <w:sz w:val="13"/>
                <w:szCs w:val="13"/>
                <w:color w:val="auto"/>
              </w:rPr>
            </w:pPr>
          </w:p>
        </w:tc>
        <w:tc>
          <w:tcPr>
            <w:tcW w:w="600" w:type="dxa"/>
            <w:vAlign w:val="bottom"/>
            <w:shd w:val="clear" w:color="auto" w:fill="666666"/>
          </w:tcPr>
          <w:p>
            <w:pPr>
              <w:spacing w:after="0"/>
              <w:rPr>
                <w:sz w:val="13"/>
                <w:szCs w:val="13"/>
                <w:color w:val="auto"/>
              </w:rPr>
            </w:pPr>
          </w:p>
        </w:tc>
        <w:tc>
          <w:tcPr>
            <w:tcW w:w="1020" w:type="dxa"/>
            <w:vAlign w:val="bottom"/>
            <w:shd w:val="clear" w:color="auto" w:fill="666666"/>
          </w:tcPr>
          <w:p>
            <w:pPr>
              <w:spacing w:after="0"/>
              <w:rPr>
                <w:sz w:val="13"/>
                <w:szCs w:val="13"/>
                <w:color w:val="auto"/>
              </w:rPr>
            </w:pPr>
          </w:p>
        </w:tc>
        <w:tc>
          <w:tcPr>
            <w:tcW w:w="1160" w:type="dxa"/>
            <w:vAlign w:val="bottom"/>
            <w:gridSpan w:val="2"/>
            <w:shd w:val="clear" w:color="auto" w:fill="666666"/>
          </w:tcPr>
          <w:p>
            <w:pPr>
              <w:ind w:left="300"/>
              <w:spacing w:after="0"/>
              <w:rPr>
                <w:sz w:val="20"/>
                <w:szCs w:val="20"/>
                <w:color w:val="auto"/>
              </w:rPr>
            </w:pPr>
            <w:r>
              <w:rPr>
                <w:rFonts w:ascii="Arial" w:cs="Arial" w:eastAsia="Arial" w:hAnsi="Arial"/>
                <w:sz w:val="13"/>
                <w:szCs w:val="13"/>
                <w:b w:val="1"/>
                <w:bCs w:val="1"/>
                <w:color w:val="FFFFFF"/>
              </w:rPr>
              <w:t>Section</w:t>
            </w:r>
          </w:p>
        </w:tc>
        <w:tc>
          <w:tcPr>
            <w:tcW w:w="440" w:type="dxa"/>
            <w:vAlign w:val="bottom"/>
            <w:shd w:val="clear" w:color="auto" w:fill="666666"/>
          </w:tcPr>
          <w:p>
            <w:pPr>
              <w:spacing w:after="0"/>
              <w:rPr>
                <w:sz w:val="13"/>
                <w:szCs w:val="13"/>
                <w:color w:val="auto"/>
              </w:rPr>
            </w:pPr>
          </w:p>
        </w:tc>
        <w:tc>
          <w:tcPr>
            <w:tcW w:w="800" w:type="dxa"/>
            <w:vAlign w:val="bottom"/>
            <w:shd w:val="clear" w:color="auto" w:fill="666666"/>
          </w:tcPr>
          <w:p>
            <w:pPr>
              <w:spacing w:after="0"/>
              <w:rPr>
                <w:sz w:val="13"/>
                <w:szCs w:val="13"/>
                <w:color w:val="auto"/>
              </w:rPr>
            </w:pPr>
          </w:p>
        </w:tc>
        <w:tc>
          <w:tcPr>
            <w:tcW w:w="1340" w:type="dxa"/>
            <w:vAlign w:val="bottom"/>
            <w:shd w:val="clear" w:color="auto" w:fill="666666"/>
          </w:tcPr>
          <w:p>
            <w:pPr>
              <w:spacing w:after="0"/>
              <w:rPr>
                <w:sz w:val="13"/>
                <w:szCs w:val="13"/>
                <w:color w:val="auto"/>
              </w:rPr>
            </w:pPr>
          </w:p>
        </w:tc>
        <w:tc>
          <w:tcPr>
            <w:tcW w:w="380" w:type="dxa"/>
            <w:vAlign w:val="bottom"/>
            <w:shd w:val="clear" w:color="auto" w:fill="666666"/>
          </w:tcPr>
          <w:p>
            <w:pPr>
              <w:spacing w:after="0"/>
              <w:rPr>
                <w:sz w:val="13"/>
                <w:szCs w:val="13"/>
                <w:color w:val="auto"/>
              </w:rPr>
            </w:pPr>
          </w:p>
        </w:tc>
        <w:tc>
          <w:tcPr>
            <w:tcW w:w="560" w:type="dxa"/>
            <w:vAlign w:val="bottom"/>
            <w:shd w:val="clear" w:color="auto" w:fill="666666"/>
          </w:tcPr>
          <w:p>
            <w:pPr>
              <w:spacing w:after="0"/>
              <w:rPr>
                <w:sz w:val="13"/>
                <w:szCs w:val="13"/>
                <w:color w:val="auto"/>
              </w:rPr>
            </w:pPr>
          </w:p>
        </w:tc>
        <w:tc>
          <w:tcPr>
            <w:tcW w:w="360" w:type="dxa"/>
            <w:vAlign w:val="bottom"/>
            <w:shd w:val="clear" w:color="auto" w:fill="66666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666666"/>
          </w:tcPr>
          <w:p>
            <w:pPr>
              <w:spacing w:after="0"/>
              <w:rPr>
                <w:sz w:val="12"/>
                <w:szCs w:val="12"/>
                <w:color w:val="auto"/>
              </w:rPr>
            </w:pPr>
          </w:p>
        </w:tc>
        <w:tc>
          <w:tcPr>
            <w:tcW w:w="540" w:type="dxa"/>
            <w:vAlign w:val="bottom"/>
            <w:shd w:val="clear" w:color="auto" w:fill="666666"/>
          </w:tcPr>
          <w:p>
            <w:pPr>
              <w:spacing w:after="0"/>
              <w:rPr>
                <w:sz w:val="12"/>
                <w:szCs w:val="12"/>
                <w:color w:val="auto"/>
              </w:rPr>
            </w:pPr>
          </w:p>
        </w:tc>
        <w:tc>
          <w:tcPr>
            <w:tcW w:w="960" w:type="dxa"/>
            <w:vAlign w:val="bottom"/>
            <w:gridSpan w:val="2"/>
            <w:shd w:val="clear" w:color="auto" w:fill="666666"/>
          </w:tcPr>
          <w:p>
            <w:pPr>
              <w:jc w:val="center"/>
              <w:ind w:right="14"/>
              <w:spacing w:after="0" w:line="149" w:lineRule="exact"/>
              <w:rPr>
                <w:sz w:val="20"/>
                <w:szCs w:val="20"/>
                <w:color w:val="auto"/>
              </w:rPr>
            </w:pPr>
            <w:r>
              <w:rPr>
                <w:rFonts w:ascii="Arial" w:cs="Arial" w:eastAsia="Arial" w:hAnsi="Arial"/>
                <w:sz w:val="13"/>
                <w:szCs w:val="13"/>
                <w:b w:val="1"/>
                <w:bCs w:val="1"/>
                <w:color w:val="FFFFFF"/>
              </w:rPr>
              <w:t>Term Life</w:t>
            </w:r>
          </w:p>
        </w:tc>
        <w:tc>
          <w:tcPr>
            <w:tcW w:w="120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Executive</w:t>
            </w:r>
          </w:p>
        </w:tc>
        <w:tc>
          <w:tcPr>
            <w:tcW w:w="940" w:type="dxa"/>
            <w:vAlign w:val="bottom"/>
            <w:gridSpan w:val="2"/>
            <w:shd w:val="clear" w:color="auto" w:fill="666666"/>
          </w:tcPr>
          <w:p>
            <w:pPr>
              <w:ind w:left="220"/>
              <w:spacing w:after="0" w:line="149" w:lineRule="exact"/>
              <w:rPr>
                <w:sz w:val="20"/>
                <w:szCs w:val="20"/>
                <w:color w:val="auto"/>
              </w:rPr>
            </w:pPr>
            <w:r>
              <w:rPr>
                <w:rFonts w:ascii="Arial" w:cs="Arial" w:eastAsia="Arial" w:hAnsi="Arial"/>
                <w:sz w:val="13"/>
                <w:szCs w:val="13"/>
                <w:b w:val="1"/>
                <w:bCs w:val="1"/>
                <w:color w:val="FFFFFF"/>
              </w:rPr>
              <w:t>Financial</w:t>
            </w:r>
          </w:p>
        </w:tc>
        <w:tc>
          <w:tcPr>
            <w:tcW w:w="1020" w:type="dxa"/>
            <w:vAlign w:val="bottom"/>
            <w:shd w:val="clear" w:color="auto" w:fill="666666"/>
          </w:tcPr>
          <w:p>
            <w:pPr>
              <w:spacing w:after="0"/>
              <w:rPr>
                <w:sz w:val="12"/>
                <w:szCs w:val="12"/>
                <w:color w:val="auto"/>
              </w:rPr>
            </w:pPr>
          </w:p>
        </w:tc>
        <w:tc>
          <w:tcPr>
            <w:tcW w:w="1160" w:type="dxa"/>
            <w:vAlign w:val="bottom"/>
            <w:gridSpan w:val="2"/>
            <w:shd w:val="clear" w:color="auto" w:fill="666666"/>
          </w:tcPr>
          <w:p>
            <w:pPr>
              <w:jc w:val="center"/>
              <w:ind w:right="34"/>
              <w:spacing w:after="0" w:line="149" w:lineRule="exact"/>
              <w:rPr>
                <w:sz w:val="20"/>
                <w:szCs w:val="20"/>
                <w:color w:val="auto"/>
              </w:rPr>
            </w:pPr>
            <w:r>
              <w:rPr>
                <w:rFonts w:ascii="Arial" w:cs="Arial" w:eastAsia="Arial" w:hAnsi="Arial"/>
                <w:sz w:val="13"/>
                <w:szCs w:val="13"/>
                <w:b w:val="1"/>
                <w:bCs w:val="1"/>
                <w:color w:val="FFFFFF"/>
              </w:rPr>
              <w:t>401(k) Plan</w:t>
            </w:r>
          </w:p>
        </w:tc>
        <w:tc>
          <w:tcPr>
            <w:tcW w:w="440" w:type="dxa"/>
            <w:vAlign w:val="bottom"/>
            <w:shd w:val="clear" w:color="auto" w:fill="666666"/>
          </w:tcPr>
          <w:p>
            <w:pPr>
              <w:spacing w:after="0"/>
              <w:rPr>
                <w:sz w:val="12"/>
                <w:szCs w:val="12"/>
                <w:color w:val="auto"/>
              </w:rPr>
            </w:pPr>
          </w:p>
        </w:tc>
        <w:tc>
          <w:tcPr>
            <w:tcW w:w="800" w:type="dxa"/>
            <w:vAlign w:val="bottom"/>
            <w:vMerge w:val="restart"/>
            <w:shd w:val="clear" w:color="auto" w:fill="666666"/>
          </w:tcPr>
          <w:p>
            <w:pPr>
              <w:jc w:val="right"/>
              <w:ind w:right="474"/>
              <w:spacing w:after="0"/>
              <w:rPr>
                <w:sz w:val="20"/>
                <w:szCs w:val="20"/>
                <w:color w:val="auto"/>
              </w:rPr>
            </w:pPr>
            <w:r>
              <w:rPr>
                <w:rFonts w:ascii="Arial" w:cs="Arial" w:eastAsia="Arial" w:hAnsi="Arial"/>
                <w:sz w:val="13"/>
                <w:szCs w:val="13"/>
                <w:b w:val="1"/>
                <w:bCs w:val="1"/>
                <w:color w:val="FFFFFF"/>
              </w:rPr>
              <w:t>Tax</w:t>
            </w:r>
          </w:p>
        </w:tc>
        <w:tc>
          <w:tcPr>
            <w:tcW w:w="1340" w:type="dxa"/>
            <w:vAlign w:val="bottom"/>
            <w:shd w:val="clear" w:color="auto" w:fill="666666"/>
          </w:tcPr>
          <w:p>
            <w:pPr>
              <w:spacing w:after="0"/>
              <w:rPr>
                <w:sz w:val="12"/>
                <w:szCs w:val="12"/>
                <w:color w:val="auto"/>
              </w:rPr>
            </w:pPr>
          </w:p>
        </w:tc>
        <w:tc>
          <w:tcPr>
            <w:tcW w:w="380" w:type="dxa"/>
            <w:vAlign w:val="bottom"/>
            <w:shd w:val="clear" w:color="auto" w:fill="666666"/>
          </w:tcPr>
          <w:p>
            <w:pPr>
              <w:spacing w:after="0"/>
              <w:rPr>
                <w:sz w:val="12"/>
                <w:szCs w:val="12"/>
                <w:color w:val="auto"/>
              </w:rPr>
            </w:pPr>
          </w:p>
        </w:tc>
        <w:tc>
          <w:tcPr>
            <w:tcW w:w="560" w:type="dxa"/>
            <w:vAlign w:val="bottom"/>
            <w:shd w:val="clear" w:color="auto" w:fill="666666"/>
          </w:tcPr>
          <w:p>
            <w:pPr>
              <w:spacing w:after="0"/>
              <w:rPr>
                <w:sz w:val="12"/>
                <w:szCs w:val="12"/>
                <w:color w:val="auto"/>
              </w:rPr>
            </w:pPr>
          </w:p>
        </w:tc>
        <w:tc>
          <w:tcPr>
            <w:tcW w:w="360" w:type="dxa"/>
            <w:vAlign w:val="bottom"/>
            <w:shd w:val="clear" w:color="auto" w:fill="666666"/>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60" w:type="dxa"/>
            <w:vAlign w:val="bottom"/>
            <w:shd w:val="clear" w:color="auto" w:fill="666666"/>
          </w:tcPr>
          <w:p>
            <w:pPr>
              <w:spacing w:after="0"/>
              <w:rPr>
                <w:sz w:val="11"/>
                <w:szCs w:val="11"/>
                <w:color w:val="auto"/>
              </w:rPr>
            </w:pPr>
          </w:p>
        </w:tc>
        <w:tc>
          <w:tcPr>
            <w:tcW w:w="540" w:type="dxa"/>
            <w:vAlign w:val="bottom"/>
            <w:shd w:val="clear" w:color="auto" w:fill="666666"/>
          </w:tcPr>
          <w:p>
            <w:pPr>
              <w:spacing w:after="0"/>
              <w:rPr>
                <w:sz w:val="11"/>
                <w:szCs w:val="11"/>
                <w:color w:val="auto"/>
              </w:rPr>
            </w:pPr>
          </w:p>
        </w:tc>
        <w:tc>
          <w:tcPr>
            <w:tcW w:w="960" w:type="dxa"/>
            <w:vAlign w:val="bottom"/>
            <w:gridSpan w:val="2"/>
            <w:shd w:val="clear" w:color="auto" w:fill="666666"/>
          </w:tcPr>
          <w:p>
            <w:pPr>
              <w:jc w:val="center"/>
              <w:ind w:right="14"/>
              <w:spacing w:after="0" w:line="131" w:lineRule="exact"/>
              <w:rPr>
                <w:sz w:val="20"/>
                <w:szCs w:val="20"/>
                <w:color w:val="auto"/>
              </w:rPr>
            </w:pPr>
            <w:r>
              <w:rPr>
                <w:rFonts w:ascii="Arial" w:cs="Arial" w:eastAsia="Arial" w:hAnsi="Arial"/>
                <w:sz w:val="13"/>
                <w:szCs w:val="13"/>
                <w:b w:val="1"/>
                <w:bCs w:val="1"/>
                <w:color w:val="FFFFFF"/>
              </w:rPr>
              <w:t>Insurance</w:t>
            </w:r>
          </w:p>
        </w:tc>
        <w:tc>
          <w:tcPr>
            <w:tcW w:w="1200" w:type="dxa"/>
            <w:vAlign w:val="bottom"/>
            <w:shd w:val="clear" w:color="auto" w:fill="666666"/>
          </w:tcPr>
          <w:p>
            <w:pPr>
              <w:jc w:val="center"/>
              <w:spacing w:after="0" w:line="131" w:lineRule="exact"/>
              <w:rPr>
                <w:sz w:val="20"/>
                <w:szCs w:val="20"/>
                <w:color w:val="auto"/>
              </w:rPr>
            </w:pPr>
            <w:r>
              <w:rPr>
                <w:rFonts w:ascii="Arial" w:cs="Arial" w:eastAsia="Arial" w:hAnsi="Arial"/>
                <w:sz w:val="13"/>
                <w:szCs w:val="13"/>
                <w:b w:val="1"/>
                <w:bCs w:val="1"/>
                <w:color w:val="FFFFFF"/>
              </w:rPr>
              <w:t>Physical</w:t>
            </w:r>
          </w:p>
        </w:tc>
        <w:tc>
          <w:tcPr>
            <w:tcW w:w="940" w:type="dxa"/>
            <w:vAlign w:val="bottom"/>
            <w:gridSpan w:val="2"/>
            <w:shd w:val="clear" w:color="auto" w:fill="666666"/>
          </w:tcPr>
          <w:p>
            <w:pPr>
              <w:ind w:left="220"/>
              <w:spacing w:after="0" w:line="131" w:lineRule="exact"/>
              <w:rPr>
                <w:sz w:val="20"/>
                <w:szCs w:val="20"/>
                <w:color w:val="auto"/>
              </w:rPr>
            </w:pPr>
            <w:r>
              <w:rPr>
                <w:rFonts w:ascii="Arial" w:cs="Arial" w:eastAsia="Arial" w:hAnsi="Arial"/>
                <w:sz w:val="13"/>
                <w:szCs w:val="13"/>
                <w:b w:val="1"/>
                <w:bCs w:val="1"/>
                <w:color w:val="FFFFFF"/>
              </w:rPr>
              <w:t>Planning</w:t>
            </w:r>
          </w:p>
        </w:tc>
        <w:tc>
          <w:tcPr>
            <w:tcW w:w="1020" w:type="dxa"/>
            <w:vAlign w:val="bottom"/>
            <w:shd w:val="clear" w:color="auto" w:fill="666666"/>
          </w:tcPr>
          <w:p>
            <w:pPr>
              <w:jc w:val="right"/>
              <w:ind w:right="114"/>
              <w:spacing w:after="0" w:line="131" w:lineRule="exact"/>
              <w:rPr>
                <w:sz w:val="20"/>
                <w:szCs w:val="20"/>
                <w:color w:val="auto"/>
              </w:rPr>
            </w:pPr>
            <w:r>
              <w:rPr>
                <w:rFonts w:ascii="Arial" w:cs="Arial" w:eastAsia="Arial" w:hAnsi="Arial"/>
                <w:sz w:val="13"/>
                <w:szCs w:val="13"/>
                <w:b w:val="1"/>
                <w:bCs w:val="1"/>
                <w:color w:val="FFFFFF"/>
              </w:rPr>
              <w:t>Relocation</w:t>
            </w:r>
          </w:p>
        </w:tc>
        <w:tc>
          <w:tcPr>
            <w:tcW w:w="1160" w:type="dxa"/>
            <w:vAlign w:val="bottom"/>
            <w:gridSpan w:val="2"/>
            <w:shd w:val="clear" w:color="auto" w:fill="666666"/>
          </w:tcPr>
          <w:p>
            <w:pPr>
              <w:jc w:val="center"/>
              <w:ind w:right="34"/>
              <w:spacing w:after="0" w:line="131" w:lineRule="exact"/>
              <w:rPr>
                <w:sz w:val="20"/>
                <w:szCs w:val="20"/>
                <w:color w:val="auto"/>
              </w:rPr>
            </w:pPr>
            <w:r>
              <w:rPr>
                <w:rFonts w:ascii="Arial" w:cs="Arial" w:eastAsia="Arial" w:hAnsi="Arial"/>
                <w:sz w:val="13"/>
                <w:szCs w:val="13"/>
                <w:b w:val="1"/>
                <w:bCs w:val="1"/>
                <w:color w:val="FFFFFF"/>
              </w:rPr>
              <w:t>Matching</w:t>
            </w:r>
          </w:p>
        </w:tc>
        <w:tc>
          <w:tcPr>
            <w:tcW w:w="440" w:type="dxa"/>
            <w:vAlign w:val="bottom"/>
            <w:shd w:val="clear" w:color="auto" w:fill="666666"/>
          </w:tcPr>
          <w:p>
            <w:pPr>
              <w:spacing w:after="0"/>
              <w:rPr>
                <w:sz w:val="11"/>
                <w:szCs w:val="11"/>
                <w:color w:val="auto"/>
              </w:rPr>
            </w:pPr>
          </w:p>
        </w:tc>
        <w:tc>
          <w:tcPr>
            <w:tcW w:w="800" w:type="dxa"/>
            <w:vAlign w:val="bottom"/>
            <w:vMerge w:val="continue"/>
            <w:shd w:val="clear" w:color="auto" w:fill="666666"/>
          </w:tcPr>
          <w:p>
            <w:pPr>
              <w:spacing w:after="0"/>
              <w:rPr>
                <w:sz w:val="11"/>
                <w:szCs w:val="11"/>
                <w:color w:val="auto"/>
              </w:rPr>
            </w:pPr>
          </w:p>
        </w:tc>
        <w:tc>
          <w:tcPr>
            <w:tcW w:w="1340" w:type="dxa"/>
            <w:vAlign w:val="bottom"/>
            <w:shd w:val="clear" w:color="auto" w:fill="666666"/>
          </w:tcPr>
          <w:p>
            <w:pPr>
              <w:spacing w:after="0"/>
              <w:rPr>
                <w:sz w:val="11"/>
                <w:szCs w:val="11"/>
                <w:color w:val="auto"/>
              </w:rPr>
            </w:pPr>
          </w:p>
        </w:tc>
        <w:tc>
          <w:tcPr>
            <w:tcW w:w="380" w:type="dxa"/>
            <w:vAlign w:val="bottom"/>
            <w:shd w:val="clear" w:color="auto" w:fill="666666"/>
          </w:tcPr>
          <w:p>
            <w:pPr>
              <w:spacing w:after="0"/>
              <w:rPr>
                <w:sz w:val="11"/>
                <w:szCs w:val="11"/>
                <w:color w:val="auto"/>
              </w:rPr>
            </w:pPr>
          </w:p>
        </w:tc>
        <w:tc>
          <w:tcPr>
            <w:tcW w:w="560" w:type="dxa"/>
            <w:vAlign w:val="bottom"/>
            <w:shd w:val="clear" w:color="auto" w:fill="666666"/>
          </w:tcPr>
          <w:p>
            <w:pPr>
              <w:spacing w:after="0"/>
              <w:rPr>
                <w:sz w:val="11"/>
                <w:szCs w:val="11"/>
                <w:color w:val="auto"/>
              </w:rPr>
            </w:pPr>
          </w:p>
        </w:tc>
        <w:tc>
          <w:tcPr>
            <w:tcW w:w="36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60" w:type="dxa"/>
            <w:vAlign w:val="bottom"/>
            <w:shd w:val="clear" w:color="auto" w:fill="666666"/>
          </w:tcPr>
          <w:p>
            <w:pPr>
              <w:ind w:left="40"/>
              <w:spacing w:after="0"/>
              <w:rPr>
                <w:sz w:val="20"/>
                <w:szCs w:val="20"/>
                <w:color w:val="auto"/>
              </w:rPr>
            </w:pPr>
            <w:r>
              <w:rPr>
                <w:rFonts w:ascii="Arial" w:cs="Arial" w:eastAsia="Arial" w:hAnsi="Arial"/>
                <w:sz w:val="13"/>
                <w:szCs w:val="13"/>
                <w:b w:val="1"/>
                <w:bCs w:val="1"/>
                <w:color w:val="FFFFFF"/>
              </w:rPr>
              <w:t>Name</w:t>
            </w:r>
          </w:p>
        </w:tc>
        <w:tc>
          <w:tcPr>
            <w:tcW w:w="540" w:type="dxa"/>
            <w:vAlign w:val="bottom"/>
            <w:shd w:val="clear" w:color="auto" w:fill="666666"/>
          </w:tcPr>
          <w:p>
            <w:pPr>
              <w:jc w:val="right"/>
              <w:ind w:right="94"/>
              <w:spacing w:after="0"/>
              <w:rPr>
                <w:sz w:val="20"/>
                <w:szCs w:val="20"/>
                <w:color w:val="auto"/>
              </w:rPr>
            </w:pPr>
            <w:r>
              <w:rPr>
                <w:rFonts w:ascii="Arial" w:cs="Arial" w:eastAsia="Arial" w:hAnsi="Arial"/>
                <w:sz w:val="13"/>
                <w:szCs w:val="13"/>
                <w:b w:val="1"/>
                <w:bCs w:val="1"/>
                <w:color w:val="FFFFFF"/>
              </w:rPr>
              <w:t>Year</w:t>
            </w:r>
          </w:p>
        </w:tc>
        <w:tc>
          <w:tcPr>
            <w:tcW w:w="960" w:type="dxa"/>
            <w:vAlign w:val="bottom"/>
            <w:gridSpan w:val="2"/>
            <w:shd w:val="clear" w:color="auto" w:fill="666666"/>
          </w:tcPr>
          <w:p>
            <w:pPr>
              <w:jc w:val="center"/>
              <w:ind w:right="14"/>
              <w:spacing w:after="0"/>
              <w:rPr>
                <w:sz w:val="20"/>
                <w:szCs w:val="20"/>
                <w:color w:val="auto"/>
              </w:rPr>
            </w:pPr>
            <w:r>
              <w:rPr>
                <w:rFonts w:ascii="Arial" w:cs="Arial" w:eastAsia="Arial" w:hAnsi="Arial"/>
                <w:sz w:val="13"/>
                <w:szCs w:val="13"/>
                <w:b w:val="1"/>
                <w:bCs w:val="1"/>
                <w:color w:val="FFFFFF"/>
              </w:rPr>
              <w:t>Premiums</w:t>
            </w:r>
          </w:p>
        </w:tc>
        <w:tc>
          <w:tcPr>
            <w:tcW w:w="12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Examination</w:t>
            </w:r>
          </w:p>
        </w:tc>
        <w:tc>
          <w:tcPr>
            <w:tcW w:w="940" w:type="dxa"/>
            <w:vAlign w:val="bottom"/>
            <w:gridSpan w:val="2"/>
            <w:shd w:val="clear" w:color="auto" w:fill="666666"/>
          </w:tcPr>
          <w:p>
            <w:pPr>
              <w:ind w:left="240"/>
              <w:spacing w:after="0"/>
              <w:rPr>
                <w:sz w:val="20"/>
                <w:szCs w:val="20"/>
                <w:color w:val="auto"/>
              </w:rPr>
            </w:pPr>
            <w:r>
              <w:rPr>
                <w:rFonts w:ascii="Arial" w:cs="Arial" w:eastAsia="Arial" w:hAnsi="Arial"/>
                <w:sz w:val="13"/>
                <w:szCs w:val="13"/>
                <w:b w:val="1"/>
                <w:bCs w:val="1"/>
                <w:color w:val="FFFFFF"/>
              </w:rPr>
              <w:t>Services</w:t>
            </w:r>
          </w:p>
        </w:tc>
        <w:tc>
          <w:tcPr>
            <w:tcW w:w="1020" w:type="dxa"/>
            <w:vAlign w:val="bottom"/>
            <w:shd w:val="clear" w:color="auto" w:fill="666666"/>
          </w:tcPr>
          <w:p>
            <w:pPr>
              <w:jc w:val="right"/>
              <w:ind w:right="94"/>
              <w:spacing w:after="0"/>
              <w:rPr>
                <w:sz w:val="20"/>
                <w:szCs w:val="20"/>
                <w:color w:val="auto"/>
              </w:rPr>
            </w:pPr>
            <w:r>
              <w:rPr>
                <w:rFonts w:ascii="Arial" w:cs="Arial" w:eastAsia="Arial" w:hAnsi="Arial"/>
                <w:sz w:val="13"/>
                <w:szCs w:val="13"/>
                <w:b w:val="1"/>
                <w:bCs w:val="1"/>
                <w:color w:val="FFFFFF"/>
              </w:rPr>
              <w:t>Assistance</w:t>
            </w:r>
          </w:p>
        </w:tc>
        <w:tc>
          <w:tcPr>
            <w:tcW w:w="1160" w:type="dxa"/>
            <w:vAlign w:val="bottom"/>
            <w:gridSpan w:val="2"/>
            <w:shd w:val="clear" w:color="auto" w:fill="666666"/>
          </w:tcPr>
          <w:p>
            <w:pPr>
              <w:jc w:val="center"/>
              <w:ind w:right="14"/>
              <w:spacing w:after="0"/>
              <w:rPr>
                <w:sz w:val="20"/>
                <w:szCs w:val="20"/>
                <w:color w:val="auto"/>
              </w:rPr>
            </w:pPr>
            <w:r>
              <w:rPr>
                <w:rFonts w:ascii="Arial" w:cs="Arial" w:eastAsia="Arial" w:hAnsi="Arial"/>
                <w:sz w:val="13"/>
                <w:szCs w:val="13"/>
                <w:b w:val="1"/>
                <w:bCs w:val="1"/>
                <w:color w:val="FFFFFF"/>
              </w:rPr>
              <w:t>Contribution</w:t>
            </w:r>
          </w:p>
        </w:tc>
        <w:tc>
          <w:tcPr>
            <w:tcW w:w="1240" w:type="dxa"/>
            <w:vAlign w:val="bottom"/>
            <w:gridSpan w:val="2"/>
            <w:shd w:val="clear" w:color="auto" w:fill="666666"/>
          </w:tcPr>
          <w:p>
            <w:pPr>
              <w:jc w:val="right"/>
              <w:ind w:right="214"/>
              <w:spacing w:after="0" w:line="185" w:lineRule="exact"/>
              <w:rPr>
                <w:sz w:val="20"/>
                <w:szCs w:val="20"/>
                <w:color w:val="auto"/>
              </w:rPr>
            </w:pPr>
            <w:r>
              <w:rPr>
                <w:rFonts w:ascii="Arial" w:cs="Arial" w:eastAsia="Arial" w:hAnsi="Arial"/>
                <w:sz w:val="13"/>
                <w:szCs w:val="13"/>
                <w:b w:val="1"/>
                <w:bCs w:val="1"/>
                <w:color w:val="FFFFFF"/>
              </w:rPr>
              <w:t>Gross-Up</w:t>
            </w:r>
            <w:r>
              <w:rPr>
                <w:rFonts w:ascii="Arial" w:cs="Arial" w:eastAsia="Arial" w:hAnsi="Arial"/>
                <w:sz w:val="19"/>
                <w:szCs w:val="19"/>
                <w:b w:val="1"/>
                <w:bCs w:val="1"/>
                <w:color w:val="FFFFFF"/>
                <w:vertAlign w:val="superscript"/>
              </w:rPr>
              <w:t>(a)</w:t>
            </w:r>
          </w:p>
        </w:tc>
        <w:tc>
          <w:tcPr>
            <w:tcW w:w="1340" w:type="dxa"/>
            <w:vAlign w:val="bottom"/>
            <w:shd w:val="clear" w:color="auto" w:fill="666666"/>
          </w:tcPr>
          <w:p>
            <w:pPr>
              <w:jc w:val="right"/>
              <w:ind w:right="214"/>
              <w:spacing w:after="0" w:line="185" w:lineRule="exact"/>
              <w:rPr>
                <w:sz w:val="20"/>
                <w:szCs w:val="20"/>
                <w:color w:val="auto"/>
              </w:rPr>
            </w:pPr>
            <w:r>
              <w:rPr>
                <w:rFonts w:ascii="Arial" w:cs="Arial" w:eastAsia="Arial" w:hAnsi="Arial"/>
                <w:sz w:val="13"/>
                <w:szCs w:val="13"/>
                <w:b w:val="1"/>
                <w:bCs w:val="1"/>
                <w:color w:val="FFFFFF"/>
              </w:rPr>
              <w:t>Severance</w:t>
            </w:r>
            <w:r>
              <w:rPr>
                <w:rFonts w:ascii="Arial" w:cs="Arial" w:eastAsia="Arial" w:hAnsi="Arial"/>
                <w:sz w:val="19"/>
                <w:szCs w:val="19"/>
                <w:b w:val="1"/>
                <w:bCs w:val="1"/>
                <w:color w:val="FFFFFF"/>
                <w:vertAlign w:val="superscript"/>
              </w:rPr>
              <w:t>(b)</w:t>
            </w:r>
          </w:p>
        </w:tc>
        <w:tc>
          <w:tcPr>
            <w:tcW w:w="940" w:type="dxa"/>
            <w:vAlign w:val="bottom"/>
            <w:gridSpan w:val="2"/>
            <w:shd w:val="clear" w:color="auto" w:fill="666666"/>
          </w:tcPr>
          <w:p>
            <w:pPr>
              <w:ind w:left="300"/>
              <w:spacing w:after="0" w:line="185" w:lineRule="exact"/>
              <w:rPr>
                <w:sz w:val="20"/>
                <w:szCs w:val="20"/>
                <w:color w:val="auto"/>
              </w:rPr>
            </w:pPr>
            <w:r>
              <w:rPr>
                <w:rFonts w:ascii="Arial" w:cs="Arial" w:eastAsia="Arial" w:hAnsi="Arial"/>
                <w:sz w:val="13"/>
                <w:szCs w:val="13"/>
                <w:b w:val="1"/>
                <w:bCs w:val="1"/>
                <w:color w:val="FFFFFF"/>
              </w:rPr>
              <w:t>Other</w:t>
            </w:r>
            <w:r>
              <w:rPr>
                <w:rFonts w:ascii="Arial" w:cs="Arial" w:eastAsia="Arial" w:hAnsi="Arial"/>
                <w:sz w:val="19"/>
                <w:szCs w:val="19"/>
                <w:b w:val="1"/>
                <w:bCs w:val="1"/>
                <w:color w:val="FFFFFF"/>
                <w:vertAlign w:val="superscript"/>
              </w:rPr>
              <w:t>(c)</w:t>
            </w:r>
          </w:p>
        </w:tc>
        <w:tc>
          <w:tcPr>
            <w:tcW w:w="360" w:type="dxa"/>
            <w:vAlign w:val="bottom"/>
            <w:shd w:val="clear" w:color="auto" w:fill="666666"/>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Sean Menke</w:t>
            </w:r>
          </w:p>
        </w:tc>
        <w:tc>
          <w:tcPr>
            <w:tcW w:w="540" w:type="dxa"/>
            <w:vAlign w:val="bottom"/>
            <w:shd w:val="clear" w:color="auto" w:fill="E5E5E5"/>
          </w:tcPr>
          <w:p>
            <w:pPr>
              <w:jc w:val="right"/>
              <w:ind w:right="54"/>
              <w:spacing w:after="0" w:line="149" w:lineRule="exact"/>
              <w:rPr>
                <w:sz w:val="20"/>
                <w:szCs w:val="20"/>
                <w:color w:val="auto"/>
              </w:rPr>
            </w:pPr>
            <w:r>
              <w:rPr>
                <w:rFonts w:ascii="Arial" w:cs="Arial" w:eastAsia="Arial" w:hAnsi="Arial"/>
                <w:sz w:val="13"/>
                <w:szCs w:val="13"/>
                <w:color w:val="auto"/>
              </w:rPr>
              <w:t>2022</w:t>
            </w:r>
          </w:p>
        </w:tc>
        <w:tc>
          <w:tcPr>
            <w:tcW w:w="320" w:type="dxa"/>
            <w:vAlign w:val="bottom"/>
            <w:shd w:val="clear" w:color="auto" w:fill="E5E5E5"/>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line="149" w:lineRule="exact"/>
              <w:rPr>
                <w:sz w:val="20"/>
                <w:szCs w:val="20"/>
                <w:color w:val="auto"/>
              </w:rPr>
            </w:pPr>
            <w:r>
              <w:rPr>
                <w:rFonts w:ascii="Arial" w:cs="Arial" w:eastAsia="Arial" w:hAnsi="Arial"/>
                <w:sz w:val="13"/>
                <w:szCs w:val="13"/>
                <w:color w:val="auto"/>
                <w:w w:val="98"/>
              </w:rPr>
              <w:t>1,008</w:t>
            </w:r>
          </w:p>
        </w:tc>
        <w:tc>
          <w:tcPr>
            <w:tcW w:w="12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rPr>
              <w:t>$3,466</w:t>
            </w:r>
          </w:p>
        </w:tc>
        <w:tc>
          <w:tcPr>
            <w:tcW w:w="3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jc w:val="right"/>
              <w:ind w:right="114"/>
              <w:spacing w:after="0" w:line="149" w:lineRule="exact"/>
              <w:rPr>
                <w:sz w:val="20"/>
                <w:szCs w:val="20"/>
                <w:color w:val="auto"/>
              </w:rPr>
            </w:pPr>
            <w:r>
              <w:rPr>
                <w:rFonts w:ascii="Arial" w:cs="Arial" w:eastAsia="Arial" w:hAnsi="Arial"/>
                <w:sz w:val="13"/>
                <w:szCs w:val="13"/>
                <w:color w:val="auto"/>
              </w:rPr>
              <w:t>11,275</w:t>
            </w:r>
          </w:p>
        </w:tc>
        <w:tc>
          <w:tcPr>
            <w:tcW w:w="102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line="149" w:lineRule="exact"/>
              <w:rPr>
                <w:sz w:val="20"/>
                <w:szCs w:val="20"/>
                <w:color w:val="auto"/>
              </w:rPr>
            </w:pPr>
            <w:r>
              <w:rPr>
                <w:rFonts w:ascii="Arial" w:cs="Arial" w:eastAsia="Arial" w:hAnsi="Arial"/>
                <w:sz w:val="13"/>
                <w:szCs w:val="13"/>
                <w:color w:val="auto"/>
                <w:w w:val="95"/>
              </w:rPr>
              <w:t>18,300</w:t>
            </w:r>
          </w:p>
        </w:tc>
        <w:tc>
          <w:tcPr>
            <w:tcW w:w="4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rPr>
              <w:t>30</w:t>
            </w:r>
          </w:p>
        </w:tc>
        <w:tc>
          <w:tcPr>
            <w:tcW w:w="1340" w:type="dxa"/>
            <w:vAlign w:val="bottom"/>
            <w:shd w:val="clear" w:color="auto" w:fill="E5E5E5"/>
          </w:tcPr>
          <w:p>
            <w:pPr>
              <w:jc w:val="right"/>
              <w:ind w:right="274"/>
              <w:spacing w:after="0" w:line="149" w:lineRule="exact"/>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line="149" w:lineRule="exact"/>
              <w:rPr>
                <w:sz w:val="20"/>
                <w:szCs w:val="20"/>
                <w:color w:val="auto"/>
              </w:rPr>
            </w:pPr>
            <w:r>
              <w:rPr>
                <w:rFonts w:ascii="Arial" w:cs="Arial" w:eastAsia="Arial" w:hAnsi="Arial"/>
                <w:sz w:val="13"/>
                <w:szCs w:val="13"/>
                <w:color w:val="auto"/>
              </w:rPr>
              <w:t>19</w:t>
            </w:r>
          </w:p>
        </w:tc>
        <w:tc>
          <w:tcPr>
            <w:tcW w:w="360" w:type="dxa"/>
            <w:vAlign w:val="bottom"/>
            <w:shd w:val="clear" w:color="auto" w:fill="E5E5E5"/>
          </w:tcPr>
          <w:p>
            <w:pPr>
              <w:ind w:lef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060" w:type="dxa"/>
            <w:vAlign w:val="bottom"/>
            <w:shd w:val="clear" w:color="auto" w:fill="E5E5E5"/>
          </w:tcPr>
          <w:p>
            <w:pPr>
              <w:spacing w:after="0"/>
              <w:rPr>
                <w:sz w:val="13"/>
                <w:szCs w:val="13"/>
                <w:color w:val="auto"/>
              </w:rPr>
            </w:pPr>
          </w:p>
        </w:tc>
        <w:tc>
          <w:tcPr>
            <w:tcW w:w="54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2021</w:t>
            </w:r>
          </w:p>
        </w:tc>
        <w:tc>
          <w:tcPr>
            <w:tcW w:w="320" w:type="dxa"/>
            <w:vAlign w:val="bottom"/>
            <w:shd w:val="clear" w:color="auto" w:fill="E5E5E5"/>
          </w:tcPr>
          <w:p>
            <w:pPr>
              <w:ind w:left="24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rPr>
                <w:sz w:val="20"/>
                <w:szCs w:val="20"/>
                <w:color w:val="auto"/>
              </w:rPr>
            </w:pPr>
            <w:r>
              <w:rPr>
                <w:rFonts w:ascii="Arial" w:cs="Arial" w:eastAsia="Arial" w:hAnsi="Arial"/>
                <w:sz w:val="13"/>
                <w:szCs w:val="13"/>
                <w:color w:val="auto"/>
              </w:rPr>
              <w:t>983</w:t>
            </w: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5,020</w:t>
            </w:r>
          </w:p>
        </w:tc>
        <w:tc>
          <w:tcPr>
            <w:tcW w:w="102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rPr>
                <w:sz w:val="20"/>
                <w:szCs w:val="20"/>
                <w:color w:val="auto"/>
              </w:rPr>
            </w:pPr>
            <w:r>
              <w:rPr>
                <w:rFonts w:ascii="Arial" w:cs="Arial" w:eastAsia="Arial" w:hAnsi="Arial"/>
                <w:sz w:val="13"/>
                <w:szCs w:val="13"/>
                <w:color w:val="auto"/>
                <w:w w:val="95"/>
              </w:rPr>
              <w:t>17,100</w:t>
            </w:r>
          </w:p>
        </w:tc>
        <w:tc>
          <w:tcPr>
            <w:tcW w:w="4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201</w:t>
            </w:r>
          </w:p>
        </w:tc>
        <w:tc>
          <w:tcPr>
            <w:tcW w:w="1340" w:type="dxa"/>
            <w:vAlign w:val="bottom"/>
            <w:shd w:val="clear" w:color="auto" w:fill="E5E5E5"/>
          </w:tcPr>
          <w:p>
            <w:pPr>
              <w:jc w:val="right"/>
              <w:ind w:right="2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rPr>
                <w:sz w:val="20"/>
                <w:szCs w:val="20"/>
                <w:color w:val="auto"/>
              </w:rPr>
            </w:pPr>
            <w:r>
              <w:rPr>
                <w:rFonts w:ascii="Arial" w:cs="Arial" w:eastAsia="Arial" w:hAnsi="Arial"/>
                <w:sz w:val="13"/>
                <w:szCs w:val="13"/>
                <w:color w:val="auto"/>
              </w:rPr>
              <w:t>310</w:t>
            </w:r>
          </w:p>
        </w:tc>
        <w:tc>
          <w:tcPr>
            <w:tcW w:w="3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060" w:type="dxa"/>
            <w:vAlign w:val="bottom"/>
            <w:shd w:val="clear" w:color="auto" w:fill="E5E5E5"/>
          </w:tcPr>
          <w:p>
            <w:pPr>
              <w:spacing w:after="0"/>
              <w:rPr>
                <w:sz w:val="13"/>
                <w:szCs w:val="13"/>
                <w:color w:val="auto"/>
              </w:rPr>
            </w:pPr>
          </w:p>
        </w:tc>
        <w:tc>
          <w:tcPr>
            <w:tcW w:w="54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2020</w:t>
            </w:r>
          </w:p>
        </w:tc>
        <w:tc>
          <w:tcPr>
            <w:tcW w:w="320" w:type="dxa"/>
            <w:vAlign w:val="bottom"/>
            <w:shd w:val="clear" w:color="auto" w:fill="E5E5E5"/>
          </w:tcPr>
          <w:p>
            <w:pPr>
              <w:ind w:left="24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rPr>
                <w:sz w:val="20"/>
                <w:szCs w:val="20"/>
                <w:color w:val="auto"/>
              </w:rPr>
            </w:pPr>
            <w:r>
              <w:rPr>
                <w:rFonts w:ascii="Arial" w:cs="Arial" w:eastAsia="Arial" w:hAnsi="Arial"/>
                <w:sz w:val="13"/>
                <w:szCs w:val="13"/>
                <w:color w:val="auto"/>
              </w:rPr>
              <w:t>983</w:t>
            </w: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$2,875</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10,000</w:t>
            </w:r>
          </w:p>
        </w:tc>
        <w:tc>
          <w:tcPr>
            <w:tcW w:w="102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rPr>
                <w:sz w:val="20"/>
                <w:szCs w:val="20"/>
                <w:color w:val="auto"/>
              </w:rPr>
            </w:pPr>
            <w:r>
              <w:rPr>
                <w:rFonts w:ascii="Arial" w:cs="Arial" w:eastAsia="Arial" w:hAnsi="Arial"/>
                <w:sz w:val="13"/>
                <w:szCs w:val="13"/>
                <w:color w:val="auto"/>
                <w:w w:val="95"/>
              </w:rPr>
              <w:t>13,500</w:t>
            </w:r>
          </w:p>
        </w:tc>
        <w:tc>
          <w:tcPr>
            <w:tcW w:w="4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65</w:t>
            </w:r>
          </w:p>
        </w:tc>
        <w:tc>
          <w:tcPr>
            <w:tcW w:w="1340" w:type="dxa"/>
            <w:vAlign w:val="bottom"/>
            <w:shd w:val="clear" w:color="auto" w:fill="E5E5E5"/>
          </w:tcPr>
          <w:p>
            <w:pPr>
              <w:jc w:val="right"/>
              <w:ind w:right="2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rPr>
                <w:sz w:val="20"/>
                <w:szCs w:val="20"/>
                <w:color w:val="auto"/>
              </w:rPr>
            </w:pPr>
            <w:r>
              <w:rPr>
                <w:rFonts w:ascii="Arial" w:cs="Arial" w:eastAsia="Arial" w:hAnsi="Arial"/>
                <w:sz w:val="13"/>
                <w:szCs w:val="13"/>
                <w:color w:val="auto"/>
              </w:rPr>
              <w:t>100</w:t>
            </w:r>
          </w:p>
        </w:tc>
        <w:tc>
          <w:tcPr>
            <w:tcW w:w="3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60" w:type="dxa"/>
            <w:vAlign w:val="bottom"/>
          </w:tcPr>
          <w:p>
            <w:pPr>
              <w:ind w:left="40"/>
              <w:spacing w:after="0" w:line="149" w:lineRule="exact"/>
              <w:rPr>
                <w:sz w:val="20"/>
                <w:szCs w:val="20"/>
                <w:color w:val="auto"/>
              </w:rPr>
            </w:pPr>
            <w:r>
              <w:rPr>
                <w:rFonts w:ascii="Arial" w:cs="Arial" w:eastAsia="Arial" w:hAnsi="Arial"/>
                <w:sz w:val="13"/>
                <w:szCs w:val="13"/>
                <w:color w:val="auto"/>
              </w:rPr>
              <w:t>Michael Randolfi</w:t>
            </w:r>
          </w:p>
        </w:tc>
        <w:tc>
          <w:tcPr>
            <w:tcW w:w="540" w:type="dxa"/>
            <w:vAlign w:val="bottom"/>
          </w:tcPr>
          <w:p>
            <w:pPr>
              <w:jc w:val="right"/>
              <w:ind w:right="54"/>
              <w:spacing w:after="0" w:line="149" w:lineRule="exact"/>
              <w:rPr>
                <w:sz w:val="20"/>
                <w:szCs w:val="20"/>
                <w:color w:val="auto"/>
              </w:rPr>
            </w:pPr>
            <w:r>
              <w:rPr>
                <w:rFonts w:ascii="Arial" w:cs="Arial" w:eastAsia="Arial" w:hAnsi="Arial"/>
                <w:sz w:val="13"/>
                <w:szCs w:val="13"/>
                <w:color w:val="auto"/>
              </w:rPr>
              <w:t>2022</w:t>
            </w:r>
          </w:p>
        </w:tc>
        <w:tc>
          <w:tcPr>
            <w:tcW w:w="320" w:type="dxa"/>
            <w:vAlign w:val="bottom"/>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ind w:right="234"/>
              <w:spacing w:after="0" w:line="149" w:lineRule="exact"/>
              <w:rPr>
                <w:sz w:val="20"/>
                <w:szCs w:val="20"/>
                <w:color w:val="auto"/>
              </w:rPr>
            </w:pPr>
            <w:r>
              <w:rPr>
                <w:rFonts w:ascii="Arial" w:cs="Arial" w:eastAsia="Arial" w:hAnsi="Arial"/>
                <w:sz w:val="13"/>
                <w:szCs w:val="13"/>
                <w:color w:val="auto"/>
              </w:rPr>
              <w:t>225</w:t>
            </w:r>
          </w:p>
        </w:tc>
        <w:tc>
          <w:tcPr>
            <w:tcW w:w="1200" w:type="dxa"/>
            <w:vAlign w:val="bottom"/>
          </w:tcPr>
          <w:p>
            <w:pPr>
              <w:jc w:val="right"/>
              <w:ind w:right="334"/>
              <w:spacing w:after="0" w:line="149"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10,108</w:t>
            </w:r>
          </w:p>
        </w:tc>
        <w:tc>
          <w:tcPr>
            <w:tcW w:w="10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$54,367</w:t>
            </w:r>
          </w:p>
        </w:tc>
        <w:tc>
          <w:tcPr>
            <w:tcW w:w="380" w:type="dxa"/>
            <w:vAlign w:val="bottom"/>
          </w:tcPr>
          <w:p>
            <w:pPr>
              <w:ind w:left="300"/>
              <w:spacing w:after="0" w:line="149"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314"/>
              <w:spacing w:after="0" w:line="149" w:lineRule="exact"/>
              <w:rPr>
                <w:sz w:val="20"/>
                <w:szCs w:val="20"/>
                <w:color w:val="auto"/>
              </w:rPr>
            </w:pPr>
            <w:r>
              <w:rPr>
                <w:rFonts w:ascii="Arial" w:cs="Arial" w:eastAsia="Arial" w:hAnsi="Arial"/>
                <w:sz w:val="13"/>
                <w:szCs w:val="13"/>
                <w:color w:val="auto"/>
              </w:rPr>
              <w:t>6,500</w:t>
            </w:r>
          </w:p>
        </w:tc>
        <w:tc>
          <w:tcPr>
            <w:tcW w:w="4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34"/>
              <w:spacing w:after="0" w:line="149" w:lineRule="exact"/>
              <w:rPr>
                <w:sz w:val="20"/>
                <w:szCs w:val="20"/>
                <w:color w:val="auto"/>
              </w:rPr>
            </w:pPr>
            <w:r>
              <w:rPr>
                <w:rFonts w:ascii="Arial" w:cs="Arial" w:eastAsia="Arial" w:hAnsi="Arial"/>
                <w:sz w:val="13"/>
                <w:szCs w:val="13"/>
                <w:color w:val="auto"/>
                <w:w w:val="95"/>
              </w:rPr>
              <w:t>14,612</w:t>
            </w:r>
          </w:p>
        </w:tc>
        <w:tc>
          <w:tcPr>
            <w:tcW w:w="1340" w:type="dxa"/>
            <w:vAlign w:val="bottom"/>
          </w:tcPr>
          <w:p>
            <w:pPr>
              <w:jc w:val="right"/>
              <w:ind w:right="274"/>
              <w:spacing w:after="0" w:line="149"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560" w:type="dxa"/>
            <w:vAlign w:val="bottom"/>
          </w:tcPr>
          <w:p>
            <w:pPr>
              <w:jc w:val="right"/>
              <w:ind w:right="94"/>
              <w:spacing w:after="0" w:line="149" w:lineRule="exact"/>
              <w:rPr>
                <w:sz w:val="20"/>
                <w:szCs w:val="20"/>
                <w:color w:val="auto"/>
              </w:rPr>
            </w:pPr>
            <w:r>
              <w:rPr>
                <w:rFonts w:ascii="Arial" w:cs="Arial" w:eastAsia="Arial" w:hAnsi="Arial"/>
                <w:sz w:val="13"/>
                <w:szCs w:val="13"/>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6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Kurt Ekert</w:t>
            </w:r>
          </w:p>
        </w:tc>
        <w:tc>
          <w:tcPr>
            <w:tcW w:w="540" w:type="dxa"/>
            <w:vAlign w:val="bottom"/>
            <w:shd w:val="clear" w:color="auto" w:fill="E5E5E5"/>
          </w:tcPr>
          <w:p>
            <w:pPr>
              <w:jc w:val="right"/>
              <w:ind w:right="54"/>
              <w:spacing w:after="0" w:line="149" w:lineRule="exact"/>
              <w:rPr>
                <w:sz w:val="20"/>
                <w:szCs w:val="20"/>
                <w:color w:val="auto"/>
              </w:rPr>
            </w:pPr>
            <w:r>
              <w:rPr>
                <w:rFonts w:ascii="Arial" w:cs="Arial" w:eastAsia="Arial" w:hAnsi="Arial"/>
                <w:sz w:val="13"/>
                <w:szCs w:val="13"/>
                <w:color w:val="auto"/>
              </w:rPr>
              <w:t>2022</w:t>
            </w:r>
          </w:p>
        </w:tc>
        <w:tc>
          <w:tcPr>
            <w:tcW w:w="320" w:type="dxa"/>
            <w:vAlign w:val="bottom"/>
            <w:shd w:val="clear" w:color="auto" w:fill="E5E5E5"/>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line="149" w:lineRule="exact"/>
              <w:rPr>
                <w:sz w:val="20"/>
                <w:szCs w:val="20"/>
                <w:color w:val="auto"/>
              </w:rPr>
            </w:pPr>
            <w:r>
              <w:rPr>
                <w:rFonts w:ascii="Arial" w:cs="Arial" w:eastAsia="Arial" w:hAnsi="Arial"/>
                <w:sz w:val="13"/>
                <w:szCs w:val="13"/>
                <w:color w:val="auto"/>
              </w:rPr>
              <w:t>757</w:t>
            </w:r>
          </w:p>
        </w:tc>
        <w:tc>
          <w:tcPr>
            <w:tcW w:w="12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rPr>
              <w:t>$3,873</w:t>
            </w:r>
          </w:p>
        </w:tc>
        <w:tc>
          <w:tcPr>
            <w:tcW w:w="3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jc w:val="right"/>
              <w:ind w:right="114"/>
              <w:spacing w:after="0" w:line="149" w:lineRule="exact"/>
              <w:rPr>
                <w:sz w:val="20"/>
                <w:szCs w:val="20"/>
                <w:color w:val="auto"/>
              </w:rPr>
            </w:pPr>
            <w:r>
              <w:rPr>
                <w:rFonts w:ascii="Arial" w:cs="Arial" w:eastAsia="Arial" w:hAnsi="Arial"/>
                <w:sz w:val="13"/>
                <w:szCs w:val="13"/>
                <w:color w:val="auto"/>
              </w:rPr>
              <w:t>6,900</w:t>
            </w:r>
          </w:p>
        </w:tc>
        <w:tc>
          <w:tcPr>
            <w:tcW w:w="102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$70,950</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line="149" w:lineRule="exact"/>
              <w:rPr>
                <w:sz w:val="20"/>
                <w:szCs w:val="20"/>
                <w:color w:val="auto"/>
              </w:rPr>
            </w:pPr>
            <w:r>
              <w:rPr>
                <w:rFonts w:ascii="Arial" w:cs="Arial" w:eastAsia="Arial" w:hAnsi="Arial"/>
                <w:sz w:val="13"/>
                <w:szCs w:val="13"/>
                <w:color w:val="auto"/>
              </w:rPr>
              <w:t>8,717</w:t>
            </w:r>
          </w:p>
        </w:tc>
        <w:tc>
          <w:tcPr>
            <w:tcW w:w="4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w w:val="95"/>
              </w:rPr>
              <w:t>33,598</w:t>
            </w:r>
          </w:p>
        </w:tc>
        <w:tc>
          <w:tcPr>
            <w:tcW w:w="1340" w:type="dxa"/>
            <w:vAlign w:val="bottom"/>
            <w:shd w:val="clear" w:color="auto" w:fill="E5E5E5"/>
          </w:tcPr>
          <w:p>
            <w:pPr>
              <w:jc w:val="right"/>
              <w:ind w:right="274"/>
              <w:spacing w:after="0" w:line="149" w:lineRule="exact"/>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line="149" w:lineRule="exact"/>
              <w:rPr>
                <w:sz w:val="20"/>
                <w:szCs w:val="20"/>
                <w:color w:val="auto"/>
              </w:rPr>
            </w:pPr>
            <w:r>
              <w:rPr>
                <w:rFonts w:ascii="Arial" w:cs="Arial" w:eastAsia="Arial" w:hAnsi="Arial"/>
                <w:sz w:val="13"/>
                <w:szCs w:val="13"/>
                <w:color w:val="auto"/>
                <w:w w:val="95"/>
              </w:rPr>
              <w:t>31,687</w:t>
            </w:r>
          </w:p>
        </w:tc>
        <w:tc>
          <w:tcPr>
            <w:tcW w:w="360" w:type="dxa"/>
            <w:vAlign w:val="bottom"/>
            <w:shd w:val="clear" w:color="auto" w:fill="E5E5E5"/>
          </w:tcPr>
          <w:p>
            <w:pPr>
              <w:ind w:lef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60" w:type="dxa"/>
            <w:vAlign w:val="bottom"/>
          </w:tcPr>
          <w:p>
            <w:pPr>
              <w:ind w:left="40"/>
              <w:spacing w:after="0" w:line="149" w:lineRule="exact"/>
              <w:rPr>
                <w:sz w:val="20"/>
                <w:szCs w:val="20"/>
                <w:color w:val="auto"/>
              </w:rPr>
            </w:pPr>
            <w:r>
              <w:rPr>
                <w:rFonts w:ascii="Arial" w:cs="Arial" w:eastAsia="Arial" w:hAnsi="Arial"/>
                <w:sz w:val="13"/>
                <w:szCs w:val="13"/>
                <w:color w:val="auto"/>
              </w:rPr>
              <w:t>David Moore</w:t>
            </w:r>
          </w:p>
        </w:tc>
        <w:tc>
          <w:tcPr>
            <w:tcW w:w="540" w:type="dxa"/>
            <w:vAlign w:val="bottom"/>
          </w:tcPr>
          <w:p>
            <w:pPr>
              <w:jc w:val="right"/>
              <w:ind w:right="54"/>
              <w:spacing w:after="0" w:line="149" w:lineRule="exact"/>
              <w:rPr>
                <w:sz w:val="20"/>
                <w:szCs w:val="20"/>
                <w:color w:val="auto"/>
              </w:rPr>
            </w:pPr>
            <w:r>
              <w:rPr>
                <w:rFonts w:ascii="Arial" w:cs="Arial" w:eastAsia="Arial" w:hAnsi="Arial"/>
                <w:sz w:val="13"/>
                <w:szCs w:val="13"/>
                <w:color w:val="auto"/>
              </w:rPr>
              <w:t>2022</w:t>
            </w:r>
          </w:p>
        </w:tc>
        <w:tc>
          <w:tcPr>
            <w:tcW w:w="320" w:type="dxa"/>
            <w:vAlign w:val="bottom"/>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ind w:right="234"/>
              <w:spacing w:after="0" w:line="149" w:lineRule="exact"/>
              <w:rPr>
                <w:sz w:val="20"/>
                <w:szCs w:val="20"/>
                <w:color w:val="auto"/>
              </w:rPr>
            </w:pPr>
            <w:r>
              <w:rPr>
                <w:rFonts w:ascii="Arial" w:cs="Arial" w:eastAsia="Arial" w:hAnsi="Arial"/>
                <w:sz w:val="13"/>
                <w:szCs w:val="13"/>
                <w:color w:val="auto"/>
              </w:rPr>
              <w:t>548</w:t>
            </w:r>
          </w:p>
        </w:tc>
        <w:tc>
          <w:tcPr>
            <w:tcW w:w="1200" w:type="dxa"/>
            <w:vAlign w:val="bottom"/>
          </w:tcPr>
          <w:p>
            <w:pPr>
              <w:jc w:val="right"/>
              <w:ind w:right="334"/>
              <w:spacing w:after="0" w:line="149" w:lineRule="exact"/>
              <w:rPr>
                <w:sz w:val="20"/>
                <w:szCs w:val="20"/>
                <w:color w:val="auto"/>
              </w:rPr>
            </w:pPr>
            <w:r>
              <w:rPr>
                <w:rFonts w:ascii="Arial" w:cs="Arial" w:eastAsia="Arial" w:hAnsi="Arial"/>
                <w:sz w:val="13"/>
                <w:szCs w:val="13"/>
                <w:color w:val="auto"/>
              </w:rPr>
              <w:t>$4,480</w:t>
            </w:r>
          </w:p>
        </w:tc>
        <w:tc>
          <w:tcPr>
            <w:tcW w:w="34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w:t>
            </w:r>
          </w:p>
        </w:tc>
        <w:tc>
          <w:tcPr>
            <w:tcW w:w="380" w:type="dxa"/>
            <w:vAlign w:val="bottom"/>
          </w:tcPr>
          <w:p>
            <w:pPr>
              <w:ind w:left="300"/>
              <w:spacing w:after="0" w:line="149"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314"/>
              <w:spacing w:after="0" w:line="149" w:lineRule="exact"/>
              <w:rPr>
                <w:sz w:val="20"/>
                <w:szCs w:val="20"/>
                <w:color w:val="auto"/>
              </w:rPr>
            </w:pPr>
            <w:r>
              <w:rPr>
                <w:rFonts w:ascii="Arial" w:cs="Arial" w:eastAsia="Arial" w:hAnsi="Arial"/>
                <w:sz w:val="13"/>
                <w:szCs w:val="13"/>
                <w:color w:val="auto"/>
                <w:w w:val="95"/>
              </w:rPr>
              <w:t>18,300</w:t>
            </w:r>
          </w:p>
        </w:tc>
        <w:tc>
          <w:tcPr>
            <w:tcW w:w="4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34"/>
              <w:spacing w:after="0" w:line="149" w:lineRule="exact"/>
              <w:rPr>
                <w:sz w:val="20"/>
                <w:szCs w:val="20"/>
                <w:color w:val="auto"/>
              </w:rPr>
            </w:pPr>
            <w:r>
              <w:rPr>
                <w:rFonts w:ascii="Arial" w:cs="Arial" w:eastAsia="Arial" w:hAnsi="Arial"/>
                <w:sz w:val="13"/>
                <w:szCs w:val="13"/>
                <w:color w:val="auto"/>
              </w:rPr>
              <w:t>30</w:t>
            </w:r>
          </w:p>
        </w:tc>
        <w:tc>
          <w:tcPr>
            <w:tcW w:w="1340" w:type="dxa"/>
            <w:vAlign w:val="bottom"/>
          </w:tcPr>
          <w:p>
            <w:pPr>
              <w:jc w:val="right"/>
              <w:ind w:right="274"/>
              <w:spacing w:after="0" w:line="149" w:lineRule="exact"/>
              <w:rPr>
                <w:sz w:val="20"/>
                <w:szCs w:val="20"/>
                <w:color w:val="auto"/>
              </w:rPr>
            </w:pPr>
            <w:r>
              <w:rPr>
                <w:rFonts w:ascii="Arial" w:cs="Arial" w:eastAsia="Arial" w:hAnsi="Arial"/>
                <w:sz w:val="13"/>
                <w:szCs w:val="13"/>
                <w:color w:val="auto"/>
              </w:rPr>
              <w:t>—</w:t>
            </w:r>
          </w:p>
        </w:tc>
        <w:tc>
          <w:tcPr>
            <w:tcW w:w="380" w:type="dxa"/>
            <w:vAlign w:val="bottom"/>
          </w:tcPr>
          <w:p>
            <w:pPr>
              <w:ind w:left="300"/>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94"/>
              <w:spacing w:after="0" w:line="149" w:lineRule="exact"/>
              <w:rPr>
                <w:sz w:val="20"/>
                <w:szCs w:val="20"/>
                <w:color w:val="auto"/>
              </w:rPr>
            </w:pPr>
            <w:r>
              <w:rPr>
                <w:rFonts w:ascii="Arial" w:cs="Arial" w:eastAsia="Arial" w:hAnsi="Arial"/>
                <w:sz w:val="13"/>
                <w:szCs w:val="13"/>
                <w:color w:val="auto"/>
              </w:rPr>
              <w:t>19</w:t>
            </w:r>
          </w:p>
        </w:tc>
        <w:tc>
          <w:tcPr>
            <w:tcW w:w="360" w:type="dxa"/>
            <w:vAlign w:val="bottom"/>
          </w:tcPr>
          <w:p>
            <w:pPr>
              <w:ind w:lef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6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Scott Wilson</w:t>
            </w:r>
          </w:p>
        </w:tc>
        <w:tc>
          <w:tcPr>
            <w:tcW w:w="540" w:type="dxa"/>
            <w:vAlign w:val="bottom"/>
            <w:shd w:val="clear" w:color="auto" w:fill="E5E5E5"/>
          </w:tcPr>
          <w:p>
            <w:pPr>
              <w:jc w:val="right"/>
              <w:ind w:right="54"/>
              <w:spacing w:after="0" w:line="149" w:lineRule="exact"/>
              <w:rPr>
                <w:sz w:val="20"/>
                <w:szCs w:val="20"/>
                <w:color w:val="auto"/>
              </w:rPr>
            </w:pPr>
            <w:r>
              <w:rPr>
                <w:rFonts w:ascii="Arial" w:cs="Arial" w:eastAsia="Arial" w:hAnsi="Arial"/>
                <w:sz w:val="13"/>
                <w:szCs w:val="13"/>
                <w:color w:val="auto"/>
              </w:rPr>
              <w:t>2022</w:t>
            </w:r>
          </w:p>
        </w:tc>
        <w:tc>
          <w:tcPr>
            <w:tcW w:w="320" w:type="dxa"/>
            <w:vAlign w:val="bottom"/>
            <w:shd w:val="clear" w:color="auto" w:fill="E5E5E5"/>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line="149" w:lineRule="exact"/>
              <w:rPr>
                <w:sz w:val="20"/>
                <w:szCs w:val="20"/>
                <w:color w:val="auto"/>
              </w:rPr>
            </w:pPr>
            <w:r>
              <w:rPr>
                <w:rFonts w:ascii="Arial" w:cs="Arial" w:eastAsia="Arial" w:hAnsi="Arial"/>
                <w:sz w:val="13"/>
                <w:szCs w:val="13"/>
                <w:color w:val="auto"/>
              </w:rPr>
              <w:t>569</w:t>
            </w:r>
          </w:p>
        </w:tc>
        <w:tc>
          <w:tcPr>
            <w:tcW w:w="12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rPr>
              <w:t>—</w:t>
            </w:r>
          </w:p>
        </w:tc>
        <w:tc>
          <w:tcPr>
            <w:tcW w:w="3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00" w:type="dxa"/>
            <w:vAlign w:val="bottom"/>
            <w:shd w:val="clear" w:color="auto" w:fill="E5E5E5"/>
          </w:tcPr>
          <w:p>
            <w:pPr>
              <w:jc w:val="right"/>
              <w:ind w:right="114"/>
              <w:spacing w:after="0" w:line="149" w:lineRule="exact"/>
              <w:rPr>
                <w:sz w:val="20"/>
                <w:szCs w:val="20"/>
                <w:color w:val="auto"/>
              </w:rPr>
            </w:pPr>
            <w:r>
              <w:rPr>
                <w:rFonts w:ascii="Arial" w:cs="Arial" w:eastAsia="Arial" w:hAnsi="Arial"/>
                <w:sz w:val="13"/>
                <w:szCs w:val="13"/>
                <w:color w:val="auto"/>
              </w:rPr>
              <w:t>11,975</w:t>
            </w:r>
          </w:p>
        </w:tc>
        <w:tc>
          <w:tcPr>
            <w:tcW w:w="102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$56,225</w:t>
            </w:r>
          </w:p>
        </w:tc>
        <w:tc>
          <w:tcPr>
            <w:tcW w:w="38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314"/>
              <w:spacing w:after="0" w:line="149" w:lineRule="exact"/>
              <w:rPr>
                <w:sz w:val="20"/>
                <w:szCs w:val="20"/>
                <w:color w:val="auto"/>
              </w:rPr>
            </w:pPr>
            <w:r>
              <w:rPr>
                <w:rFonts w:ascii="Arial" w:cs="Arial" w:eastAsia="Arial" w:hAnsi="Arial"/>
                <w:sz w:val="13"/>
                <w:szCs w:val="13"/>
                <w:color w:val="auto"/>
              </w:rPr>
              <w:t>—</w:t>
            </w:r>
          </w:p>
        </w:tc>
        <w:tc>
          <w:tcPr>
            <w:tcW w:w="4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w w:val="95"/>
              </w:rPr>
              <w:t>21,818</w:t>
            </w:r>
          </w:p>
        </w:tc>
        <w:tc>
          <w:tcPr>
            <w:tcW w:w="1340" w:type="dxa"/>
            <w:vAlign w:val="bottom"/>
            <w:shd w:val="clear" w:color="auto" w:fill="E5E5E5"/>
          </w:tcPr>
          <w:p>
            <w:pPr>
              <w:jc w:val="right"/>
              <w:ind w:right="274"/>
              <w:spacing w:after="0" w:line="149" w:lineRule="exact"/>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line="149" w:lineRule="exact"/>
              <w:rPr>
                <w:sz w:val="20"/>
                <w:szCs w:val="20"/>
                <w:color w:val="auto"/>
              </w:rPr>
            </w:pPr>
            <w:r>
              <w:rPr>
                <w:rFonts w:ascii="Arial" w:cs="Arial" w:eastAsia="Arial" w:hAnsi="Arial"/>
                <w:sz w:val="13"/>
                <w:szCs w:val="13"/>
                <w:color w:val="auto"/>
              </w:rPr>
              <w:t>12</w:t>
            </w:r>
          </w:p>
        </w:tc>
        <w:tc>
          <w:tcPr>
            <w:tcW w:w="360" w:type="dxa"/>
            <w:vAlign w:val="bottom"/>
            <w:shd w:val="clear" w:color="auto" w:fill="E5E5E5"/>
          </w:tcPr>
          <w:p>
            <w:pPr>
              <w:ind w:lef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060" w:type="dxa"/>
            <w:vAlign w:val="bottom"/>
          </w:tcPr>
          <w:p>
            <w:pPr>
              <w:ind w:left="40"/>
              <w:spacing w:after="0" w:line="141" w:lineRule="exact"/>
              <w:rPr>
                <w:sz w:val="20"/>
                <w:szCs w:val="20"/>
                <w:color w:val="auto"/>
              </w:rPr>
            </w:pPr>
            <w:r>
              <w:rPr>
                <w:rFonts w:ascii="Arial" w:cs="Arial" w:eastAsia="Arial" w:hAnsi="Arial"/>
                <w:sz w:val="13"/>
                <w:szCs w:val="13"/>
                <w:color w:val="auto"/>
              </w:rPr>
              <w:t>Douglas Barnett</w:t>
            </w:r>
          </w:p>
        </w:tc>
        <w:tc>
          <w:tcPr>
            <w:tcW w:w="540" w:type="dxa"/>
            <w:vAlign w:val="bottom"/>
          </w:tcPr>
          <w:p>
            <w:pPr>
              <w:jc w:val="right"/>
              <w:ind w:right="54"/>
              <w:spacing w:after="0" w:line="141" w:lineRule="exact"/>
              <w:rPr>
                <w:sz w:val="20"/>
                <w:szCs w:val="20"/>
                <w:color w:val="auto"/>
              </w:rPr>
            </w:pPr>
            <w:r>
              <w:rPr>
                <w:rFonts w:ascii="Arial" w:cs="Arial" w:eastAsia="Arial" w:hAnsi="Arial"/>
                <w:sz w:val="13"/>
                <w:szCs w:val="13"/>
                <w:color w:val="auto"/>
              </w:rPr>
              <w:t>2022</w:t>
            </w:r>
          </w:p>
        </w:tc>
        <w:tc>
          <w:tcPr>
            <w:tcW w:w="320" w:type="dxa"/>
            <w:vAlign w:val="bottom"/>
          </w:tcPr>
          <w:p>
            <w:pPr>
              <w:ind w:left="240"/>
              <w:spacing w:after="0" w:line="141"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ind w:right="234"/>
              <w:spacing w:after="0" w:line="141" w:lineRule="exact"/>
              <w:rPr>
                <w:sz w:val="20"/>
                <w:szCs w:val="20"/>
                <w:color w:val="auto"/>
              </w:rPr>
            </w:pPr>
            <w:r>
              <w:rPr>
                <w:rFonts w:ascii="Arial" w:cs="Arial" w:eastAsia="Arial" w:hAnsi="Arial"/>
                <w:sz w:val="13"/>
                <w:szCs w:val="13"/>
                <w:color w:val="auto"/>
              </w:rPr>
              <w:t>617</w:t>
            </w:r>
          </w:p>
        </w:tc>
        <w:tc>
          <w:tcPr>
            <w:tcW w:w="1200" w:type="dxa"/>
            <w:vAlign w:val="bottom"/>
          </w:tcPr>
          <w:p>
            <w:pPr>
              <w:jc w:val="right"/>
              <w:ind w:right="334"/>
              <w:spacing w:after="0" w:line="14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14"/>
              <w:spacing w:after="0" w:line="141" w:lineRule="exact"/>
              <w:rPr>
                <w:sz w:val="20"/>
                <w:szCs w:val="20"/>
                <w:color w:val="auto"/>
              </w:rPr>
            </w:pPr>
            <w:r>
              <w:rPr>
                <w:rFonts w:ascii="Arial" w:cs="Arial" w:eastAsia="Arial" w:hAnsi="Arial"/>
                <w:sz w:val="13"/>
                <w:szCs w:val="13"/>
                <w:color w:val="auto"/>
              </w:rPr>
              <w:t>9,500</w:t>
            </w:r>
          </w:p>
        </w:tc>
        <w:tc>
          <w:tcPr>
            <w:tcW w:w="1020" w:type="dxa"/>
            <w:vAlign w:val="bottom"/>
          </w:tcPr>
          <w:p>
            <w:pPr>
              <w:jc w:val="right"/>
              <w:ind w:right="74"/>
              <w:spacing w:after="0" w:line="141" w:lineRule="exact"/>
              <w:rPr>
                <w:sz w:val="20"/>
                <w:szCs w:val="20"/>
                <w:color w:val="auto"/>
              </w:rPr>
            </w:pPr>
            <w:r>
              <w:rPr>
                <w:rFonts w:ascii="Arial" w:cs="Arial" w:eastAsia="Arial" w:hAnsi="Arial"/>
                <w:sz w:val="13"/>
                <w:szCs w:val="13"/>
                <w:color w:val="auto"/>
              </w:rPr>
              <w:t>—</w:t>
            </w:r>
          </w:p>
        </w:tc>
        <w:tc>
          <w:tcPr>
            <w:tcW w:w="380" w:type="dxa"/>
            <w:vAlign w:val="bottom"/>
          </w:tcPr>
          <w:p>
            <w:pPr>
              <w:ind w:left="300"/>
              <w:spacing w:after="0" w:line="141"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314"/>
              <w:spacing w:after="0" w:line="141" w:lineRule="exact"/>
              <w:rPr>
                <w:sz w:val="20"/>
                <w:szCs w:val="20"/>
                <w:color w:val="auto"/>
              </w:rPr>
            </w:pPr>
            <w:r>
              <w:rPr>
                <w:rFonts w:ascii="Arial" w:cs="Arial" w:eastAsia="Arial" w:hAnsi="Arial"/>
                <w:sz w:val="13"/>
                <w:szCs w:val="13"/>
                <w:color w:val="auto"/>
                <w:w w:val="95"/>
              </w:rPr>
              <w:t>18,300</w:t>
            </w: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34"/>
              <w:spacing w:after="0" w:line="141" w:lineRule="exact"/>
              <w:rPr>
                <w:sz w:val="20"/>
                <w:szCs w:val="20"/>
                <w:color w:val="auto"/>
              </w:rPr>
            </w:pPr>
            <w:r>
              <w:rPr>
                <w:rFonts w:ascii="Arial" w:cs="Arial" w:eastAsia="Arial" w:hAnsi="Arial"/>
                <w:sz w:val="13"/>
                <w:szCs w:val="13"/>
                <w:color w:val="auto"/>
              </w:rPr>
              <w:t>30</w:t>
            </w:r>
          </w:p>
        </w:tc>
        <w:tc>
          <w:tcPr>
            <w:tcW w:w="1340" w:type="dxa"/>
            <w:vAlign w:val="bottom"/>
          </w:tcPr>
          <w:p>
            <w:pPr>
              <w:jc w:val="right"/>
              <w:ind w:right="274"/>
              <w:spacing w:after="0" w:line="141" w:lineRule="exact"/>
              <w:rPr>
                <w:sz w:val="20"/>
                <w:szCs w:val="20"/>
                <w:color w:val="auto"/>
              </w:rPr>
            </w:pPr>
            <w:r>
              <w:rPr>
                <w:rFonts w:ascii="Arial" w:cs="Arial" w:eastAsia="Arial" w:hAnsi="Arial"/>
                <w:sz w:val="13"/>
                <w:szCs w:val="13"/>
                <w:color w:val="auto"/>
              </w:rPr>
              <w:t>$2,296,197</w:t>
            </w:r>
          </w:p>
        </w:tc>
        <w:tc>
          <w:tcPr>
            <w:tcW w:w="380" w:type="dxa"/>
            <w:vAlign w:val="bottom"/>
          </w:tcPr>
          <w:p>
            <w:pPr>
              <w:ind w:left="300"/>
              <w:spacing w:after="0" w:line="141"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94"/>
              <w:spacing w:after="0" w:line="141" w:lineRule="exact"/>
              <w:rPr>
                <w:sz w:val="20"/>
                <w:szCs w:val="20"/>
                <w:color w:val="auto"/>
              </w:rPr>
            </w:pPr>
            <w:r>
              <w:rPr>
                <w:rFonts w:ascii="Arial" w:cs="Arial" w:eastAsia="Arial" w:hAnsi="Arial"/>
                <w:sz w:val="13"/>
                <w:szCs w:val="13"/>
                <w:color w:val="auto"/>
              </w:rPr>
              <w:t>19</w:t>
            </w:r>
          </w:p>
        </w:tc>
        <w:tc>
          <w:tcPr>
            <w:tcW w:w="360" w:type="dxa"/>
            <w:vAlign w:val="bottom"/>
          </w:tcPr>
          <w:p>
            <w:pPr>
              <w:ind w:left="140"/>
              <w:spacing w:after="0" w:line="141"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540" w:type="dxa"/>
            <w:vAlign w:val="bottom"/>
          </w:tcPr>
          <w:p>
            <w:pPr>
              <w:jc w:val="right"/>
              <w:ind w:right="54"/>
              <w:spacing w:after="0" w:line="149" w:lineRule="exact"/>
              <w:rPr>
                <w:sz w:val="20"/>
                <w:szCs w:val="20"/>
                <w:color w:val="auto"/>
              </w:rPr>
            </w:pPr>
            <w:r>
              <w:rPr>
                <w:rFonts w:ascii="Arial" w:cs="Arial" w:eastAsia="Arial" w:hAnsi="Arial"/>
                <w:sz w:val="13"/>
                <w:szCs w:val="13"/>
                <w:color w:val="auto"/>
              </w:rPr>
              <w:t>2021</w:t>
            </w:r>
          </w:p>
        </w:tc>
        <w:tc>
          <w:tcPr>
            <w:tcW w:w="320" w:type="dxa"/>
            <w:vAlign w:val="bottom"/>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ind w:right="234"/>
              <w:spacing w:after="0" w:line="149" w:lineRule="exact"/>
              <w:rPr>
                <w:sz w:val="20"/>
                <w:szCs w:val="20"/>
                <w:color w:val="auto"/>
              </w:rPr>
            </w:pPr>
            <w:r>
              <w:rPr>
                <w:rFonts w:ascii="Arial" w:cs="Arial" w:eastAsia="Arial" w:hAnsi="Arial"/>
                <w:sz w:val="13"/>
                <w:szCs w:val="13"/>
                <w:color w:val="auto"/>
              </w:rPr>
              <w:t>770</w:t>
            </w:r>
          </w:p>
        </w:tc>
        <w:tc>
          <w:tcPr>
            <w:tcW w:w="1200" w:type="dxa"/>
            <w:vAlign w:val="bottom"/>
          </w:tcPr>
          <w:p>
            <w:pPr>
              <w:jc w:val="right"/>
              <w:ind w:right="334"/>
              <w:spacing w:after="0" w:line="149"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13,000</w:t>
            </w:r>
          </w:p>
        </w:tc>
        <w:tc>
          <w:tcPr>
            <w:tcW w:w="10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w:t>
            </w:r>
          </w:p>
        </w:tc>
        <w:tc>
          <w:tcPr>
            <w:tcW w:w="380" w:type="dxa"/>
            <w:vAlign w:val="bottom"/>
          </w:tcPr>
          <w:p>
            <w:pPr>
              <w:ind w:left="300"/>
              <w:spacing w:after="0" w:line="149"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314"/>
              <w:spacing w:after="0" w:line="149" w:lineRule="exact"/>
              <w:rPr>
                <w:sz w:val="20"/>
                <w:szCs w:val="20"/>
                <w:color w:val="auto"/>
              </w:rPr>
            </w:pPr>
            <w:r>
              <w:rPr>
                <w:rFonts w:ascii="Arial" w:cs="Arial" w:eastAsia="Arial" w:hAnsi="Arial"/>
                <w:sz w:val="13"/>
                <w:szCs w:val="13"/>
                <w:color w:val="auto"/>
                <w:w w:val="95"/>
              </w:rPr>
              <w:t>17,100</w:t>
            </w:r>
          </w:p>
        </w:tc>
        <w:tc>
          <w:tcPr>
            <w:tcW w:w="44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34"/>
              <w:spacing w:after="0" w:line="149" w:lineRule="exact"/>
              <w:rPr>
                <w:sz w:val="20"/>
                <w:szCs w:val="20"/>
                <w:color w:val="auto"/>
              </w:rPr>
            </w:pPr>
            <w:r>
              <w:rPr>
                <w:rFonts w:ascii="Arial" w:cs="Arial" w:eastAsia="Arial" w:hAnsi="Arial"/>
                <w:sz w:val="13"/>
                <w:szCs w:val="13"/>
                <w:color w:val="auto"/>
              </w:rPr>
              <w:t>110</w:t>
            </w:r>
          </w:p>
        </w:tc>
        <w:tc>
          <w:tcPr>
            <w:tcW w:w="1340" w:type="dxa"/>
            <w:vAlign w:val="bottom"/>
          </w:tcPr>
          <w:p>
            <w:pPr>
              <w:jc w:val="right"/>
              <w:ind w:right="274"/>
              <w:spacing w:after="0" w:line="149" w:lineRule="exact"/>
              <w:rPr>
                <w:sz w:val="20"/>
                <w:szCs w:val="20"/>
                <w:color w:val="auto"/>
              </w:rPr>
            </w:pPr>
            <w:r>
              <w:rPr>
                <w:rFonts w:ascii="Arial" w:cs="Arial" w:eastAsia="Arial" w:hAnsi="Arial"/>
                <w:sz w:val="13"/>
                <w:szCs w:val="13"/>
                <w:color w:val="auto"/>
              </w:rPr>
              <w:t>—</w:t>
            </w:r>
          </w:p>
        </w:tc>
        <w:tc>
          <w:tcPr>
            <w:tcW w:w="380" w:type="dxa"/>
            <w:vAlign w:val="bottom"/>
          </w:tcPr>
          <w:p>
            <w:pPr>
              <w:ind w:left="300"/>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94"/>
              <w:spacing w:after="0" w:line="149" w:lineRule="exact"/>
              <w:rPr>
                <w:sz w:val="20"/>
                <w:szCs w:val="20"/>
                <w:color w:val="auto"/>
              </w:rPr>
            </w:pPr>
            <w:r>
              <w:rPr>
                <w:rFonts w:ascii="Arial" w:cs="Arial" w:eastAsia="Arial" w:hAnsi="Arial"/>
                <w:sz w:val="13"/>
                <w:szCs w:val="13"/>
                <w:color w:val="auto"/>
              </w:rPr>
              <w:t>310</w:t>
            </w:r>
          </w:p>
        </w:tc>
        <w:tc>
          <w:tcPr>
            <w:tcW w:w="360" w:type="dxa"/>
            <w:vAlign w:val="bottom"/>
          </w:tcPr>
          <w:p>
            <w:pPr>
              <w:ind w:left="1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2020</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234"/>
              <w:spacing w:after="0"/>
              <w:rPr>
                <w:sz w:val="20"/>
                <w:szCs w:val="20"/>
                <w:color w:val="auto"/>
              </w:rPr>
            </w:pPr>
            <w:r>
              <w:rPr>
                <w:rFonts w:ascii="Arial" w:cs="Arial" w:eastAsia="Arial" w:hAnsi="Arial"/>
                <w:sz w:val="13"/>
                <w:szCs w:val="13"/>
                <w:color w:val="auto"/>
              </w:rPr>
              <w:t>711</w:t>
            </w:r>
          </w:p>
        </w:tc>
        <w:tc>
          <w:tcPr>
            <w:tcW w:w="12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80" w:type="dxa"/>
            <w:vAlign w:val="bottom"/>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14"/>
              <w:spacing w:after="0"/>
              <w:rPr>
                <w:sz w:val="20"/>
                <w:szCs w:val="20"/>
                <w:color w:val="auto"/>
              </w:rPr>
            </w:pPr>
            <w:r>
              <w:rPr>
                <w:rFonts w:ascii="Arial" w:cs="Arial" w:eastAsia="Arial" w:hAnsi="Arial"/>
                <w:sz w:val="13"/>
                <w:szCs w:val="13"/>
                <w:color w:val="auto"/>
              </w:rPr>
              <w:t>9,762</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4"/>
              <w:spacing w:after="0"/>
              <w:rPr>
                <w:sz w:val="20"/>
                <w:szCs w:val="20"/>
                <w:color w:val="auto"/>
              </w:rPr>
            </w:pPr>
            <w:r>
              <w:rPr>
                <w:rFonts w:ascii="Arial" w:cs="Arial" w:eastAsia="Arial" w:hAnsi="Arial"/>
                <w:sz w:val="13"/>
                <w:szCs w:val="13"/>
                <w:color w:val="auto"/>
              </w:rPr>
              <w:t>10</w:t>
            </w:r>
          </w:p>
        </w:tc>
        <w:tc>
          <w:tcPr>
            <w:tcW w:w="13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380" w:type="dxa"/>
            <w:vAlign w:val="bottom"/>
          </w:tcPr>
          <w:p>
            <w:pPr>
              <w:ind w:left="3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30</w:t>
            </w:r>
          </w:p>
        </w:tc>
        <w:tc>
          <w:tcPr>
            <w:tcW w:w="360" w:type="dxa"/>
            <w:vAlign w:val="bottom"/>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6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Wade Jones</w:t>
            </w:r>
          </w:p>
        </w:tc>
        <w:tc>
          <w:tcPr>
            <w:tcW w:w="540" w:type="dxa"/>
            <w:vAlign w:val="bottom"/>
            <w:shd w:val="clear" w:color="auto" w:fill="E5E5E5"/>
          </w:tcPr>
          <w:p>
            <w:pPr>
              <w:jc w:val="right"/>
              <w:ind w:right="54"/>
              <w:spacing w:after="0" w:line="149" w:lineRule="exact"/>
              <w:rPr>
                <w:sz w:val="20"/>
                <w:szCs w:val="20"/>
                <w:color w:val="auto"/>
              </w:rPr>
            </w:pPr>
            <w:r>
              <w:rPr>
                <w:rFonts w:ascii="Arial" w:cs="Arial" w:eastAsia="Arial" w:hAnsi="Arial"/>
                <w:sz w:val="13"/>
                <w:szCs w:val="13"/>
                <w:color w:val="auto"/>
              </w:rPr>
              <w:t>2022</w:t>
            </w:r>
          </w:p>
        </w:tc>
        <w:tc>
          <w:tcPr>
            <w:tcW w:w="320" w:type="dxa"/>
            <w:vAlign w:val="bottom"/>
            <w:shd w:val="clear" w:color="auto" w:fill="E5E5E5"/>
          </w:tcPr>
          <w:p>
            <w:pPr>
              <w:ind w:left="240"/>
              <w:spacing w:after="0" w:line="14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line="149" w:lineRule="exact"/>
              <w:rPr>
                <w:sz w:val="20"/>
                <w:szCs w:val="20"/>
                <w:color w:val="auto"/>
              </w:rPr>
            </w:pPr>
            <w:r>
              <w:rPr>
                <w:rFonts w:ascii="Arial" w:cs="Arial" w:eastAsia="Arial" w:hAnsi="Arial"/>
                <w:sz w:val="13"/>
                <w:szCs w:val="13"/>
                <w:color w:val="auto"/>
              </w:rPr>
              <w:t>472</w:t>
            </w:r>
          </w:p>
        </w:tc>
        <w:tc>
          <w:tcPr>
            <w:tcW w:w="12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rPr>
              <w:t>—</w:t>
            </w:r>
          </w:p>
        </w:tc>
        <w:tc>
          <w:tcPr>
            <w:tcW w:w="34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14"/>
              <w:spacing w:after="0" w:line="149"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74"/>
              <w:spacing w:after="0" w:line="149" w:lineRule="exact"/>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line="149" w:lineRule="exact"/>
              <w:rPr>
                <w:sz w:val="20"/>
                <w:szCs w:val="20"/>
                <w:color w:val="auto"/>
              </w:rPr>
            </w:pPr>
            <w:r>
              <w:rPr>
                <w:rFonts w:ascii="Arial" w:cs="Arial" w:eastAsia="Arial" w:hAnsi="Arial"/>
                <w:sz w:val="13"/>
                <w:szCs w:val="13"/>
                <w:color w:val="auto"/>
                <w:w w:val="95"/>
              </w:rPr>
              <w:t>18,300</w:t>
            </w:r>
          </w:p>
        </w:tc>
        <w:tc>
          <w:tcPr>
            <w:tcW w:w="44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line="149" w:lineRule="exact"/>
              <w:rPr>
                <w:sz w:val="20"/>
                <w:szCs w:val="20"/>
                <w:color w:val="auto"/>
              </w:rPr>
            </w:pPr>
            <w:r>
              <w:rPr>
                <w:rFonts w:ascii="Arial" w:cs="Arial" w:eastAsia="Arial" w:hAnsi="Arial"/>
                <w:sz w:val="13"/>
                <w:szCs w:val="13"/>
                <w:color w:val="auto"/>
              </w:rPr>
              <w:t>30</w:t>
            </w:r>
          </w:p>
        </w:tc>
        <w:tc>
          <w:tcPr>
            <w:tcW w:w="1340" w:type="dxa"/>
            <w:vAlign w:val="bottom"/>
            <w:shd w:val="clear" w:color="auto" w:fill="E5E5E5"/>
          </w:tcPr>
          <w:p>
            <w:pPr>
              <w:jc w:val="right"/>
              <w:ind w:right="274"/>
              <w:spacing w:after="0" w:line="149" w:lineRule="exact"/>
              <w:rPr>
                <w:sz w:val="20"/>
                <w:szCs w:val="20"/>
                <w:color w:val="auto"/>
              </w:rPr>
            </w:pPr>
            <w:r>
              <w:rPr>
                <w:rFonts w:ascii="Arial" w:cs="Arial" w:eastAsia="Arial" w:hAnsi="Arial"/>
                <w:sz w:val="13"/>
                <w:szCs w:val="13"/>
                <w:color w:val="auto"/>
              </w:rPr>
              <w:t>$1,878,480</w:t>
            </w:r>
          </w:p>
        </w:tc>
        <w:tc>
          <w:tcPr>
            <w:tcW w:w="380" w:type="dxa"/>
            <w:vAlign w:val="bottom"/>
            <w:shd w:val="clear" w:color="auto" w:fill="E5E5E5"/>
          </w:tcPr>
          <w:p>
            <w:pPr>
              <w:ind w:left="300"/>
              <w:spacing w:after="0" w:line="14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line="149" w:lineRule="exact"/>
              <w:rPr>
                <w:sz w:val="20"/>
                <w:szCs w:val="20"/>
                <w:color w:val="auto"/>
              </w:rPr>
            </w:pPr>
            <w:r>
              <w:rPr>
                <w:rFonts w:ascii="Arial" w:cs="Arial" w:eastAsia="Arial" w:hAnsi="Arial"/>
                <w:sz w:val="13"/>
                <w:szCs w:val="13"/>
                <w:color w:val="auto"/>
              </w:rPr>
              <w:t>13</w:t>
            </w:r>
          </w:p>
        </w:tc>
        <w:tc>
          <w:tcPr>
            <w:tcW w:w="360" w:type="dxa"/>
            <w:vAlign w:val="bottom"/>
            <w:shd w:val="clear" w:color="auto" w:fill="E5E5E5"/>
          </w:tcPr>
          <w:p>
            <w:pPr>
              <w:ind w:left="140"/>
              <w:spacing w:after="0" w:line="14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1060" w:type="dxa"/>
            <w:vAlign w:val="bottom"/>
            <w:shd w:val="clear" w:color="auto" w:fill="E5E5E5"/>
          </w:tcPr>
          <w:p>
            <w:pPr>
              <w:spacing w:after="0"/>
              <w:rPr>
                <w:sz w:val="13"/>
                <w:szCs w:val="13"/>
                <w:color w:val="auto"/>
              </w:rPr>
            </w:pPr>
          </w:p>
        </w:tc>
        <w:tc>
          <w:tcPr>
            <w:tcW w:w="54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2021</w:t>
            </w:r>
          </w:p>
        </w:tc>
        <w:tc>
          <w:tcPr>
            <w:tcW w:w="320" w:type="dxa"/>
            <w:vAlign w:val="bottom"/>
            <w:shd w:val="clear" w:color="auto" w:fill="E5E5E5"/>
          </w:tcPr>
          <w:p>
            <w:pPr>
              <w:ind w:left="24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rPr>
                <w:sz w:val="20"/>
                <w:szCs w:val="20"/>
                <w:color w:val="auto"/>
              </w:rPr>
            </w:pPr>
            <w:r>
              <w:rPr>
                <w:rFonts w:ascii="Arial" w:cs="Arial" w:eastAsia="Arial" w:hAnsi="Arial"/>
                <w:sz w:val="13"/>
                <w:szCs w:val="13"/>
                <w:color w:val="auto"/>
              </w:rPr>
              <w:t>631</w:t>
            </w: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w:t>
            </w:r>
          </w:p>
        </w:tc>
        <w:tc>
          <w:tcPr>
            <w:tcW w:w="340" w:type="dxa"/>
            <w:vAlign w:val="bottom"/>
            <w:shd w:val="clear" w:color="auto" w:fill="E5E5E5"/>
          </w:tcPr>
          <w:p>
            <w:pPr>
              <w:spacing w:after="0"/>
              <w:rPr>
                <w:sz w:val="13"/>
                <w:szCs w:val="13"/>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rPr>
                <w:sz w:val="20"/>
                <w:szCs w:val="20"/>
                <w:color w:val="auto"/>
              </w:rPr>
            </w:pPr>
            <w:r>
              <w:rPr>
                <w:rFonts w:ascii="Arial" w:cs="Arial" w:eastAsia="Arial" w:hAnsi="Arial"/>
                <w:sz w:val="13"/>
                <w:szCs w:val="13"/>
                <w:color w:val="auto"/>
                <w:w w:val="95"/>
              </w:rPr>
              <w:t>17,100</w:t>
            </w:r>
          </w:p>
        </w:tc>
        <w:tc>
          <w:tcPr>
            <w:tcW w:w="4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32</w:t>
            </w:r>
          </w:p>
        </w:tc>
        <w:tc>
          <w:tcPr>
            <w:tcW w:w="1340" w:type="dxa"/>
            <w:vAlign w:val="bottom"/>
            <w:shd w:val="clear" w:color="auto" w:fill="E5E5E5"/>
          </w:tcPr>
          <w:p>
            <w:pPr>
              <w:jc w:val="right"/>
              <w:ind w:right="2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E5E5E5"/>
          </w:tcPr>
          <w:p>
            <w:pPr>
              <w:jc w:val="right"/>
              <w:ind w:right="94"/>
              <w:spacing w:after="0"/>
              <w:rPr>
                <w:sz w:val="20"/>
                <w:szCs w:val="20"/>
                <w:color w:val="auto"/>
              </w:rPr>
            </w:pPr>
            <w:r>
              <w:rPr>
                <w:rFonts w:ascii="Arial" w:cs="Arial" w:eastAsia="Arial" w:hAnsi="Arial"/>
                <w:sz w:val="13"/>
                <w:szCs w:val="13"/>
                <w:color w:val="auto"/>
              </w:rPr>
              <w:t>60</w:t>
            </w:r>
          </w:p>
        </w:tc>
        <w:tc>
          <w:tcPr>
            <w:tcW w:w="3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060" w:type="dxa"/>
            <w:vAlign w:val="bottom"/>
            <w:shd w:val="clear" w:color="auto" w:fill="E5E5E5"/>
          </w:tcPr>
          <w:p>
            <w:pPr>
              <w:spacing w:after="0"/>
              <w:rPr>
                <w:sz w:val="13"/>
                <w:szCs w:val="13"/>
                <w:color w:val="auto"/>
              </w:rPr>
            </w:pPr>
          </w:p>
        </w:tc>
        <w:tc>
          <w:tcPr>
            <w:tcW w:w="54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2020</w:t>
            </w:r>
          </w:p>
        </w:tc>
        <w:tc>
          <w:tcPr>
            <w:tcW w:w="320" w:type="dxa"/>
            <w:vAlign w:val="bottom"/>
            <w:shd w:val="clear" w:color="auto" w:fill="E5E5E5"/>
          </w:tcPr>
          <w:p>
            <w:pPr>
              <w:ind w:left="24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E5E5E5"/>
          </w:tcPr>
          <w:p>
            <w:pPr>
              <w:jc w:val="right"/>
              <w:ind w:right="234"/>
              <w:spacing w:after="0"/>
              <w:rPr>
                <w:sz w:val="20"/>
                <w:szCs w:val="20"/>
                <w:color w:val="auto"/>
              </w:rPr>
            </w:pPr>
            <w:r>
              <w:rPr>
                <w:rFonts w:ascii="Arial" w:cs="Arial" w:eastAsia="Arial" w:hAnsi="Arial"/>
                <w:sz w:val="13"/>
                <w:szCs w:val="13"/>
                <w:color w:val="auto"/>
              </w:rPr>
              <w:t>572</w:t>
            </w: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w:t>
            </w:r>
          </w:p>
        </w:tc>
        <w:tc>
          <w:tcPr>
            <w:tcW w:w="340" w:type="dxa"/>
            <w:vAlign w:val="bottom"/>
            <w:shd w:val="clear" w:color="auto" w:fill="E5E5E5"/>
          </w:tcPr>
          <w:p>
            <w:pPr>
              <w:spacing w:after="0"/>
              <w:rPr>
                <w:sz w:val="13"/>
                <w:szCs w:val="13"/>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5E5E5"/>
          </w:tcPr>
          <w:p>
            <w:pPr>
              <w:jc w:val="right"/>
              <w:ind w:right="314"/>
              <w:spacing w:after="0"/>
              <w:rPr>
                <w:sz w:val="20"/>
                <w:szCs w:val="20"/>
                <w:color w:val="auto"/>
              </w:rPr>
            </w:pPr>
            <w:r>
              <w:rPr>
                <w:rFonts w:ascii="Arial" w:cs="Arial" w:eastAsia="Arial" w:hAnsi="Arial"/>
                <w:sz w:val="13"/>
                <w:szCs w:val="13"/>
                <w:color w:val="auto"/>
              </w:rPr>
              <w:t>7,876</w:t>
            </w:r>
          </w:p>
        </w:tc>
        <w:tc>
          <w:tcPr>
            <w:tcW w:w="440" w:type="dxa"/>
            <w:vAlign w:val="bottom"/>
            <w:shd w:val="clear" w:color="auto" w:fill="E5E5E5"/>
          </w:tcPr>
          <w:p>
            <w:pPr>
              <w:spacing w:after="0"/>
              <w:rPr>
                <w:sz w:val="13"/>
                <w:szCs w:val="13"/>
                <w:color w:val="auto"/>
              </w:rPr>
            </w:pPr>
          </w:p>
        </w:tc>
        <w:tc>
          <w:tcPr>
            <w:tcW w:w="800" w:type="dxa"/>
            <w:vAlign w:val="bottom"/>
            <w:shd w:val="clear" w:color="auto" w:fill="E5E5E5"/>
          </w:tcPr>
          <w:p>
            <w:pPr>
              <w:jc w:val="right"/>
              <w:ind w:right="334"/>
              <w:spacing w:after="0"/>
              <w:rPr>
                <w:sz w:val="20"/>
                <w:szCs w:val="20"/>
                <w:color w:val="auto"/>
              </w:rPr>
            </w:pPr>
            <w:r>
              <w:rPr>
                <w:rFonts w:ascii="Arial" w:cs="Arial" w:eastAsia="Arial" w:hAnsi="Arial"/>
                <w:sz w:val="13"/>
                <w:szCs w:val="13"/>
                <w:color w:val="auto"/>
              </w:rPr>
              <w:t>—</w:t>
            </w:r>
          </w:p>
        </w:tc>
        <w:tc>
          <w:tcPr>
            <w:tcW w:w="1340" w:type="dxa"/>
            <w:vAlign w:val="bottom"/>
            <w:shd w:val="clear" w:color="auto" w:fill="E5E5E5"/>
          </w:tcPr>
          <w:p>
            <w:pPr>
              <w:jc w:val="right"/>
              <w:ind w:right="274"/>
              <w:spacing w:after="0"/>
              <w:rPr>
                <w:sz w:val="20"/>
                <w:szCs w:val="20"/>
                <w:color w:val="auto"/>
              </w:rPr>
            </w:pPr>
            <w:r>
              <w:rPr>
                <w:rFonts w:ascii="Arial" w:cs="Arial" w:eastAsia="Arial" w:hAnsi="Arial"/>
                <w:sz w:val="13"/>
                <w:szCs w:val="13"/>
                <w:color w:val="auto"/>
              </w:rPr>
              <w:t>—</w:t>
            </w:r>
          </w:p>
        </w:tc>
        <w:tc>
          <w:tcPr>
            <w:tcW w:w="380" w:type="dxa"/>
            <w:vAlign w:val="bottom"/>
            <w:shd w:val="clear" w:color="auto" w:fill="E5E5E5"/>
          </w:tcPr>
          <w:p>
            <w:pPr>
              <w:spacing w:after="0"/>
              <w:rPr>
                <w:sz w:val="13"/>
                <w:szCs w:val="13"/>
                <w:color w:val="auto"/>
              </w:rPr>
            </w:pPr>
          </w:p>
        </w:tc>
        <w:tc>
          <w:tcPr>
            <w:tcW w:w="560" w:type="dxa"/>
            <w:vAlign w:val="bottom"/>
            <w:shd w:val="clear" w:color="auto" w:fill="E5E5E5"/>
          </w:tcPr>
          <w:p>
            <w:pPr>
              <w:jc w:val="right"/>
              <w:ind w:right="94"/>
              <w:spacing w:after="0"/>
              <w:rPr>
                <w:sz w:val="20"/>
                <w:szCs w:val="20"/>
                <w:color w:val="auto"/>
              </w:rPr>
            </w:pPr>
            <w:r>
              <w:rPr>
                <w:rFonts w:ascii="Arial" w:cs="Arial" w:eastAsia="Arial" w:hAnsi="Arial"/>
                <w:sz w:val="13"/>
                <w:szCs w:val="13"/>
                <w:color w:val="auto"/>
              </w:rPr>
              <w:t>—</w:t>
            </w:r>
          </w:p>
        </w:tc>
        <w:tc>
          <w:tcPr>
            <w:tcW w:w="360" w:type="dxa"/>
            <w:vAlign w:val="bottom"/>
            <w:shd w:val="clear" w:color="auto" w:fill="E5E5E5"/>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060" w:type="dxa"/>
            <w:vAlign w:val="bottom"/>
          </w:tcPr>
          <w:p>
            <w:pPr>
              <w:ind w:left="40"/>
              <w:spacing w:after="0"/>
              <w:rPr>
                <w:sz w:val="20"/>
                <w:szCs w:val="20"/>
                <w:color w:val="auto"/>
              </w:rPr>
            </w:pPr>
            <w:r>
              <w:rPr>
                <w:rFonts w:ascii="Arial" w:cs="Arial" w:eastAsia="Arial" w:hAnsi="Arial"/>
                <w:sz w:val="13"/>
                <w:szCs w:val="13"/>
                <w:color w:val="auto"/>
              </w:rPr>
              <w:t>Cem Tanyel</w:t>
            </w:r>
          </w:p>
        </w:tc>
        <w:tc>
          <w:tcPr>
            <w:tcW w:w="540" w:type="dxa"/>
            <w:vAlign w:val="bottom"/>
          </w:tcPr>
          <w:p>
            <w:pPr>
              <w:jc w:val="right"/>
              <w:ind w:right="54"/>
              <w:spacing w:after="0"/>
              <w:rPr>
                <w:sz w:val="20"/>
                <w:szCs w:val="20"/>
                <w:color w:val="auto"/>
              </w:rPr>
            </w:pPr>
            <w:r>
              <w:rPr>
                <w:rFonts w:ascii="Arial" w:cs="Arial" w:eastAsia="Arial" w:hAnsi="Arial"/>
                <w:sz w:val="13"/>
                <w:szCs w:val="13"/>
                <w:color w:val="auto"/>
              </w:rPr>
              <w:t>2022</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234"/>
              <w:spacing w:after="0"/>
              <w:rPr>
                <w:sz w:val="20"/>
                <w:szCs w:val="20"/>
                <w:color w:val="auto"/>
              </w:rPr>
            </w:pPr>
            <w:r>
              <w:rPr>
                <w:rFonts w:ascii="Arial" w:cs="Arial" w:eastAsia="Arial" w:hAnsi="Arial"/>
                <w:sz w:val="13"/>
                <w:szCs w:val="13"/>
                <w:color w:val="auto"/>
              </w:rPr>
              <w:t>376</w:t>
            </w:r>
          </w:p>
        </w:tc>
        <w:tc>
          <w:tcPr>
            <w:tcW w:w="1200" w:type="dxa"/>
            <w:vAlign w:val="bottom"/>
          </w:tcPr>
          <w:p>
            <w:pPr>
              <w:jc w:val="right"/>
              <w:ind w:right="334"/>
              <w:spacing w:after="0"/>
              <w:rPr>
                <w:sz w:val="20"/>
                <w:szCs w:val="20"/>
                <w:color w:val="auto"/>
              </w:rPr>
            </w:pPr>
            <w:r>
              <w:rPr>
                <w:rFonts w:ascii="Arial" w:cs="Arial" w:eastAsia="Arial" w:hAnsi="Arial"/>
                <w:sz w:val="13"/>
                <w:szCs w:val="13"/>
                <w:color w:val="auto"/>
              </w:rPr>
              <w:t>$4,673</w:t>
            </w:r>
          </w:p>
        </w:tc>
        <w:tc>
          <w:tcPr>
            <w:tcW w:w="34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380" w:type="dxa"/>
            <w:vAlign w:val="bottom"/>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14"/>
              <w:spacing w:after="0"/>
              <w:rPr>
                <w:sz w:val="20"/>
                <w:szCs w:val="20"/>
                <w:color w:val="auto"/>
              </w:rPr>
            </w:pPr>
            <w:r>
              <w:rPr>
                <w:rFonts w:ascii="Arial" w:cs="Arial" w:eastAsia="Arial" w:hAnsi="Arial"/>
                <w:sz w:val="13"/>
                <w:szCs w:val="13"/>
                <w:color w:val="auto"/>
                <w:w w:val="95"/>
              </w:rPr>
              <w:t>18,300</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4"/>
              <w:spacing w:after="0"/>
              <w:rPr>
                <w:sz w:val="20"/>
                <w:szCs w:val="20"/>
                <w:color w:val="auto"/>
              </w:rPr>
            </w:pPr>
            <w:r>
              <w:rPr>
                <w:rFonts w:ascii="Arial" w:cs="Arial" w:eastAsia="Arial" w:hAnsi="Arial"/>
                <w:sz w:val="13"/>
                <w:szCs w:val="13"/>
                <w:color w:val="auto"/>
              </w:rPr>
              <w:t>30</w:t>
            </w:r>
          </w:p>
        </w:tc>
        <w:tc>
          <w:tcPr>
            <w:tcW w:w="1340" w:type="dxa"/>
            <w:vAlign w:val="bottom"/>
          </w:tcPr>
          <w:p>
            <w:pPr>
              <w:jc w:val="right"/>
              <w:ind w:right="274"/>
              <w:spacing w:after="0"/>
              <w:rPr>
                <w:sz w:val="20"/>
                <w:szCs w:val="20"/>
                <w:color w:val="auto"/>
              </w:rPr>
            </w:pPr>
            <w:r>
              <w:rPr>
                <w:rFonts w:ascii="Arial" w:cs="Arial" w:eastAsia="Arial" w:hAnsi="Arial"/>
                <w:sz w:val="13"/>
                <w:szCs w:val="13"/>
                <w:color w:val="auto"/>
              </w:rPr>
              <w:t>$1,438,200</w:t>
            </w:r>
          </w:p>
        </w:tc>
        <w:tc>
          <w:tcPr>
            <w:tcW w:w="380" w:type="dxa"/>
            <w:vAlign w:val="bottom"/>
          </w:tcPr>
          <w:p>
            <w:pPr>
              <w:ind w:left="3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19</w:t>
            </w:r>
          </w:p>
        </w:tc>
        <w:tc>
          <w:tcPr>
            <w:tcW w:w="360" w:type="dxa"/>
            <w:vAlign w:val="bottom"/>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70485</wp:posOffset>
            </wp:positionV>
            <wp:extent cx="63563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5635" cy="7620"/>
                    </a:xfrm>
                    <a:prstGeom prst="rect">
                      <a:avLst/>
                    </a:prstGeom>
                    <a:noFill/>
                  </pic:spPr>
                </pic:pic>
              </a:graphicData>
            </a:graphic>
          </wp:anchor>
        </w:drawing>
      </w:r>
    </w:p>
    <w:p>
      <w:pPr>
        <w:spacing w:after="0" w:line="202" w:lineRule="exact"/>
        <w:rPr>
          <w:sz w:val="20"/>
          <w:szCs w:val="20"/>
          <w:color w:val="auto"/>
        </w:rPr>
      </w:pPr>
    </w:p>
    <w:p>
      <w:pPr>
        <w:ind w:left="1480" w:right="1100" w:hanging="406"/>
        <w:spacing w:after="0" w:line="257" w:lineRule="auto"/>
        <w:tabs>
          <w:tab w:leader="none" w:pos="1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2022, represents a tax gross up for amounts paid in connection with a years-of-service award received by Messrs. Menke, Moore, Wilson, Barnett, Jones, and Tanyel, as described in note (c), and for Messrs. Randolfi, Ekert, and Wilson, includes tax gross-up on relocation assistance.</w:t>
      </w:r>
    </w:p>
    <w:p>
      <w:pPr>
        <w:spacing w:after="0" w:line="39" w:lineRule="exact"/>
        <w:rPr>
          <w:rFonts w:ascii="Arial" w:cs="Arial" w:eastAsia="Arial" w:hAnsi="Arial"/>
          <w:sz w:val="15"/>
          <w:szCs w:val="15"/>
          <w:color w:val="auto"/>
        </w:rPr>
      </w:pPr>
    </w:p>
    <w:p>
      <w:pPr>
        <w:ind w:left="1480" w:right="980" w:hanging="406"/>
        <w:spacing w:after="0" w:line="273" w:lineRule="auto"/>
        <w:tabs>
          <w:tab w:leader="none" w:pos="1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Represents severance payments pursuant to the Executive Severance Plan. See “Potential Payments upon a Termination or Change in Control—Summary of Estimated Payments and Benefits” for additional information.</w:t>
      </w:r>
    </w:p>
    <w:p>
      <w:pPr>
        <w:spacing w:after="0" w:line="27" w:lineRule="exact"/>
        <w:rPr>
          <w:rFonts w:ascii="Arial" w:cs="Arial" w:eastAsia="Arial" w:hAnsi="Arial"/>
          <w:sz w:val="15"/>
          <w:szCs w:val="15"/>
          <w:color w:val="auto"/>
        </w:rPr>
      </w:pPr>
    </w:p>
    <w:p>
      <w:pPr>
        <w:ind w:left="1480" w:right="1040" w:hanging="406"/>
        <w:spacing w:after="0" w:line="273" w:lineRule="auto"/>
        <w:tabs>
          <w:tab w:leader="none" w:pos="1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2022, amounts represent a years-of-service award received by Messrs. Menke, Moore, Wilson, Barnett, Jones, and Tanyel, and for Mr. Ekert, amounts represent reimbursement of certain commuting expenses.</w:t>
      </w:r>
    </w:p>
    <w:p>
      <w:pPr>
        <w:spacing w:after="0" w:line="81"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1340"/>
          </w:cols>
          <w:pgMar w:left="320" w:top="453"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2022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for each of our named executive officers, the plan-based awards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149225</wp:posOffset>
            </wp:positionV>
            <wp:extent cx="4969510" cy="35013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69510" cy="3501390"/>
                    </a:xfrm>
                    <a:prstGeom prst="rect">
                      <a:avLst/>
                    </a:prstGeom>
                    <a:noFill/>
                  </pic:spPr>
                </pic:pic>
              </a:graphicData>
            </a:graphic>
          </wp:anchor>
        </w:drawing>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300" w:type="dxa"/>
            <w:vAlign w:val="bottom"/>
            <w:shd w:val="clear" w:color="auto" w:fill="666666"/>
          </w:tcPr>
          <w:p>
            <w:pPr>
              <w:spacing w:after="0"/>
              <w:rPr>
                <w:sz w:val="13"/>
                <w:szCs w:val="13"/>
                <w:color w:val="auto"/>
              </w:rPr>
            </w:pPr>
          </w:p>
        </w:tc>
        <w:tc>
          <w:tcPr>
            <w:tcW w:w="1940" w:type="dxa"/>
            <w:vAlign w:val="bottom"/>
            <w:shd w:val="clear" w:color="auto" w:fill="666666"/>
          </w:tcPr>
          <w:p>
            <w:pPr>
              <w:spacing w:after="0"/>
              <w:rPr>
                <w:sz w:val="13"/>
                <w:szCs w:val="13"/>
                <w:color w:val="auto"/>
              </w:rPr>
            </w:pPr>
          </w:p>
        </w:tc>
        <w:tc>
          <w:tcPr>
            <w:tcW w:w="860" w:type="dxa"/>
            <w:vAlign w:val="bottom"/>
            <w:shd w:val="clear" w:color="auto" w:fill="666666"/>
          </w:tcPr>
          <w:p>
            <w:pPr>
              <w:spacing w:after="0"/>
              <w:rPr>
                <w:sz w:val="13"/>
                <w:szCs w:val="13"/>
                <w:color w:val="auto"/>
              </w:rPr>
            </w:pPr>
          </w:p>
        </w:tc>
        <w:tc>
          <w:tcPr>
            <w:tcW w:w="1640" w:type="dxa"/>
            <w:vAlign w:val="bottom"/>
            <w:gridSpan w:val="2"/>
            <w:shd w:val="clear" w:color="auto" w:fill="666666"/>
          </w:tcPr>
          <w:p>
            <w:pPr>
              <w:jc w:val="center"/>
              <w:ind w:left="754"/>
              <w:spacing w:after="0"/>
              <w:rPr>
                <w:sz w:val="20"/>
                <w:szCs w:val="20"/>
                <w:color w:val="auto"/>
              </w:rPr>
            </w:pPr>
            <w:r>
              <w:rPr>
                <w:rFonts w:ascii="Arial" w:cs="Arial" w:eastAsia="Arial" w:hAnsi="Arial"/>
                <w:sz w:val="13"/>
                <w:szCs w:val="13"/>
                <w:b w:val="1"/>
                <w:bCs w:val="1"/>
                <w:color w:val="FFFFFF"/>
                <w:w w:val="99"/>
              </w:rPr>
              <w:t>Estimated</w:t>
            </w:r>
          </w:p>
        </w:tc>
        <w:tc>
          <w:tcPr>
            <w:tcW w:w="140" w:type="dxa"/>
            <w:vAlign w:val="bottom"/>
            <w:shd w:val="clear" w:color="auto" w:fill="666666"/>
          </w:tcPr>
          <w:p>
            <w:pPr>
              <w:spacing w:after="0"/>
              <w:rPr>
                <w:sz w:val="13"/>
                <w:szCs w:val="13"/>
                <w:color w:val="auto"/>
              </w:rPr>
            </w:pPr>
          </w:p>
        </w:tc>
        <w:tc>
          <w:tcPr>
            <w:tcW w:w="740" w:type="dxa"/>
            <w:vAlign w:val="bottom"/>
            <w:shd w:val="clear" w:color="auto" w:fill="666666"/>
          </w:tcPr>
          <w:p>
            <w:pPr>
              <w:spacing w:after="0"/>
              <w:rPr>
                <w:sz w:val="13"/>
                <w:szCs w:val="13"/>
                <w:color w:val="auto"/>
              </w:rPr>
            </w:pPr>
          </w:p>
        </w:tc>
        <w:tc>
          <w:tcPr>
            <w:tcW w:w="780" w:type="dxa"/>
            <w:vAlign w:val="bottom"/>
            <w:shd w:val="clear" w:color="auto" w:fill="666666"/>
          </w:tcPr>
          <w:p>
            <w:pPr>
              <w:spacing w:after="0"/>
              <w:rPr>
                <w:sz w:val="13"/>
                <w:szCs w:val="13"/>
                <w:color w:val="auto"/>
              </w:rPr>
            </w:pPr>
          </w:p>
        </w:tc>
        <w:tc>
          <w:tcPr>
            <w:tcW w:w="840" w:type="dxa"/>
            <w:vAlign w:val="bottom"/>
            <w:shd w:val="clear" w:color="auto" w:fill="666666"/>
          </w:tcPr>
          <w:p>
            <w:pPr>
              <w:spacing w:after="0"/>
              <w:rPr>
                <w:sz w:val="13"/>
                <w:szCs w:val="13"/>
                <w:color w:val="auto"/>
              </w:rPr>
            </w:pPr>
          </w:p>
        </w:tc>
        <w:tc>
          <w:tcPr>
            <w:tcW w:w="160" w:type="dxa"/>
            <w:vAlign w:val="bottom"/>
            <w:shd w:val="clear" w:color="auto" w:fill="666666"/>
          </w:tcPr>
          <w:p>
            <w:pPr>
              <w:spacing w:after="0"/>
              <w:rPr>
                <w:sz w:val="13"/>
                <w:szCs w:val="13"/>
                <w:color w:val="auto"/>
              </w:rPr>
            </w:pPr>
          </w:p>
        </w:tc>
        <w:tc>
          <w:tcPr>
            <w:tcW w:w="680" w:type="dxa"/>
            <w:vAlign w:val="bottom"/>
            <w:shd w:val="clear" w:color="auto" w:fill="666666"/>
          </w:tcPr>
          <w:p>
            <w:pPr>
              <w:spacing w:after="0"/>
              <w:rPr>
                <w:sz w:val="13"/>
                <w:szCs w:val="13"/>
                <w:color w:val="auto"/>
              </w:rPr>
            </w:pP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rPr>
              <w:t>Future</w:t>
            </w:r>
          </w:p>
        </w:tc>
        <w:tc>
          <w:tcPr>
            <w:tcW w:w="880" w:type="dxa"/>
            <w:vAlign w:val="bottom"/>
            <w:gridSpan w:val="2"/>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Estimated</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Estimated</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Estimated</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spacing w:after="0"/>
              <w:rPr>
                <w:sz w:val="12"/>
                <w:szCs w:val="12"/>
                <w:color w:val="auto"/>
              </w:rPr>
            </w:pP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w w:val="98"/>
              </w:rPr>
              <w:t>Payouts</w:t>
            </w:r>
          </w:p>
        </w:tc>
        <w:tc>
          <w:tcPr>
            <w:tcW w:w="14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74"/>
              <w:spacing w:after="0" w:line="149" w:lineRule="exact"/>
              <w:rPr>
                <w:sz w:val="20"/>
                <w:szCs w:val="20"/>
                <w:color w:val="auto"/>
              </w:rPr>
            </w:pPr>
            <w:r>
              <w:rPr>
                <w:rFonts w:ascii="Arial" w:cs="Arial" w:eastAsia="Arial" w:hAnsi="Arial"/>
                <w:sz w:val="13"/>
                <w:szCs w:val="13"/>
                <w:b w:val="1"/>
                <w:bCs w:val="1"/>
                <w:color w:val="FFFFFF"/>
                <w:w w:val="98"/>
              </w:rPr>
              <w:t>Future</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8"/>
              </w:rPr>
              <w:t>Future</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8"/>
              </w:rPr>
              <w:t>Future</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spacing w:after="0"/>
              <w:rPr>
                <w:sz w:val="12"/>
                <w:szCs w:val="12"/>
                <w:color w:val="auto"/>
              </w:rPr>
            </w:pP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rPr>
              <w:t>Under</w:t>
            </w:r>
          </w:p>
        </w:tc>
        <w:tc>
          <w:tcPr>
            <w:tcW w:w="14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74"/>
              <w:spacing w:after="0" w:line="149" w:lineRule="exact"/>
              <w:rPr>
                <w:sz w:val="20"/>
                <w:szCs w:val="20"/>
                <w:color w:val="auto"/>
              </w:rPr>
            </w:pPr>
            <w:r>
              <w:rPr>
                <w:rFonts w:ascii="Arial" w:cs="Arial" w:eastAsia="Arial" w:hAnsi="Arial"/>
                <w:sz w:val="13"/>
                <w:szCs w:val="13"/>
                <w:b w:val="1"/>
                <w:bCs w:val="1"/>
                <w:color w:val="FFFFFF"/>
              </w:rPr>
              <w:t>Payouts</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Payouts</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Payouts</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spacing w:after="0"/>
              <w:rPr>
                <w:sz w:val="12"/>
                <w:szCs w:val="12"/>
                <w:color w:val="auto"/>
              </w:rPr>
            </w:pP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rPr>
              <w:t>Non-</w:t>
            </w:r>
          </w:p>
        </w:tc>
        <w:tc>
          <w:tcPr>
            <w:tcW w:w="880" w:type="dxa"/>
            <w:vAlign w:val="bottom"/>
            <w:gridSpan w:val="2"/>
            <w:shd w:val="clear" w:color="auto" w:fill="666666"/>
          </w:tcPr>
          <w:p>
            <w:pPr>
              <w:ind w:left="80"/>
              <w:spacing w:after="0" w:line="149" w:lineRule="exact"/>
              <w:rPr>
                <w:sz w:val="20"/>
                <w:szCs w:val="20"/>
                <w:color w:val="auto"/>
              </w:rPr>
            </w:pPr>
            <w:r>
              <w:rPr>
                <w:rFonts w:ascii="Arial" w:cs="Arial" w:eastAsia="Arial" w:hAnsi="Arial"/>
                <w:sz w:val="13"/>
                <w:szCs w:val="13"/>
                <w:b w:val="1"/>
                <w:bCs w:val="1"/>
                <w:color w:val="FFFFFF"/>
              </w:rPr>
              <w:t>Under Non-</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Under</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Under</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spacing w:after="0"/>
              <w:rPr>
                <w:sz w:val="12"/>
                <w:szCs w:val="12"/>
                <w:color w:val="auto"/>
              </w:rPr>
            </w:pP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74"/>
              <w:spacing w:after="0" w:line="149" w:lineRule="exact"/>
              <w:rPr>
                <w:sz w:val="20"/>
                <w:szCs w:val="20"/>
                <w:color w:val="auto"/>
              </w:rPr>
            </w:pPr>
            <w:r>
              <w:rPr>
                <w:rFonts w:ascii="Arial" w:cs="Arial" w:eastAsia="Arial" w:hAnsi="Arial"/>
                <w:sz w:val="13"/>
                <w:szCs w:val="13"/>
                <w:b w:val="1"/>
                <w:bCs w:val="1"/>
                <w:color w:val="FFFFFF"/>
              </w:rPr>
              <w:t>Equity</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Equity</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Equity</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jc w:val="center"/>
              <w:ind w:right="95"/>
              <w:spacing w:after="0" w:line="149" w:lineRule="exact"/>
              <w:rPr>
                <w:sz w:val="20"/>
                <w:szCs w:val="20"/>
                <w:color w:val="auto"/>
              </w:rPr>
            </w:pPr>
            <w:r>
              <w:rPr>
                <w:rFonts w:ascii="Arial" w:cs="Arial" w:eastAsia="Arial" w:hAnsi="Arial"/>
                <w:sz w:val="13"/>
                <w:szCs w:val="13"/>
                <w:b w:val="1"/>
                <w:bCs w:val="1"/>
                <w:color w:val="FFFFFF"/>
              </w:rPr>
              <w:t>Grant</w:t>
            </w: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1640" w:type="dxa"/>
            <w:vAlign w:val="bottom"/>
            <w:gridSpan w:val="2"/>
            <w:shd w:val="clear" w:color="auto" w:fill="666666"/>
          </w:tcPr>
          <w:p>
            <w:pPr>
              <w:jc w:val="center"/>
              <w:ind w:left="754"/>
              <w:spacing w:after="0" w:line="149" w:lineRule="exact"/>
              <w:rPr>
                <w:sz w:val="20"/>
                <w:szCs w:val="20"/>
                <w:color w:val="auto"/>
              </w:rPr>
            </w:pPr>
            <w:r>
              <w:rPr>
                <w:rFonts w:ascii="Arial" w:cs="Arial" w:eastAsia="Arial" w:hAnsi="Arial"/>
                <w:sz w:val="13"/>
                <w:szCs w:val="13"/>
                <w:b w:val="1"/>
                <w:bCs w:val="1"/>
                <w:color w:val="FFFFFF"/>
              </w:rPr>
              <w:t>Incentive</w:t>
            </w:r>
          </w:p>
        </w:tc>
        <w:tc>
          <w:tcPr>
            <w:tcW w:w="14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74"/>
              <w:spacing w:after="0" w:line="149" w:lineRule="exact"/>
              <w:rPr>
                <w:sz w:val="20"/>
                <w:szCs w:val="20"/>
                <w:color w:val="auto"/>
              </w:rPr>
            </w:pPr>
            <w:r>
              <w:rPr>
                <w:rFonts w:ascii="Arial" w:cs="Arial" w:eastAsia="Arial" w:hAnsi="Arial"/>
                <w:sz w:val="13"/>
                <w:szCs w:val="13"/>
                <w:b w:val="1"/>
                <w:bCs w:val="1"/>
                <w:color w:val="FFFFFF"/>
                <w:w w:val="99"/>
              </w:rPr>
              <w:t>Incentive</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Incentive</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Incentive</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jc w:val="center"/>
              <w:ind w:right="95"/>
              <w:spacing w:after="0" w:line="149" w:lineRule="exact"/>
              <w:rPr>
                <w:sz w:val="20"/>
                <w:szCs w:val="20"/>
                <w:color w:val="auto"/>
              </w:rPr>
            </w:pPr>
            <w:r>
              <w:rPr>
                <w:rFonts w:ascii="Arial" w:cs="Arial" w:eastAsia="Arial" w:hAnsi="Arial"/>
                <w:sz w:val="13"/>
                <w:szCs w:val="13"/>
                <w:b w:val="1"/>
                <w:bCs w:val="1"/>
                <w:color w:val="FFFFFF"/>
                <w:w w:val="99"/>
              </w:rPr>
              <w:t>Date</w:t>
            </w: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w w:val="94"/>
              </w:rPr>
              <w:t>Plan</w:t>
            </w:r>
          </w:p>
        </w:tc>
        <w:tc>
          <w:tcPr>
            <w:tcW w:w="14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74"/>
              <w:spacing w:after="0" w:line="149" w:lineRule="exact"/>
              <w:rPr>
                <w:sz w:val="20"/>
                <w:szCs w:val="20"/>
                <w:color w:val="auto"/>
              </w:rPr>
            </w:pPr>
            <w:r>
              <w:rPr>
                <w:rFonts w:ascii="Arial" w:cs="Arial" w:eastAsia="Arial" w:hAnsi="Arial"/>
                <w:sz w:val="13"/>
                <w:szCs w:val="13"/>
                <w:b w:val="1"/>
                <w:bCs w:val="1"/>
                <w:color w:val="FFFFFF"/>
              </w:rPr>
              <w:t>Plan</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Plan</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Plan</w:t>
            </w:r>
          </w:p>
        </w:tc>
        <w:tc>
          <w:tcPr>
            <w:tcW w:w="840" w:type="dxa"/>
            <w:vAlign w:val="bottom"/>
            <w:gridSpan w:val="2"/>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Fair Value</w:t>
            </w: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spacing w:after="0"/>
              <w:rPr>
                <w:sz w:val="12"/>
                <w:szCs w:val="12"/>
                <w:color w:val="auto"/>
              </w:rPr>
            </w:pPr>
          </w:p>
        </w:tc>
        <w:tc>
          <w:tcPr>
            <w:tcW w:w="980" w:type="dxa"/>
            <w:vAlign w:val="bottom"/>
            <w:shd w:val="clear" w:color="auto" w:fill="666666"/>
          </w:tcPr>
          <w:p>
            <w:pPr>
              <w:spacing w:after="0"/>
              <w:rPr>
                <w:sz w:val="12"/>
                <w:szCs w:val="12"/>
                <w:color w:val="auto"/>
              </w:rPr>
            </w:pP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w w:val="97"/>
              </w:rPr>
              <w:t>Awards</w:t>
            </w:r>
          </w:p>
        </w:tc>
        <w:tc>
          <w:tcPr>
            <w:tcW w:w="14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74"/>
              <w:spacing w:after="0" w:line="149" w:lineRule="exact"/>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Awards</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jc w:val="center"/>
              <w:ind w:right="95"/>
              <w:spacing w:after="0" w:line="149" w:lineRule="exact"/>
              <w:rPr>
                <w:sz w:val="20"/>
                <w:szCs w:val="20"/>
                <w:color w:val="auto"/>
              </w:rPr>
            </w:pPr>
            <w:r>
              <w:rPr>
                <w:rFonts w:ascii="Arial" w:cs="Arial" w:eastAsia="Arial" w:hAnsi="Arial"/>
                <w:sz w:val="13"/>
                <w:szCs w:val="13"/>
                <w:b w:val="1"/>
                <w:bCs w:val="1"/>
                <w:color w:val="FFFFFF"/>
              </w:rPr>
              <w:t>of Stock</w:t>
            </w:r>
          </w:p>
        </w:tc>
      </w:tr>
      <w:tr>
        <w:trPr>
          <w:trHeight w:val="148"/>
        </w:trPr>
        <w:tc>
          <w:tcPr>
            <w:tcW w:w="2300" w:type="dxa"/>
            <w:vAlign w:val="bottom"/>
            <w:shd w:val="clear" w:color="auto" w:fill="666666"/>
          </w:tcPr>
          <w:p>
            <w:pPr>
              <w:spacing w:after="0"/>
              <w:rPr>
                <w:sz w:val="12"/>
                <w:szCs w:val="12"/>
                <w:color w:val="auto"/>
              </w:rPr>
            </w:pPr>
          </w:p>
        </w:tc>
        <w:tc>
          <w:tcPr>
            <w:tcW w:w="1940" w:type="dxa"/>
            <w:vAlign w:val="bottom"/>
            <w:shd w:val="clear" w:color="auto" w:fill="666666"/>
          </w:tcPr>
          <w:p>
            <w:pPr>
              <w:spacing w:after="0"/>
              <w:rPr>
                <w:sz w:val="12"/>
                <w:szCs w:val="12"/>
                <w:color w:val="auto"/>
              </w:rPr>
            </w:pPr>
          </w:p>
        </w:tc>
        <w:tc>
          <w:tcPr>
            <w:tcW w:w="860" w:type="dxa"/>
            <w:vAlign w:val="bottom"/>
            <w:shd w:val="clear" w:color="auto" w:fill="666666"/>
          </w:tcPr>
          <w:p>
            <w:pPr>
              <w:jc w:val="right"/>
              <w:ind w:right="214"/>
              <w:spacing w:after="0" w:line="149" w:lineRule="exact"/>
              <w:rPr>
                <w:sz w:val="20"/>
                <w:szCs w:val="20"/>
                <w:color w:val="auto"/>
              </w:rPr>
            </w:pPr>
            <w:r>
              <w:rPr>
                <w:rFonts w:ascii="Arial" w:cs="Arial" w:eastAsia="Arial" w:hAnsi="Arial"/>
                <w:sz w:val="13"/>
                <w:szCs w:val="13"/>
                <w:b w:val="1"/>
                <w:bCs w:val="1"/>
                <w:color w:val="FFFFFF"/>
              </w:rPr>
              <w:t>Grant</w:t>
            </w:r>
          </w:p>
        </w:tc>
        <w:tc>
          <w:tcPr>
            <w:tcW w:w="980" w:type="dxa"/>
            <w:vAlign w:val="bottom"/>
            <w:shd w:val="clear" w:color="auto" w:fill="666666"/>
          </w:tcPr>
          <w:p>
            <w:pPr>
              <w:jc w:val="right"/>
              <w:ind w:right="234"/>
              <w:spacing w:after="0" w:line="149" w:lineRule="exact"/>
              <w:rPr>
                <w:sz w:val="20"/>
                <w:szCs w:val="20"/>
                <w:color w:val="auto"/>
              </w:rPr>
            </w:pPr>
            <w:r>
              <w:rPr>
                <w:rFonts w:ascii="Arial" w:cs="Arial" w:eastAsia="Arial" w:hAnsi="Arial"/>
                <w:sz w:val="13"/>
                <w:szCs w:val="13"/>
                <w:b w:val="1"/>
                <w:bCs w:val="1"/>
                <w:color w:val="FFFFFF"/>
              </w:rPr>
              <w:t>Approval</w:t>
            </w:r>
          </w:p>
        </w:tc>
        <w:tc>
          <w:tcPr>
            <w:tcW w:w="660" w:type="dxa"/>
            <w:vAlign w:val="bottom"/>
            <w:shd w:val="clear" w:color="auto" w:fill="666666"/>
          </w:tcPr>
          <w:p>
            <w:pPr>
              <w:jc w:val="center"/>
              <w:ind w:right="94"/>
              <w:spacing w:after="0" w:line="149" w:lineRule="exact"/>
              <w:rPr>
                <w:sz w:val="20"/>
                <w:szCs w:val="20"/>
                <w:color w:val="auto"/>
              </w:rPr>
            </w:pPr>
            <w:r>
              <w:rPr>
                <w:rFonts w:ascii="Arial" w:cs="Arial" w:eastAsia="Arial" w:hAnsi="Arial"/>
                <w:sz w:val="13"/>
                <w:szCs w:val="13"/>
                <w:b w:val="1"/>
                <w:bCs w:val="1"/>
                <w:color w:val="FFFFFF"/>
              </w:rPr>
              <w:t>(Target)</w:t>
            </w:r>
          </w:p>
        </w:tc>
        <w:tc>
          <w:tcPr>
            <w:tcW w:w="880" w:type="dxa"/>
            <w:vAlign w:val="bottom"/>
            <w:gridSpan w:val="2"/>
            <w:shd w:val="clear" w:color="auto" w:fill="666666"/>
          </w:tcPr>
          <w:p>
            <w:pPr>
              <w:ind w:left="80"/>
              <w:spacing w:after="0" w:line="149" w:lineRule="exact"/>
              <w:rPr>
                <w:sz w:val="20"/>
                <w:szCs w:val="20"/>
                <w:color w:val="auto"/>
              </w:rPr>
            </w:pPr>
            <w:r>
              <w:rPr>
                <w:rFonts w:ascii="Arial" w:cs="Arial" w:eastAsia="Arial" w:hAnsi="Arial"/>
                <w:sz w:val="13"/>
                <w:szCs w:val="13"/>
                <w:b w:val="1"/>
                <w:bCs w:val="1"/>
                <w:color w:val="FFFFFF"/>
              </w:rPr>
              <w:t>(Maximum)</w:t>
            </w:r>
          </w:p>
        </w:tc>
        <w:tc>
          <w:tcPr>
            <w:tcW w:w="78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(Target)</w:t>
            </w:r>
          </w:p>
        </w:tc>
        <w:tc>
          <w:tcPr>
            <w:tcW w:w="840" w:type="dxa"/>
            <w:vAlign w:val="bottom"/>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(Maximum)</w:t>
            </w:r>
          </w:p>
        </w:tc>
        <w:tc>
          <w:tcPr>
            <w:tcW w:w="160" w:type="dxa"/>
            <w:vAlign w:val="bottom"/>
            <w:shd w:val="clear" w:color="auto" w:fill="666666"/>
          </w:tcPr>
          <w:p>
            <w:pPr>
              <w:spacing w:after="0"/>
              <w:rPr>
                <w:sz w:val="12"/>
                <w:szCs w:val="12"/>
                <w:color w:val="auto"/>
              </w:rPr>
            </w:pPr>
          </w:p>
        </w:tc>
        <w:tc>
          <w:tcPr>
            <w:tcW w:w="680" w:type="dxa"/>
            <w:vAlign w:val="bottom"/>
            <w:shd w:val="clear" w:color="auto" w:fill="666666"/>
          </w:tcPr>
          <w:p>
            <w:pPr>
              <w:jc w:val="center"/>
              <w:ind w:right="95"/>
              <w:spacing w:after="0" w:line="149" w:lineRule="exact"/>
              <w:rPr>
                <w:sz w:val="20"/>
                <w:szCs w:val="20"/>
                <w:color w:val="auto"/>
              </w:rPr>
            </w:pPr>
            <w:r>
              <w:rPr>
                <w:rFonts w:ascii="Arial" w:cs="Arial" w:eastAsia="Arial" w:hAnsi="Arial"/>
                <w:sz w:val="13"/>
                <w:szCs w:val="13"/>
                <w:b w:val="1"/>
                <w:bCs w:val="1"/>
                <w:color w:val="FFFFFF"/>
              </w:rPr>
              <w:t>Awards</w:t>
            </w:r>
          </w:p>
        </w:tc>
      </w:tr>
      <w:tr>
        <w:trPr>
          <w:trHeight w:val="168"/>
        </w:trPr>
        <w:tc>
          <w:tcPr>
            <w:tcW w:w="2300" w:type="dxa"/>
            <w:vAlign w:val="bottom"/>
            <w:shd w:val="clear" w:color="auto" w:fill="666666"/>
          </w:tcPr>
          <w:p>
            <w:pPr>
              <w:ind w:left="80"/>
              <w:spacing w:after="0"/>
              <w:rPr>
                <w:sz w:val="20"/>
                <w:szCs w:val="20"/>
                <w:color w:val="auto"/>
              </w:rPr>
            </w:pPr>
            <w:r>
              <w:rPr>
                <w:rFonts w:ascii="Arial" w:cs="Arial" w:eastAsia="Arial" w:hAnsi="Arial"/>
                <w:sz w:val="13"/>
                <w:szCs w:val="13"/>
                <w:b w:val="1"/>
                <w:bCs w:val="1"/>
                <w:color w:val="FFFFFF"/>
              </w:rPr>
              <w:t>Name</w:t>
            </w:r>
          </w:p>
        </w:tc>
        <w:tc>
          <w:tcPr>
            <w:tcW w:w="1940" w:type="dxa"/>
            <w:vAlign w:val="bottom"/>
            <w:shd w:val="clear" w:color="auto" w:fill="666666"/>
          </w:tcPr>
          <w:p>
            <w:pPr>
              <w:ind w:left="660"/>
              <w:spacing w:after="0"/>
              <w:rPr>
                <w:sz w:val="20"/>
                <w:szCs w:val="20"/>
                <w:color w:val="auto"/>
              </w:rPr>
            </w:pPr>
            <w:r>
              <w:rPr>
                <w:rFonts w:ascii="Arial" w:cs="Arial" w:eastAsia="Arial" w:hAnsi="Arial"/>
                <w:sz w:val="13"/>
                <w:szCs w:val="13"/>
                <w:b w:val="1"/>
                <w:bCs w:val="1"/>
                <w:color w:val="FFFFFF"/>
              </w:rPr>
              <w:t>Grant Type</w:t>
            </w:r>
          </w:p>
        </w:tc>
        <w:tc>
          <w:tcPr>
            <w:tcW w:w="860" w:type="dxa"/>
            <w:vAlign w:val="bottom"/>
            <w:shd w:val="clear" w:color="auto" w:fill="666666"/>
          </w:tcPr>
          <w:p>
            <w:pPr>
              <w:jc w:val="right"/>
              <w:ind w:right="254"/>
              <w:spacing w:after="0"/>
              <w:rPr>
                <w:sz w:val="20"/>
                <w:szCs w:val="20"/>
                <w:color w:val="auto"/>
              </w:rPr>
            </w:pPr>
            <w:r>
              <w:rPr>
                <w:rFonts w:ascii="Arial" w:cs="Arial" w:eastAsia="Arial" w:hAnsi="Arial"/>
                <w:sz w:val="13"/>
                <w:szCs w:val="13"/>
                <w:b w:val="1"/>
                <w:bCs w:val="1"/>
                <w:color w:val="FFFFFF"/>
              </w:rPr>
              <w:t>Date</w:t>
            </w:r>
          </w:p>
        </w:tc>
        <w:tc>
          <w:tcPr>
            <w:tcW w:w="980" w:type="dxa"/>
            <w:vAlign w:val="bottom"/>
            <w:shd w:val="clear" w:color="auto" w:fill="666666"/>
          </w:tcPr>
          <w:p>
            <w:pPr>
              <w:jc w:val="right"/>
              <w:ind w:right="314"/>
              <w:spacing w:after="0" w:line="168" w:lineRule="exact"/>
              <w:rPr>
                <w:sz w:val="20"/>
                <w:szCs w:val="20"/>
                <w:color w:val="auto"/>
              </w:rPr>
            </w:pPr>
            <w:r>
              <w:rPr>
                <w:rFonts w:ascii="Arial" w:cs="Arial" w:eastAsia="Arial" w:hAnsi="Arial"/>
                <w:sz w:val="13"/>
                <w:szCs w:val="13"/>
                <w:b w:val="1"/>
                <w:bCs w:val="1"/>
                <w:color w:val="FFFFFF"/>
              </w:rPr>
              <w:t>Date</w:t>
            </w:r>
            <w:r>
              <w:rPr>
                <w:rFonts w:ascii="Arial" w:cs="Arial" w:eastAsia="Arial" w:hAnsi="Arial"/>
                <w:sz w:val="19"/>
                <w:szCs w:val="19"/>
                <w:b w:val="1"/>
                <w:bCs w:val="1"/>
                <w:color w:val="FFFFFF"/>
                <w:vertAlign w:val="superscript"/>
              </w:rPr>
              <w:t>(1)</w:t>
            </w:r>
          </w:p>
        </w:tc>
        <w:tc>
          <w:tcPr>
            <w:tcW w:w="660" w:type="dxa"/>
            <w:vAlign w:val="bottom"/>
            <w:shd w:val="clear" w:color="auto" w:fill="666666"/>
          </w:tcPr>
          <w:p>
            <w:pPr>
              <w:jc w:val="center"/>
              <w:ind w:right="94"/>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666666"/>
          </w:tcPr>
          <w:p>
            <w:pPr>
              <w:spacing w:after="0"/>
              <w:rPr>
                <w:sz w:val="14"/>
                <w:szCs w:val="14"/>
                <w:color w:val="auto"/>
              </w:rPr>
            </w:pPr>
          </w:p>
        </w:tc>
        <w:tc>
          <w:tcPr>
            <w:tcW w:w="740" w:type="dxa"/>
            <w:vAlign w:val="bottom"/>
            <w:shd w:val="clear" w:color="auto" w:fill="666666"/>
          </w:tcPr>
          <w:p>
            <w:pPr>
              <w:jc w:val="center"/>
              <w:ind w:right="74"/>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666666"/>
          </w:tcPr>
          <w:p>
            <w:pPr>
              <w:spacing w:after="0"/>
              <w:rPr>
                <w:sz w:val="14"/>
                <w:szCs w:val="14"/>
                <w:color w:val="auto"/>
              </w:rPr>
            </w:pPr>
          </w:p>
        </w:tc>
        <w:tc>
          <w:tcPr>
            <w:tcW w:w="680" w:type="dxa"/>
            <w:vAlign w:val="bottom"/>
            <w:shd w:val="clear" w:color="auto" w:fill="666666"/>
          </w:tcPr>
          <w:p>
            <w:pPr>
              <w:jc w:val="center"/>
              <w:ind w:right="95"/>
              <w:spacing w:after="0" w:line="168"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8"/>
                <w:szCs w:val="8"/>
                <w:b w:val="1"/>
                <w:bCs w:val="1"/>
                <w:color w:val="FFFFFF"/>
              </w:rPr>
              <w:t>(4)</w:t>
            </w:r>
          </w:p>
        </w:tc>
      </w:tr>
      <w:tr>
        <w:trPr>
          <w:trHeight w:val="148"/>
        </w:trPr>
        <w:tc>
          <w:tcPr>
            <w:tcW w:w="2300" w:type="dxa"/>
            <w:vAlign w:val="bottom"/>
            <w:shd w:val="clear" w:color="auto" w:fill="E5E5E5"/>
          </w:tcPr>
          <w:p>
            <w:pPr>
              <w:ind w:left="80"/>
              <w:spacing w:after="0" w:line="149" w:lineRule="exact"/>
              <w:rPr>
                <w:sz w:val="20"/>
                <w:szCs w:val="20"/>
                <w:color w:val="auto"/>
              </w:rPr>
            </w:pPr>
            <w:r>
              <w:rPr>
                <w:rFonts w:ascii="Arial" w:cs="Arial" w:eastAsia="Arial" w:hAnsi="Arial"/>
                <w:sz w:val="13"/>
                <w:szCs w:val="13"/>
                <w:color w:val="auto"/>
              </w:rPr>
              <w:t>Sean Menke</w:t>
            </w:r>
          </w:p>
        </w:tc>
        <w:tc>
          <w:tcPr>
            <w:tcW w:w="1940" w:type="dxa"/>
            <w:vAlign w:val="bottom"/>
            <w:shd w:val="clear" w:color="auto" w:fill="E5E5E5"/>
          </w:tcPr>
          <w:p>
            <w:pPr>
              <w:ind w:left="20"/>
              <w:spacing w:after="0" w:line="149"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shd w:val="clear" w:color="auto" w:fill="E5E5E5"/>
          </w:tcPr>
          <w:p>
            <w:pPr>
              <w:spacing w:after="0"/>
              <w:rPr>
                <w:sz w:val="12"/>
                <w:szCs w:val="12"/>
                <w:color w:val="auto"/>
              </w:rPr>
            </w:pPr>
          </w:p>
        </w:tc>
        <w:tc>
          <w:tcPr>
            <w:tcW w:w="9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w w:val="96"/>
              </w:rPr>
              <w:t>1,500,000</w:t>
            </w:r>
          </w:p>
        </w:tc>
        <w:tc>
          <w:tcPr>
            <w:tcW w:w="140" w:type="dxa"/>
            <w:vAlign w:val="bottom"/>
            <w:shd w:val="clear" w:color="auto" w:fill="E5E5E5"/>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2,250,000</w:t>
            </w:r>
          </w:p>
        </w:tc>
        <w:tc>
          <w:tcPr>
            <w:tcW w:w="7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Performance-based RSU</w:t>
            </w:r>
            <w:r>
              <w:rPr>
                <w:rFonts w:ascii="Arial" w:cs="Arial" w:eastAsia="Arial" w:hAnsi="Arial"/>
                <w:sz w:val="18"/>
                <w:szCs w:val="18"/>
                <w:color w:val="auto"/>
                <w:vertAlign w:val="superscript"/>
              </w:rPr>
              <w:t>(3)</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364,964</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729,928</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w w:val="96"/>
              </w:rPr>
              <w:t>3,737,231</w:t>
            </w: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364,964</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364,964</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w w:val="96"/>
              </w:rPr>
              <w:t>3,500,005</w:t>
            </w:r>
          </w:p>
        </w:tc>
      </w:tr>
      <w:tr>
        <w:trPr>
          <w:trHeight w:val="150"/>
        </w:trPr>
        <w:tc>
          <w:tcPr>
            <w:tcW w:w="2300" w:type="dxa"/>
            <w:vAlign w:val="bottom"/>
          </w:tcPr>
          <w:p>
            <w:pPr>
              <w:ind w:left="80"/>
              <w:spacing w:after="0"/>
              <w:rPr>
                <w:sz w:val="20"/>
                <w:szCs w:val="20"/>
                <w:color w:val="auto"/>
              </w:rPr>
            </w:pPr>
            <w:r>
              <w:rPr>
                <w:rFonts w:ascii="Arial" w:cs="Arial" w:eastAsia="Arial" w:hAnsi="Arial"/>
                <w:sz w:val="13"/>
                <w:szCs w:val="13"/>
                <w:color w:val="auto"/>
              </w:rPr>
              <w:t>Michael Randolfi</w:t>
            </w:r>
          </w:p>
        </w:tc>
        <w:tc>
          <w:tcPr>
            <w:tcW w:w="1940" w:type="dxa"/>
            <w:vAlign w:val="bottom"/>
          </w:tcPr>
          <w:p>
            <w:pPr>
              <w:ind w:left="20"/>
              <w:spacing w:after="0" w:line="150"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211,562</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317,343</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300" w:type="dxa"/>
            <w:vAlign w:val="bottom"/>
          </w:tcPr>
          <w:p>
            <w:pPr>
              <w:spacing w:after="0"/>
              <w:rPr>
                <w:sz w:val="12"/>
                <w:szCs w:val="12"/>
                <w:color w:val="auto"/>
              </w:rPr>
            </w:pPr>
          </w:p>
        </w:tc>
        <w:tc>
          <w:tcPr>
            <w:tcW w:w="1940" w:type="dxa"/>
            <w:vAlign w:val="bottom"/>
          </w:tcPr>
          <w:p>
            <w:pPr>
              <w:ind w:left="20"/>
              <w:spacing w:after="0" w:line="149" w:lineRule="exact"/>
              <w:rPr>
                <w:sz w:val="20"/>
                <w:szCs w:val="20"/>
                <w:color w:val="auto"/>
              </w:rPr>
            </w:pPr>
            <w:r>
              <w:rPr>
                <w:rFonts w:ascii="Arial" w:cs="Arial" w:eastAsia="Arial" w:hAnsi="Arial"/>
                <w:sz w:val="12"/>
                <w:szCs w:val="12"/>
                <w:color w:val="auto"/>
              </w:rPr>
              <w:t>Performance-based RSU</w:t>
            </w:r>
            <w:r>
              <w:rPr>
                <w:rFonts w:ascii="Arial" w:cs="Arial" w:eastAsia="Arial" w:hAnsi="Arial"/>
                <w:sz w:val="17"/>
                <w:szCs w:val="17"/>
                <w:color w:val="auto"/>
                <w:vertAlign w:val="superscript"/>
              </w:rPr>
              <w:t>(3)</w:t>
            </w:r>
          </w:p>
        </w:tc>
        <w:tc>
          <w:tcPr>
            <w:tcW w:w="860" w:type="dxa"/>
            <w:vAlign w:val="bottom"/>
          </w:tcPr>
          <w:p>
            <w:pPr>
              <w:jc w:val="right"/>
              <w:ind w:right="34"/>
              <w:spacing w:after="0" w:line="149" w:lineRule="exact"/>
              <w:rPr>
                <w:sz w:val="20"/>
                <w:szCs w:val="20"/>
                <w:color w:val="auto"/>
              </w:rPr>
            </w:pPr>
            <w:r>
              <w:rPr>
                <w:rFonts w:ascii="Arial" w:cs="Arial" w:eastAsia="Arial" w:hAnsi="Arial"/>
                <w:sz w:val="13"/>
                <w:szCs w:val="13"/>
                <w:color w:val="auto"/>
              </w:rPr>
              <w:t>09/15/2022</w:t>
            </w:r>
          </w:p>
        </w:tc>
        <w:tc>
          <w:tcPr>
            <w:tcW w:w="980" w:type="dxa"/>
            <w:vAlign w:val="bottom"/>
          </w:tcPr>
          <w:p>
            <w:pPr>
              <w:jc w:val="right"/>
              <w:ind w:right="174"/>
              <w:spacing w:after="0" w:line="149" w:lineRule="exact"/>
              <w:rPr>
                <w:sz w:val="20"/>
                <w:szCs w:val="20"/>
                <w:color w:val="auto"/>
              </w:rPr>
            </w:pPr>
            <w:r>
              <w:rPr>
                <w:rFonts w:ascii="Arial" w:cs="Arial" w:eastAsia="Arial" w:hAnsi="Arial"/>
                <w:sz w:val="13"/>
                <w:szCs w:val="13"/>
                <w:color w:val="auto"/>
              </w:rPr>
              <w:t>07/27/2022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3"/>
                <w:szCs w:val="13"/>
                <w:color w:val="auto"/>
              </w:rPr>
              <w:t>109,170</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218,340</w:t>
            </w:r>
          </w:p>
        </w:tc>
        <w:tc>
          <w:tcPr>
            <w:tcW w:w="1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line="149" w:lineRule="exact"/>
              <w:rPr>
                <w:sz w:val="20"/>
                <w:szCs w:val="20"/>
                <w:color w:val="auto"/>
              </w:rPr>
            </w:pPr>
            <w:r>
              <w:rPr>
                <w:rFonts w:ascii="Arial" w:cs="Arial" w:eastAsia="Arial" w:hAnsi="Arial"/>
                <w:sz w:val="13"/>
                <w:szCs w:val="13"/>
                <w:color w:val="auto"/>
              </w:rPr>
              <w:t>790,391</w:t>
            </w:r>
          </w:p>
        </w:tc>
      </w:tr>
      <w:tr>
        <w:trPr>
          <w:trHeight w:val="159"/>
        </w:trPr>
        <w:tc>
          <w:tcPr>
            <w:tcW w:w="2300" w:type="dxa"/>
            <w:vAlign w:val="bottom"/>
          </w:tcPr>
          <w:p>
            <w:pPr>
              <w:spacing w:after="0"/>
              <w:rPr>
                <w:sz w:val="13"/>
                <w:szCs w:val="13"/>
                <w:color w:val="auto"/>
              </w:rPr>
            </w:pPr>
          </w:p>
        </w:tc>
        <w:tc>
          <w:tcPr>
            <w:tcW w:w="1940" w:type="dxa"/>
            <w:vAlign w:val="bottom"/>
          </w:tcPr>
          <w:p>
            <w:pPr>
              <w:ind w:left="20"/>
              <w:spacing w:after="0" w:line="159"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09/15/2022</w:t>
            </w:r>
          </w:p>
        </w:tc>
        <w:tc>
          <w:tcPr>
            <w:tcW w:w="980" w:type="dxa"/>
            <w:vAlign w:val="bottom"/>
          </w:tcPr>
          <w:p>
            <w:pPr>
              <w:jc w:val="right"/>
              <w:ind w:right="174"/>
              <w:spacing w:after="0"/>
              <w:rPr>
                <w:sz w:val="20"/>
                <w:szCs w:val="20"/>
                <w:color w:val="auto"/>
              </w:rPr>
            </w:pPr>
            <w:r>
              <w:rPr>
                <w:rFonts w:ascii="Arial" w:cs="Arial" w:eastAsia="Arial" w:hAnsi="Arial"/>
                <w:sz w:val="13"/>
                <w:szCs w:val="13"/>
                <w:color w:val="auto"/>
              </w:rPr>
              <w:t>07/27/2022</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109,170</w:t>
            </w:r>
          </w:p>
        </w:tc>
        <w:tc>
          <w:tcPr>
            <w:tcW w:w="840" w:type="dxa"/>
            <w:vAlign w:val="bottom"/>
          </w:tcPr>
          <w:p>
            <w:pPr>
              <w:jc w:val="right"/>
              <w:spacing w:after="0"/>
              <w:rPr>
                <w:sz w:val="20"/>
                <w:szCs w:val="20"/>
                <w:color w:val="auto"/>
              </w:rPr>
            </w:pPr>
            <w:r>
              <w:rPr>
                <w:rFonts w:ascii="Arial" w:cs="Arial" w:eastAsia="Arial" w:hAnsi="Arial"/>
                <w:sz w:val="13"/>
                <w:szCs w:val="13"/>
                <w:color w:val="auto"/>
              </w:rPr>
              <w:t>109,170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749,998</w:t>
            </w:r>
          </w:p>
        </w:tc>
      </w:tr>
      <w:tr>
        <w:trPr>
          <w:trHeight w:val="148"/>
        </w:trPr>
        <w:tc>
          <w:tcPr>
            <w:tcW w:w="2300" w:type="dxa"/>
            <w:vAlign w:val="bottom"/>
            <w:shd w:val="clear" w:color="auto" w:fill="E5E5E5"/>
          </w:tcPr>
          <w:p>
            <w:pPr>
              <w:ind w:left="80"/>
              <w:spacing w:after="0" w:line="149" w:lineRule="exact"/>
              <w:rPr>
                <w:sz w:val="20"/>
                <w:szCs w:val="20"/>
                <w:color w:val="auto"/>
              </w:rPr>
            </w:pPr>
            <w:r>
              <w:rPr>
                <w:rFonts w:ascii="Arial" w:cs="Arial" w:eastAsia="Arial" w:hAnsi="Arial"/>
                <w:sz w:val="13"/>
                <w:szCs w:val="13"/>
                <w:color w:val="auto"/>
              </w:rPr>
              <w:t>Kurt Ekert</w:t>
            </w:r>
          </w:p>
        </w:tc>
        <w:tc>
          <w:tcPr>
            <w:tcW w:w="1940" w:type="dxa"/>
            <w:vAlign w:val="bottom"/>
            <w:shd w:val="clear" w:color="auto" w:fill="E5E5E5"/>
          </w:tcPr>
          <w:p>
            <w:pPr>
              <w:ind w:left="20"/>
              <w:spacing w:after="0" w:line="149"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shd w:val="clear" w:color="auto" w:fill="E5E5E5"/>
          </w:tcPr>
          <w:p>
            <w:pPr>
              <w:spacing w:after="0"/>
              <w:rPr>
                <w:sz w:val="12"/>
                <w:szCs w:val="12"/>
                <w:color w:val="auto"/>
              </w:rPr>
            </w:pPr>
          </w:p>
        </w:tc>
        <w:tc>
          <w:tcPr>
            <w:tcW w:w="9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932,363</w:t>
            </w:r>
          </w:p>
        </w:tc>
        <w:tc>
          <w:tcPr>
            <w:tcW w:w="140" w:type="dxa"/>
            <w:vAlign w:val="bottom"/>
            <w:shd w:val="clear" w:color="auto" w:fill="E5E5E5"/>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1,398,545</w:t>
            </w:r>
          </w:p>
        </w:tc>
        <w:tc>
          <w:tcPr>
            <w:tcW w:w="7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(6)</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01/14/2022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12/13/2021</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103,413</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103,413</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w w:val="96"/>
              </w:rPr>
              <w:t>1,000,004</w:t>
            </w: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Performance-based RSU</w:t>
            </w:r>
            <w:r>
              <w:rPr>
                <w:rFonts w:ascii="Arial" w:cs="Arial" w:eastAsia="Arial" w:hAnsi="Arial"/>
                <w:sz w:val="18"/>
                <w:szCs w:val="18"/>
                <w:color w:val="auto"/>
                <w:vertAlign w:val="superscript"/>
              </w:rPr>
              <w:t>(3)</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156,413</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312,826</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w w:val="96"/>
              </w:rPr>
              <w:t>1,601,669</w:t>
            </w: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156,413</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156,413</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w w:val="96"/>
              </w:rPr>
              <w:t>1,500,001</w:t>
            </w:r>
          </w:p>
        </w:tc>
      </w:tr>
      <w:tr>
        <w:trPr>
          <w:trHeight w:val="150"/>
        </w:trPr>
        <w:tc>
          <w:tcPr>
            <w:tcW w:w="2300" w:type="dxa"/>
            <w:vAlign w:val="bottom"/>
          </w:tcPr>
          <w:p>
            <w:pPr>
              <w:ind w:left="80"/>
              <w:spacing w:after="0"/>
              <w:rPr>
                <w:sz w:val="20"/>
                <w:szCs w:val="20"/>
                <w:color w:val="auto"/>
              </w:rPr>
            </w:pPr>
            <w:r>
              <w:rPr>
                <w:rFonts w:ascii="Arial" w:cs="Arial" w:eastAsia="Arial" w:hAnsi="Arial"/>
                <w:sz w:val="13"/>
                <w:szCs w:val="13"/>
                <w:color w:val="auto"/>
              </w:rPr>
              <w:t>David Moore</w:t>
            </w:r>
          </w:p>
        </w:tc>
        <w:tc>
          <w:tcPr>
            <w:tcW w:w="1940" w:type="dxa"/>
            <w:vAlign w:val="bottom"/>
          </w:tcPr>
          <w:p>
            <w:pPr>
              <w:ind w:left="20"/>
              <w:spacing w:after="0" w:line="150"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470,365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705,548</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300" w:type="dxa"/>
            <w:vAlign w:val="bottom"/>
          </w:tcPr>
          <w:p>
            <w:pPr>
              <w:spacing w:after="0"/>
              <w:rPr>
                <w:sz w:val="12"/>
                <w:szCs w:val="12"/>
                <w:color w:val="auto"/>
              </w:rPr>
            </w:pPr>
          </w:p>
        </w:tc>
        <w:tc>
          <w:tcPr>
            <w:tcW w:w="1940" w:type="dxa"/>
            <w:vAlign w:val="bottom"/>
          </w:tcPr>
          <w:p>
            <w:pPr>
              <w:ind w:left="20"/>
              <w:spacing w:after="0" w:line="149" w:lineRule="exact"/>
              <w:rPr>
                <w:sz w:val="20"/>
                <w:szCs w:val="20"/>
                <w:color w:val="auto"/>
              </w:rPr>
            </w:pPr>
            <w:r>
              <w:rPr>
                <w:rFonts w:ascii="Arial" w:cs="Arial" w:eastAsia="Arial" w:hAnsi="Arial"/>
                <w:sz w:val="12"/>
                <w:szCs w:val="12"/>
                <w:color w:val="auto"/>
              </w:rPr>
              <w:t>Performance-based RSU</w:t>
            </w:r>
            <w:r>
              <w:rPr>
                <w:rFonts w:ascii="Arial" w:cs="Arial" w:eastAsia="Arial" w:hAnsi="Arial"/>
                <w:sz w:val="17"/>
                <w:szCs w:val="17"/>
                <w:color w:val="auto"/>
                <w:vertAlign w:val="superscript"/>
              </w:rPr>
              <w:t>(3)</w:t>
            </w: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3"/>
                <w:szCs w:val="13"/>
                <w:color w:val="auto"/>
              </w:rPr>
              <w:t>78,206</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156,412</w:t>
            </w:r>
          </w:p>
        </w:tc>
        <w:tc>
          <w:tcPr>
            <w:tcW w:w="1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line="149" w:lineRule="exact"/>
              <w:rPr>
                <w:sz w:val="20"/>
                <w:szCs w:val="20"/>
                <w:color w:val="auto"/>
              </w:rPr>
            </w:pPr>
            <w:r>
              <w:rPr>
                <w:rFonts w:ascii="Arial" w:cs="Arial" w:eastAsia="Arial" w:hAnsi="Arial"/>
                <w:sz w:val="13"/>
                <w:szCs w:val="13"/>
                <w:color w:val="auto"/>
              </w:rPr>
              <w:t>800,829</w:t>
            </w:r>
          </w:p>
        </w:tc>
      </w:tr>
      <w:tr>
        <w:trPr>
          <w:trHeight w:val="159"/>
        </w:trPr>
        <w:tc>
          <w:tcPr>
            <w:tcW w:w="2300" w:type="dxa"/>
            <w:vAlign w:val="bottom"/>
          </w:tcPr>
          <w:p>
            <w:pPr>
              <w:spacing w:after="0"/>
              <w:rPr>
                <w:sz w:val="13"/>
                <w:szCs w:val="13"/>
                <w:color w:val="auto"/>
              </w:rPr>
            </w:pPr>
          </w:p>
        </w:tc>
        <w:tc>
          <w:tcPr>
            <w:tcW w:w="1940" w:type="dxa"/>
            <w:vAlign w:val="bottom"/>
          </w:tcPr>
          <w:p>
            <w:pPr>
              <w:ind w:left="20"/>
              <w:spacing w:after="0" w:line="159"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10/14/2022</w:t>
            </w:r>
          </w:p>
        </w:tc>
        <w:tc>
          <w:tcPr>
            <w:tcW w:w="980" w:type="dxa"/>
            <w:vAlign w:val="bottom"/>
          </w:tcPr>
          <w:p>
            <w:pPr>
              <w:jc w:val="right"/>
              <w:ind w:right="174"/>
              <w:spacing w:after="0"/>
              <w:rPr>
                <w:sz w:val="20"/>
                <w:szCs w:val="20"/>
                <w:color w:val="auto"/>
              </w:rPr>
            </w:pPr>
            <w:r>
              <w:rPr>
                <w:rFonts w:ascii="Arial" w:cs="Arial" w:eastAsia="Arial" w:hAnsi="Arial"/>
                <w:sz w:val="13"/>
                <w:szCs w:val="13"/>
                <w:color w:val="auto"/>
              </w:rPr>
              <w:t>08/01/2022</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78,206</w:t>
            </w:r>
          </w:p>
        </w:tc>
        <w:tc>
          <w:tcPr>
            <w:tcW w:w="840" w:type="dxa"/>
            <w:vAlign w:val="bottom"/>
          </w:tcPr>
          <w:p>
            <w:pPr>
              <w:jc w:val="right"/>
              <w:spacing w:after="0"/>
              <w:rPr>
                <w:sz w:val="20"/>
                <w:szCs w:val="20"/>
                <w:color w:val="auto"/>
              </w:rPr>
            </w:pPr>
            <w:r>
              <w:rPr>
                <w:rFonts w:ascii="Arial" w:cs="Arial" w:eastAsia="Arial" w:hAnsi="Arial"/>
                <w:sz w:val="13"/>
                <w:szCs w:val="13"/>
                <w:color w:val="auto"/>
              </w:rPr>
              <w:t>78,206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749,996</w:t>
            </w:r>
          </w:p>
        </w:tc>
      </w:tr>
      <w:tr>
        <w:trPr>
          <w:trHeight w:val="148"/>
        </w:trPr>
        <w:tc>
          <w:tcPr>
            <w:tcW w:w="2300" w:type="dxa"/>
            <w:vAlign w:val="bottom"/>
            <w:shd w:val="clear" w:color="auto" w:fill="E5E5E5"/>
          </w:tcPr>
          <w:p>
            <w:pPr>
              <w:ind w:left="80"/>
              <w:spacing w:after="0" w:line="149" w:lineRule="exact"/>
              <w:rPr>
                <w:sz w:val="20"/>
                <w:szCs w:val="20"/>
                <w:color w:val="auto"/>
              </w:rPr>
            </w:pPr>
            <w:r>
              <w:rPr>
                <w:rFonts w:ascii="Arial" w:cs="Arial" w:eastAsia="Arial" w:hAnsi="Arial"/>
                <w:sz w:val="13"/>
                <w:szCs w:val="13"/>
                <w:color w:val="auto"/>
              </w:rPr>
              <w:t>Scott Wilson</w:t>
            </w:r>
          </w:p>
        </w:tc>
        <w:tc>
          <w:tcPr>
            <w:tcW w:w="1940" w:type="dxa"/>
            <w:vAlign w:val="bottom"/>
            <w:shd w:val="clear" w:color="auto" w:fill="E5E5E5"/>
          </w:tcPr>
          <w:p>
            <w:pPr>
              <w:ind w:left="20"/>
              <w:spacing w:after="0" w:line="149"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shd w:val="clear" w:color="auto" w:fill="E5E5E5"/>
          </w:tcPr>
          <w:p>
            <w:pPr>
              <w:spacing w:after="0"/>
              <w:rPr>
                <w:sz w:val="12"/>
                <w:szCs w:val="12"/>
                <w:color w:val="auto"/>
              </w:rPr>
            </w:pPr>
          </w:p>
        </w:tc>
        <w:tc>
          <w:tcPr>
            <w:tcW w:w="9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488,115</w:t>
            </w:r>
          </w:p>
        </w:tc>
        <w:tc>
          <w:tcPr>
            <w:tcW w:w="140" w:type="dxa"/>
            <w:vAlign w:val="bottom"/>
            <w:shd w:val="clear" w:color="auto" w:fill="E5E5E5"/>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732,173</w:t>
            </w:r>
          </w:p>
        </w:tc>
        <w:tc>
          <w:tcPr>
            <w:tcW w:w="7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Performance-based RSU</w:t>
            </w:r>
            <w:r>
              <w:rPr>
                <w:rFonts w:ascii="Arial" w:cs="Arial" w:eastAsia="Arial" w:hAnsi="Arial"/>
                <w:sz w:val="18"/>
                <w:szCs w:val="18"/>
                <w:color w:val="auto"/>
                <w:vertAlign w:val="superscript"/>
              </w:rPr>
              <w:t>(3)</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78,206</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156,412</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800,829</w:t>
            </w: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78,206</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78,206</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749,996</w:t>
            </w:r>
          </w:p>
        </w:tc>
      </w:tr>
      <w:tr>
        <w:trPr>
          <w:trHeight w:val="150"/>
        </w:trPr>
        <w:tc>
          <w:tcPr>
            <w:tcW w:w="2300" w:type="dxa"/>
            <w:vAlign w:val="bottom"/>
          </w:tcPr>
          <w:p>
            <w:pPr>
              <w:ind w:left="80"/>
              <w:spacing w:after="0"/>
              <w:rPr>
                <w:sz w:val="20"/>
                <w:szCs w:val="20"/>
                <w:color w:val="auto"/>
              </w:rPr>
            </w:pPr>
            <w:r>
              <w:rPr>
                <w:rFonts w:ascii="Arial" w:cs="Arial" w:eastAsia="Arial" w:hAnsi="Arial"/>
                <w:sz w:val="13"/>
                <w:szCs w:val="13"/>
                <w:color w:val="auto"/>
              </w:rPr>
              <w:t>Douglas Barnett</w:t>
            </w:r>
          </w:p>
        </w:tc>
        <w:tc>
          <w:tcPr>
            <w:tcW w:w="1940" w:type="dxa"/>
            <w:vAlign w:val="bottom"/>
          </w:tcPr>
          <w:p>
            <w:pPr>
              <w:ind w:left="20"/>
              <w:spacing w:after="0" w:line="150"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736,038</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1,104,057</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300" w:type="dxa"/>
            <w:vAlign w:val="bottom"/>
          </w:tcPr>
          <w:p>
            <w:pPr>
              <w:spacing w:after="0"/>
              <w:rPr>
                <w:sz w:val="12"/>
                <w:szCs w:val="12"/>
                <w:color w:val="auto"/>
              </w:rPr>
            </w:pPr>
          </w:p>
        </w:tc>
        <w:tc>
          <w:tcPr>
            <w:tcW w:w="1940" w:type="dxa"/>
            <w:vAlign w:val="bottom"/>
          </w:tcPr>
          <w:p>
            <w:pPr>
              <w:ind w:left="20"/>
              <w:spacing w:after="0" w:line="149" w:lineRule="exact"/>
              <w:rPr>
                <w:sz w:val="20"/>
                <w:szCs w:val="20"/>
                <w:color w:val="auto"/>
              </w:rPr>
            </w:pPr>
            <w:r>
              <w:rPr>
                <w:rFonts w:ascii="Arial" w:cs="Arial" w:eastAsia="Arial" w:hAnsi="Arial"/>
                <w:sz w:val="12"/>
                <w:szCs w:val="12"/>
                <w:color w:val="auto"/>
              </w:rPr>
              <w:t>Performance-based RSU</w:t>
            </w:r>
            <w:r>
              <w:rPr>
                <w:rFonts w:ascii="Arial" w:cs="Arial" w:eastAsia="Arial" w:hAnsi="Arial"/>
                <w:sz w:val="17"/>
                <w:szCs w:val="17"/>
                <w:color w:val="auto"/>
                <w:vertAlign w:val="superscript"/>
              </w:rPr>
              <w:t>(3)</w:t>
            </w:r>
          </w:p>
        </w:tc>
        <w:tc>
          <w:tcPr>
            <w:tcW w:w="860" w:type="dxa"/>
            <w:vAlign w:val="bottom"/>
          </w:tcPr>
          <w:p>
            <w:pPr>
              <w:jc w:val="right"/>
              <w:ind w:right="34"/>
              <w:spacing w:after="0" w:line="149" w:lineRule="exact"/>
              <w:rPr>
                <w:sz w:val="20"/>
                <w:szCs w:val="20"/>
                <w:color w:val="auto"/>
              </w:rPr>
            </w:pPr>
            <w:r>
              <w:rPr>
                <w:rFonts w:ascii="Arial" w:cs="Arial" w:eastAsia="Arial" w:hAnsi="Arial"/>
                <w:sz w:val="13"/>
                <w:szCs w:val="13"/>
                <w:color w:val="auto"/>
              </w:rPr>
              <w:t>03/15/2022</w:t>
            </w:r>
          </w:p>
        </w:tc>
        <w:tc>
          <w:tcPr>
            <w:tcW w:w="980" w:type="dxa"/>
            <w:vAlign w:val="bottom"/>
          </w:tcPr>
          <w:p>
            <w:pPr>
              <w:jc w:val="right"/>
              <w:ind w:right="174"/>
              <w:spacing w:after="0" w:line="149" w:lineRule="exact"/>
              <w:rPr>
                <w:sz w:val="20"/>
                <w:szCs w:val="20"/>
                <w:color w:val="auto"/>
              </w:rPr>
            </w:pPr>
            <w:r>
              <w:rPr>
                <w:rFonts w:ascii="Arial" w:cs="Arial" w:eastAsia="Arial" w:hAnsi="Arial"/>
                <w:sz w:val="13"/>
                <w:szCs w:val="13"/>
                <w:color w:val="auto"/>
              </w:rPr>
              <w:t>03/03/2022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3"/>
                <w:szCs w:val="13"/>
                <w:color w:val="auto"/>
              </w:rPr>
              <w:t>130,344</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260,688</w:t>
            </w:r>
          </w:p>
        </w:tc>
        <w:tc>
          <w:tcPr>
            <w:tcW w:w="1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line="149" w:lineRule="exact"/>
              <w:rPr>
                <w:sz w:val="20"/>
                <w:szCs w:val="20"/>
                <w:color w:val="auto"/>
              </w:rPr>
            </w:pPr>
            <w:r>
              <w:rPr>
                <w:rFonts w:ascii="Arial" w:cs="Arial" w:eastAsia="Arial" w:hAnsi="Arial"/>
                <w:sz w:val="13"/>
                <w:szCs w:val="13"/>
                <w:color w:val="auto"/>
                <w:w w:val="96"/>
              </w:rPr>
              <w:t>1,334,723</w:t>
            </w:r>
          </w:p>
        </w:tc>
      </w:tr>
      <w:tr>
        <w:trPr>
          <w:trHeight w:val="159"/>
        </w:trPr>
        <w:tc>
          <w:tcPr>
            <w:tcW w:w="2300" w:type="dxa"/>
            <w:vAlign w:val="bottom"/>
          </w:tcPr>
          <w:p>
            <w:pPr>
              <w:spacing w:after="0"/>
              <w:rPr>
                <w:sz w:val="13"/>
                <w:szCs w:val="13"/>
                <w:color w:val="auto"/>
              </w:rPr>
            </w:pPr>
          </w:p>
        </w:tc>
        <w:tc>
          <w:tcPr>
            <w:tcW w:w="1940" w:type="dxa"/>
            <w:vAlign w:val="bottom"/>
          </w:tcPr>
          <w:p>
            <w:pPr>
              <w:ind w:left="20"/>
              <w:spacing w:after="0" w:line="159"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130,344</w:t>
            </w:r>
          </w:p>
        </w:tc>
        <w:tc>
          <w:tcPr>
            <w:tcW w:w="840" w:type="dxa"/>
            <w:vAlign w:val="bottom"/>
          </w:tcPr>
          <w:p>
            <w:pPr>
              <w:jc w:val="right"/>
              <w:spacing w:after="0"/>
              <w:rPr>
                <w:sz w:val="20"/>
                <w:szCs w:val="20"/>
                <w:color w:val="auto"/>
              </w:rPr>
            </w:pPr>
            <w:r>
              <w:rPr>
                <w:rFonts w:ascii="Arial" w:cs="Arial" w:eastAsia="Arial" w:hAnsi="Arial"/>
                <w:sz w:val="13"/>
                <w:szCs w:val="13"/>
                <w:color w:val="auto"/>
              </w:rPr>
              <w:t>130,344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w w:val="96"/>
              </w:rPr>
              <w:t>1,249,999</w:t>
            </w:r>
          </w:p>
        </w:tc>
      </w:tr>
      <w:tr>
        <w:trPr>
          <w:trHeight w:val="148"/>
        </w:trPr>
        <w:tc>
          <w:tcPr>
            <w:tcW w:w="2300" w:type="dxa"/>
            <w:vAlign w:val="bottom"/>
            <w:shd w:val="clear" w:color="auto" w:fill="E5E5E5"/>
          </w:tcPr>
          <w:p>
            <w:pPr>
              <w:ind w:left="80"/>
              <w:spacing w:after="0" w:line="149" w:lineRule="exact"/>
              <w:rPr>
                <w:sz w:val="20"/>
                <w:szCs w:val="20"/>
                <w:color w:val="auto"/>
              </w:rPr>
            </w:pPr>
            <w:r>
              <w:rPr>
                <w:rFonts w:ascii="Arial" w:cs="Arial" w:eastAsia="Arial" w:hAnsi="Arial"/>
                <w:sz w:val="13"/>
                <w:szCs w:val="13"/>
                <w:color w:val="auto"/>
              </w:rPr>
              <w:t>Wade Jones</w:t>
            </w:r>
          </w:p>
        </w:tc>
        <w:tc>
          <w:tcPr>
            <w:tcW w:w="1940" w:type="dxa"/>
            <w:vAlign w:val="bottom"/>
            <w:shd w:val="clear" w:color="auto" w:fill="E5E5E5"/>
          </w:tcPr>
          <w:p>
            <w:pPr>
              <w:ind w:left="20"/>
              <w:spacing w:after="0" w:line="149"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shd w:val="clear" w:color="auto" w:fill="E5E5E5"/>
          </w:tcPr>
          <w:p>
            <w:pPr>
              <w:spacing w:after="0"/>
              <w:rPr>
                <w:sz w:val="12"/>
                <w:szCs w:val="12"/>
                <w:color w:val="auto"/>
              </w:rPr>
            </w:pPr>
          </w:p>
        </w:tc>
        <w:tc>
          <w:tcPr>
            <w:tcW w:w="98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554,639</w:t>
            </w:r>
          </w:p>
        </w:tc>
        <w:tc>
          <w:tcPr>
            <w:tcW w:w="140" w:type="dxa"/>
            <w:vAlign w:val="bottom"/>
            <w:shd w:val="clear" w:color="auto" w:fill="E5E5E5"/>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E5E5E5"/>
          </w:tcPr>
          <w:p>
            <w:pPr>
              <w:jc w:val="right"/>
              <w:ind w:right="14"/>
              <w:spacing w:after="0" w:line="149" w:lineRule="exact"/>
              <w:rPr>
                <w:sz w:val="20"/>
                <w:szCs w:val="20"/>
                <w:color w:val="auto"/>
              </w:rPr>
            </w:pPr>
            <w:r>
              <w:rPr>
                <w:rFonts w:ascii="Arial" w:cs="Arial" w:eastAsia="Arial" w:hAnsi="Arial"/>
                <w:sz w:val="13"/>
                <w:szCs w:val="13"/>
                <w:color w:val="auto"/>
              </w:rPr>
              <w:t>831,958</w:t>
            </w:r>
          </w:p>
        </w:tc>
        <w:tc>
          <w:tcPr>
            <w:tcW w:w="7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Performance-based RSU</w:t>
            </w:r>
            <w:r>
              <w:rPr>
                <w:rFonts w:ascii="Arial" w:cs="Arial" w:eastAsia="Arial" w:hAnsi="Arial"/>
                <w:sz w:val="18"/>
                <w:szCs w:val="18"/>
                <w:color w:val="auto"/>
                <w:vertAlign w:val="superscript"/>
              </w:rPr>
              <w:t>(3)</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78,206</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156,412</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800,829</w:t>
            </w:r>
          </w:p>
        </w:tc>
      </w:tr>
      <w:tr>
        <w:trPr>
          <w:trHeight w:val="161"/>
        </w:trPr>
        <w:tc>
          <w:tcPr>
            <w:tcW w:w="2300" w:type="dxa"/>
            <w:vAlign w:val="bottom"/>
            <w:shd w:val="clear" w:color="auto" w:fill="E5E5E5"/>
          </w:tcPr>
          <w:p>
            <w:pPr>
              <w:spacing w:after="0"/>
              <w:rPr>
                <w:sz w:val="13"/>
                <w:szCs w:val="13"/>
                <w:color w:val="auto"/>
              </w:rPr>
            </w:pPr>
          </w:p>
        </w:tc>
        <w:tc>
          <w:tcPr>
            <w:tcW w:w="1940" w:type="dxa"/>
            <w:vAlign w:val="bottom"/>
            <w:shd w:val="clear" w:color="auto" w:fill="E5E5E5"/>
          </w:tcPr>
          <w:p>
            <w:pPr>
              <w:ind w:left="20"/>
              <w:spacing w:after="0" w:line="161" w:lineRule="exact"/>
              <w:rPr>
                <w:sz w:val="20"/>
                <w:szCs w:val="20"/>
                <w:color w:val="auto"/>
              </w:rPr>
            </w:pPr>
            <w:r>
              <w:rPr>
                <w:rFonts w:ascii="Arial" w:cs="Arial" w:eastAsia="Arial" w:hAnsi="Arial"/>
                <w:sz w:val="13"/>
                <w:szCs w:val="13"/>
                <w:color w:val="auto"/>
              </w:rPr>
              <w:t>Time-based RSU</w:t>
            </w:r>
            <w:r>
              <w:rPr>
                <w:rFonts w:ascii="Arial" w:cs="Arial" w:eastAsia="Arial" w:hAnsi="Arial"/>
                <w:sz w:val="18"/>
                <w:szCs w:val="18"/>
                <w:color w:val="auto"/>
                <w:vertAlign w:val="superscript"/>
              </w:rPr>
              <w:t>(5)</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78,206</w:t>
            </w:r>
          </w:p>
        </w:tc>
        <w:tc>
          <w:tcPr>
            <w:tcW w:w="8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78,206</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749,996</w:t>
            </w:r>
          </w:p>
        </w:tc>
      </w:tr>
      <w:tr>
        <w:trPr>
          <w:trHeight w:val="150"/>
        </w:trPr>
        <w:tc>
          <w:tcPr>
            <w:tcW w:w="2300" w:type="dxa"/>
            <w:vAlign w:val="bottom"/>
          </w:tcPr>
          <w:p>
            <w:pPr>
              <w:ind w:left="80"/>
              <w:spacing w:after="0"/>
              <w:rPr>
                <w:sz w:val="20"/>
                <w:szCs w:val="20"/>
                <w:color w:val="auto"/>
              </w:rPr>
            </w:pPr>
            <w:r>
              <w:rPr>
                <w:rFonts w:ascii="Arial" w:cs="Arial" w:eastAsia="Arial" w:hAnsi="Arial"/>
                <w:sz w:val="13"/>
                <w:szCs w:val="13"/>
                <w:color w:val="auto"/>
              </w:rPr>
              <w:t>Cem Tanyel</w:t>
            </w:r>
          </w:p>
        </w:tc>
        <w:tc>
          <w:tcPr>
            <w:tcW w:w="1940" w:type="dxa"/>
            <w:vAlign w:val="bottom"/>
          </w:tcPr>
          <w:p>
            <w:pPr>
              <w:ind w:left="20"/>
              <w:spacing w:after="0" w:line="150" w:lineRule="exact"/>
              <w:rPr>
                <w:sz w:val="20"/>
                <w:szCs w:val="20"/>
                <w:color w:val="auto"/>
              </w:rPr>
            </w:pPr>
            <w:r>
              <w:rPr>
                <w:rFonts w:ascii="Arial" w:cs="Arial" w:eastAsia="Arial" w:hAnsi="Arial"/>
                <w:sz w:val="12"/>
                <w:szCs w:val="12"/>
                <w:color w:val="auto"/>
              </w:rPr>
              <w:t>Annual cash incentive</w:t>
            </w:r>
            <w:r>
              <w:rPr>
                <w:rFonts w:ascii="Arial" w:cs="Arial" w:eastAsia="Arial" w:hAnsi="Arial"/>
                <w:sz w:val="17"/>
                <w:szCs w:val="17"/>
                <w:color w:val="auto"/>
                <w:vertAlign w:val="superscript"/>
              </w:rPr>
              <w:t>(2)</w:t>
            </w:r>
          </w:p>
        </w:tc>
        <w:tc>
          <w:tcPr>
            <w:tcW w:w="8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408,000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612,000</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300" w:type="dxa"/>
            <w:vAlign w:val="bottom"/>
          </w:tcPr>
          <w:p>
            <w:pPr>
              <w:spacing w:after="0"/>
              <w:rPr>
                <w:sz w:val="12"/>
                <w:szCs w:val="12"/>
                <w:color w:val="auto"/>
              </w:rPr>
            </w:pPr>
          </w:p>
        </w:tc>
        <w:tc>
          <w:tcPr>
            <w:tcW w:w="1940" w:type="dxa"/>
            <w:vAlign w:val="bottom"/>
          </w:tcPr>
          <w:p>
            <w:pPr>
              <w:ind w:left="20"/>
              <w:spacing w:after="0" w:line="149" w:lineRule="exact"/>
              <w:rPr>
                <w:sz w:val="20"/>
                <w:szCs w:val="20"/>
                <w:color w:val="auto"/>
              </w:rPr>
            </w:pPr>
            <w:r>
              <w:rPr>
                <w:rFonts w:ascii="Arial" w:cs="Arial" w:eastAsia="Arial" w:hAnsi="Arial"/>
                <w:sz w:val="12"/>
                <w:szCs w:val="12"/>
                <w:color w:val="auto"/>
              </w:rPr>
              <w:t>Performance-based RSU</w:t>
            </w:r>
            <w:r>
              <w:rPr>
                <w:rFonts w:ascii="Arial" w:cs="Arial" w:eastAsia="Arial" w:hAnsi="Arial"/>
                <w:sz w:val="17"/>
                <w:szCs w:val="17"/>
                <w:color w:val="auto"/>
                <w:vertAlign w:val="superscript"/>
              </w:rPr>
              <w:t>(3)</w:t>
            </w:r>
          </w:p>
        </w:tc>
        <w:tc>
          <w:tcPr>
            <w:tcW w:w="860" w:type="dxa"/>
            <w:vAlign w:val="bottom"/>
          </w:tcPr>
          <w:p>
            <w:pPr>
              <w:jc w:val="right"/>
              <w:ind w:right="34"/>
              <w:spacing w:after="0" w:line="149" w:lineRule="exact"/>
              <w:rPr>
                <w:sz w:val="20"/>
                <w:szCs w:val="20"/>
                <w:color w:val="auto"/>
              </w:rPr>
            </w:pPr>
            <w:r>
              <w:rPr>
                <w:rFonts w:ascii="Arial" w:cs="Arial" w:eastAsia="Arial" w:hAnsi="Arial"/>
                <w:sz w:val="13"/>
                <w:szCs w:val="13"/>
                <w:color w:val="auto"/>
              </w:rPr>
              <w:t>03/15/2022</w:t>
            </w:r>
          </w:p>
        </w:tc>
        <w:tc>
          <w:tcPr>
            <w:tcW w:w="980" w:type="dxa"/>
            <w:vAlign w:val="bottom"/>
          </w:tcPr>
          <w:p>
            <w:pPr>
              <w:jc w:val="right"/>
              <w:ind w:right="174"/>
              <w:spacing w:after="0" w:line="149" w:lineRule="exact"/>
              <w:rPr>
                <w:sz w:val="20"/>
                <w:szCs w:val="20"/>
                <w:color w:val="auto"/>
              </w:rPr>
            </w:pPr>
            <w:r>
              <w:rPr>
                <w:rFonts w:ascii="Arial" w:cs="Arial" w:eastAsia="Arial" w:hAnsi="Arial"/>
                <w:sz w:val="13"/>
                <w:szCs w:val="13"/>
                <w:color w:val="auto"/>
              </w:rPr>
              <w:t>03/03/2022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3"/>
                <w:szCs w:val="13"/>
                <w:color w:val="auto"/>
              </w:rPr>
              <w:t>52,138</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104,276</w:t>
            </w:r>
          </w:p>
        </w:tc>
        <w:tc>
          <w:tcPr>
            <w:tcW w:w="1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line="149" w:lineRule="exact"/>
              <w:rPr>
                <w:sz w:val="20"/>
                <w:szCs w:val="20"/>
                <w:color w:val="auto"/>
              </w:rPr>
            </w:pPr>
            <w:r>
              <w:rPr>
                <w:rFonts w:ascii="Arial" w:cs="Arial" w:eastAsia="Arial" w:hAnsi="Arial"/>
                <w:sz w:val="13"/>
                <w:szCs w:val="13"/>
                <w:color w:val="auto"/>
              </w:rPr>
              <w:t>533,893</w:t>
            </w:r>
          </w:p>
        </w:tc>
      </w:tr>
      <w:tr>
        <w:trPr>
          <w:trHeight w:val="264"/>
        </w:trPr>
        <w:tc>
          <w:tcPr>
            <w:tcW w:w="230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3"/>
                <w:szCs w:val="13"/>
                <w:color w:val="auto"/>
              </w:rPr>
              <w:t>Time-based RSU</w:t>
            </w:r>
            <w:r>
              <w:rPr>
                <w:rFonts w:ascii="Arial" w:cs="Arial" w:eastAsia="Arial" w:hAnsi="Arial"/>
                <w:sz w:val="19"/>
                <w:szCs w:val="19"/>
                <w:color w:val="auto"/>
                <w:vertAlign w:val="superscript"/>
              </w:rPr>
              <w:t>(5)</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03/15/2022</w:t>
            </w:r>
          </w:p>
        </w:tc>
        <w:tc>
          <w:tcPr>
            <w:tcW w:w="980" w:type="dxa"/>
            <w:vAlign w:val="bottom"/>
          </w:tcPr>
          <w:p>
            <w:pPr>
              <w:jc w:val="right"/>
              <w:ind w:right="174"/>
              <w:spacing w:after="0"/>
              <w:rPr>
                <w:sz w:val="20"/>
                <w:szCs w:val="20"/>
                <w:color w:val="auto"/>
              </w:rPr>
            </w:pPr>
            <w:r>
              <w:rPr>
                <w:rFonts w:ascii="Arial" w:cs="Arial" w:eastAsia="Arial" w:hAnsi="Arial"/>
                <w:sz w:val="13"/>
                <w:szCs w:val="13"/>
                <w:color w:val="auto"/>
              </w:rPr>
              <w:t>03/03/2022</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52,138</w:t>
            </w:r>
          </w:p>
        </w:tc>
        <w:tc>
          <w:tcPr>
            <w:tcW w:w="840" w:type="dxa"/>
            <w:vAlign w:val="bottom"/>
          </w:tcPr>
          <w:p>
            <w:pPr>
              <w:jc w:val="right"/>
              <w:spacing w:after="0"/>
              <w:rPr>
                <w:sz w:val="20"/>
                <w:szCs w:val="20"/>
                <w:color w:val="auto"/>
              </w:rPr>
            </w:pPr>
            <w:r>
              <w:rPr>
                <w:rFonts w:ascii="Arial" w:cs="Arial" w:eastAsia="Arial" w:hAnsi="Arial"/>
                <w:sz w:val="13"/>
                <w:szCs w:val="13"/>
                <w:color w:val="auto"/>
              </w:rPr>
              <w:t>52,138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500,003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20320</wp:posOffset>
            </wp:positionV>
            <wp:extent cx="70675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11" w:lineRule="exact"/>
        <w:rPr>
          <w:sz w:val="20"/>
          <w:szCs w:val="20"/>
          <w:color w:val="auto"/>
        </w:rPr>
      </w:pPr>
    </w:p>
    <w:p>
      <w:pPr>
        <w:ind w:left="980" w:hanging="400"/>
        <w:spacing w:after="0"/>
        <w:tabs>
          <w:tab w:leader="none" w:pos="9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Date of Compensation Committee approval of the reported awards.</w:t>
      </w:r>
    </w:p>
    <w:p>
      <w:pPr>
        <w:spacing w:after="0" w:line="74" w:lineRule="exact"/>
        <w:rPr>
          <w:rFonts w:ascii="Arial" w:cs="Arial" w:eastAsia="Arial" w:hAnsi="Arial"/>
          <w:sz w:val="15"/>
          <w:szCs w:val="15"/>
          <w:color w:val="auto"/>
        </w:rPr>
      </w:pPr>
    </w:p>
    <w:p>
      <w:pPr>
        <w:ind w:left="980" w:hanging="400"/>
        <w:spacing w:after="0" w:line="257" w:lineRule="auto"/>
        <w:tabs>
          <w:tab w:leader="none" w:pos="9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amounts reported reflect the target and maximum annual cash incentive targets payable to our named executive officers under the 2022 EIP as approved by the Compensation Committee in March 2022. See “Compensation Elements of 2022 Total Direct Compensation—Annual Incentive Compensation” for additional information.</w:t>
      </w:r>
    </w:p>
    <w:p>
      <w:pPr>
        <w:spacing w:after="0" w:line="39" w:lineRule="exact"/>
        <w:rPr>
          <w:rFonts w:ascii="Arial" w:cs="Arial" w:eastAsia="Arial" w:hAnsi="Arial"/>
          <w:sz w:val="15"/>
          <w:szCs w:val="15"/>
          <w:color w:val="auto"/>
        </w:rPr>
      </w:pPr>
    </w:p>
    <w:p>
      <w:pPr>
        <w:ind w:left="980" w:right="120" w:hanging="400"/>
        <w:spacing w:after="0" w:line="249" w:lineRule="auto"/>
        <w:tabs>
          <w:tab w:leader="none" w:pos="9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These PSUs were granted under the 2021 Omnibus Plan to our named executive officers and will vest on March 15, 2025, subject to the named executive officer’s continued employment through such vesting date. The total number of units eligible to be earned range from 0% to 200% of the number of units granted, based on our actual performance against our Adjusted Free Cash Flow target, measured for 2024, with a TSR modifier based on our common stock’s price relative performance to the S&amp;P Composite 1500 Information Technology index over the three-year measurement period from January 1, 2022 to</w:t>
      </w:r>
    </w:p>
    <w:p>
      <w:pPr>
        <w:spacing w:after="0" w:line="9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78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194310</wp:posOffset>
            </wp:positionV>
            <wp:extent cx="1593850" cy="1492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93850" cy="149225"/>
                    </a:xfrm>
                    <a:prstGeom prst="rect">
                      <a:avLst/>
                    </a:prstGeom>
                    <a:noFill/>
                  </pic:spPr>
                </pic:pic>
              </a:graphicData>
            </a:graphic>
          </wp:anchor>
        </w:drawing>
      </w:r>
    </w:p>
    <w:p>
      <w:pPr>
        <w:spacing w:after="0" w:line="31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FFFFFF"/>
        </w:rPr>
        <w:t>EXECUTIVE COMPENSATION</w:t>
      </w:r>
    </w:p>
    <w:p>
      <w:pPr>
        <w:spacing w:after="0" w:line="248" w:lineRule="exact"/>
        <w:rPr>
          <w:sz w:val="20"/>
          <w:szCs w:val="20"/>
          <w:color w:val="auto"/>
        </w:rPr>
      </w:pPr>
    </w:p>
    <w:p>
      <w:pPr>
        <w:ind w:left="980" w:right="1320"/>
        <w:spacing w:after="0" w:line="257" w:lineRule="auto"/>
        <w:rPr>
          <w:sz w:val="20"/>
          <w:szCs w:val="20"/>
          <w:color w:val="auto"/>
        </w:rPr>
      </w:pPr>
      <w:r>
        <w:rPr>
          <w:rFonts w:ascii="Arial" w:cs="Arial" w:eastAsia="Arial" w:hAnsi="Arial"/>
          <w:sz w:val="15"/>
          <w:szCs w:val="15"/>
          <w:color w:val="auto"/>
        </w:rPr>
        <w:t>December 31, 2024, which will increase or decrease the number of PSUs earned by 10%, subject to a maximum payout of 200%. See “Compensation Elements of 2022 Total Direct Compensation—Long-Term Incentive Compensation—2022 Equity Awards” for additional information.</w:t>
      </w:r>
    </w:p>
    <w:p>
      <w:pPr>
        <w:spacing w:after="0" w:line="76" w:lineRule="exact"/>
        <w:rPr>
          <w:sz w:val="20"/>
          <w:szCs w:val="20"/>
          <w:color w:val="auto"/>
        </w:rPr>
      </w:pPr>
    </w:p>
    <w:p>
      <w:pPr>
        <w:ind w:left="980" w:hanging="400"/>
        <w:spacing w:after="0"/>
        <w:tabs>
          <w:tab w:leader="none" w:pos="9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These amounts reflect the aggregate grant date fair value of stock awards computed in accordance with ASC Topic 718.</w:t>
      </w:r>
    </w:p>
    <w:p>
      <w:pPr>
        <w:spacing w:after="0" w:line="111" w:lineRule="exact"/>
        <w:rPr>
          <w:rFonts w:ascii="Arial" w:cs="Arial" w:eastAsia="Arial" w:hAnsi="Arial"/>
          <w:sz w:val="15"/>
          <w:szCs w:val="15"/>
          <w:color w:val="auto"/>
        </w:rPr>
      </w:pPr>
    </w:p>
    <w:p>
      <w:pPr>
        <w:ind w:left="980" w:right="560" w:hanging="400"/>
        <w:spacing w:after="0" w:line="273" w:lineRule="auto"/>
        <w:tabs>
          <w:tab w:leader="none" w:pos="9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These restricted stock unit awards were granted under the 2021 Omnibus Plan and vest as to one-third of the shares of our common stock on each of the three anniversaries of the date of grant, subject to the named executive officer’s continued employment through each vesting date.</w:t>
      </w:r>
    </w:p>
    <w:p>
      <w:pPr>
        <w:spacing w:after="0" w:line="65" w:lineRule="exact"/>
        <w:rPr>
          <w:rFonts w:ascii="Arial" w:cs="Arial" w:eastAsia="Arial" w:hAnsi="Arial"/>
          <w:sz w:val="15"/>
          <w:szCs w:val="15"/>
          <w:color w:val="auto"/>
        </w:rPr>
      </w:pPr>
    </w:p>
    <w:p>
      <w:pPr>
        <w:ind w:left="980" w:right="740" w:hanging="400"/>
        <w:spacing w:after="0" w:line="257" w:lineRule="auto"/>
        <w:tabs>
          <w:tab w:leader="none" w:pos="9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This restricted stock unit award was granted under the 2021 Omnibus Plan and vests as to one-third of the shares of our common stock on the second anniversary of the date of grant and two-thirds of the shares of our common stock on the third anniversary of the date of grant, subject to the named executive officer’s continued employment through each vesting date.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2022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740"/>
        <w:spacing w:after="0" w:line="267" w:lineRule="auto"/>
        <w:rPr>
          <w:sz w:val="20"/>
          <w:szCs w:val="20"/>
          <w:color w:val="auto"/>
        </w:rPr>
      </w:pPr>
      <w:r>
        <w:rPr>
          <w:rFonts w:ascii="Arial" w:cs="Arial" w:eastAsia="Arial" w:hAnsi="Arial"/>
          <w:sz w:val="18"/>
          <w:szCs w:val="18"/>
          <w:color w:val="auto"/>
        </w:rPr>
        <w:t>The following table sets forth, for each of our named executive officers, their equity awards outstanding as of December 31, 2022.</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700" w:type="dxa"/>
            <w:vAlign w:val="bottom"/>
            <w:shd w:val="clear" w:color="auto" w:fill="666666"/>
          </w:tcPr>
          <w:p>
            <w:pPr>
              <w:spacing w:after="0"/>
              <w:rPr>
                <w:sz w:val="12"/>
                <w:szCs w:val="12"/>
                <w:color w:val="auto"/>
              </w:rPr>
            </w:pPr>
          </w:p>
        </w:tc>
        <w:tc>
          <w:tcPr>
            <w:tcW w:w="1140" w:type="dxa"/>
            <w:vAlign w:val="bottom"/>
            <w:shd w:val="clear" w:color="auto" w:fill="666666"/>
          </w:tcPr>
          <w:p>
            <w:pPr>
              <w:spacing w:after="0"/>
              <w:rPr>
                <w:sz w:val="12"/>
                <w:szCs w:val="12"/>
                <w:color w:val="auto"/>
              </w:rPr>
            </w:pPr>
          </w:p>
        </w:tc>
        <w:tc>
          <w:tcPr>
            <w:tcW w:w="420" w:type="dxa"/>
            <w:vAlign w:val="bottom"/>
            <w:shd w:val="clear" w:color="auto" w:fill="666666"/>
          </w:tcPr>
          <w:p>
            <w:pPr>
              <w:spacing w:after="0"/>
              <w:rPr>
                <w:sz w:val="12"/>
                <w:szCs w:val="12"/>
                <w:color w:val="auto"/>
              </w:rPr>
            </w:pPr>
          </w:p>
        </w:tc>
        <w:tc>
          <w:tcPr>
            <w:tcW w:w="920" w:type="dxa"/>
            <w:vAlign w:val="bottom"/>
            <w:shd w:val="clear" w:color="auto" w:fill="666666"/>
          </w:tcPr>
          <w:p>
            <w:pPr>
              <w:spacing w:after="0"/>
              <w:rPr>
                <w:sz w:val="12"/>
                <w:szCs w:val="12"/>
                <w:color w:val="auto"/>
              </w:rPr>
            </w:pPr>
          </w:p>
        </w:tc>
        <w:tc>
          <w:tcPr>
            <w:tcW w:w="1340" w:type="dxa"/>
            <w:vAlign w:val="bottom"/>
            <w:shd w:val="clear" w:color="auto" w:fill="666666"/>
          </w:tcPr>
          <w:p>
            <w:pPr>
              <w:spacing w:after="0"/>
              <w:rPr>
                <w:sz w:val="12"/>
                <w:szCs w:val="12"/>
                <w:color w:val="auto"/>
              </w:rPr>
            </w:pPr>
          </w:p>
        </w:tc>
        <w:tc>
          <w:tcPr>
            <w:tcW w:w="720" w:type="dxa"/>
            <w:vAlign w:val="bottom"/>
            <w:shd w:val="clear" w:color="auto" w:fill="666666"/>
          </w:tcPr>
          <w:p>
            <w:pPr>
              <w:spacing w:after="0"/>
              <w:rPr>
                <w:sz w:val="12"/>
                <w:szCs w:val="12"/>
                <w:color w:val="auto"/>
              </w:rPr>
            </w:pPr>
          </w:p>
        </w:tc>
        <w:tc>
          <w:tcPr>
            <w:tcW w:w="820" w:type="dxa"/>
            <w:vAlign w:val="bottom"/>
            <w:shd w:val="clear" w:color="auto" w:fill="666666"/>
          </w:tcPr>
          <w:p>
            <w:pPr>
              <w:spacing w:after="0"/>
              <w:rPr>
                <w:sz w:val="12"/>
                <w:szCs w:val="12"/>
                <w:color w:val="auto"/>
              </w:rPr>
            </w:pPr>
          </w:p>
        </w:tc>
        <w:tc>
          <w:tcPr>
            <w:tcW w:w="760" w:type="dxa"/>
            <w:vAlign w:val="bottom"/>
            <w:shd w:val="clear" w:color="auto" w:fill="666666"/>
          </w:tcPr>
          <w:p>
            <w:pPr>
              <w:spacing w:after="0"/>
              <w:rPr>
                <w:sz w:val="12"/>
                <w:szCs w:val="12"/>
                <w:color w:val="auto"/>
              </w:rPr>
            </w:pPr>
          </w:p>
        </w:tc>
        <w:tc>
          <w:tcPr>
            <w:tcW w:w="260" w:type="dxa"/>
            <w:vAlign w:val="bottom"/>
            <w:shd w:val="clear" w:color="auto" w:fill="666666"/>
          </w:tcPr>
          <w:p>
            <w:pPr>
              <w:spacing w:after="0"/>
              <w:rPr>
                <w:sz w:val="12"/>
                <w:szCs w:val="12"/>
                <w:color w:val="auto"/>
              </w:rPr>
            </w:pPr>
          </w:p>
        </w:tc>
        <w:tc>
          <w:tcPr>
            <w:tcW w:w="660" w:type="dxa"/>
            <w:vAlign w:val="bottom"/>
            <w:shd w:val="clear" w:color="auto" w:fill="666666"/>
          </w:tcPr>
          <w:p>
            <w:pPr>
              <w:spacing w:after="0"/>
              <w:rPr>
                <w:sz w:val="12"/>
                <w:szCs w:val="12"/>
                <w:color w:val="auto"/>
              </w:rPr>
            </w:pPr>
          </w:p>
        </w:tc>
        <w:tc>
          <w:tcPr>
            <w:tcW w:w="1520" w:type="dxa"/>
            <w:vAlign w:val="bottom"/>
            <w:shd w:val="clear" w:color="auto" w:fill="666666"/>
          </w:tcPr>
          <w:p>
            <w:pPr>
              <w:jc w:val="center"/>
              <w:ind w:right="317"/>
              <w:spacing w:after="0"/>
              <w:rPr>
                <w:sz w:val="20"/>
                <w:szCs w:val="20"/>
                <w:color w:val="auto"/>
              </w:rPr>
            </w:pPr>
            <w:r>
              <w:rPr>
                <w:rFonts w:ascii="Arial" w:cs="Arial" w:eastAsia="Arial" w:hAnsi="Arial"/>
                <w:sz w:val="12"/>
                <w:szCs w:val="12"/>
                <w:b w:val="1"/>
                <w:bCs w:val="1"/>
                <w:color w:val="FFFFFF"/>
              </w:rPr>
              <w:t>Equity</w:t>
            </w:r>
          </w:p>
        </w:tc>
        <w:tc>
          <w:tcPr>
            <w:tcW w:w="300" w:type="dxa"/>
            <w:vAlign w:val="bottom"/>
            <w:shd w:val="clear" w:color="auto" w:fill="666666"/>
          </w:tcPr>
          <w:p>
            <w:pPr>
              <w:spacing w:after="0"/>
              <w:rPr>
                <w:sz w:val="12"/>
                <w:szCs w:val="12"/>
                <w:color w:val="auto"/>
              </w:rPr>
            </w:pPr>
          </w:p>
        </w:tc>
        <w:tc>
          <w:tcPr>
            <w:tcW w:w="1040" w:type="dxa"/>
            <w:vAlign w:val="bottom"/>
            <w:shd w:val="clear" w:color="auto" w:fill="666666"/>
          </w:tcPr>
          <w:p>
            <w:pPr>
              <w:jc w:val="center"/>
              <w:ind w:right="473"/>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420" w:type="dxa"/>
            <w:vAlign w:val="bottom"/>
            <w:shd w:val="clear" w:color="auto" w:fill="666666"/>
          </w:tcPr>
          <w:p>
            <w:pPr>
              <w:spacing w:after="0"/>
              <w:rPr>
                <w:sz w:val="11"/>
                <w:szCs w:val="11"/>
                <w:color w:val="auto"/>
              </w:rPr>
            </w:pPr>
          </w:p>
        </w:tc>
        <w:tc>
          <w:tcPr>
            <w:tcW w:w="920" w:type="dxa"/>
            <w:vAlign w:val="bottom"/>
            <w:shd w:val="clear" w:color="auto" w:fill="666666"/>
          </w:tcPr>
          <w:p>
            <w:pPr>
              <w:spacing w:after="0"/>
              <w:rPr>
                <w:sz w:val="11"/>
                <w:szCs w:val="11"/>
                <w:color w:val="auto"/>
              </w:rPr>
            </w:pPr>
          </w:p>
        </w:tc>
        <w:tc>
          <w:tcPr>
            <w:tcW w:w="1340" w:type="dxa"/>
            <w:vAlign w:val="bottom"/>
            <w:shd w:val="clear" w:color="auto" w:fill="666666"/>
          </w:tcPr>
          <w:p>
            <w:pPr>
              <w:spacing w:after="0"/>
              <w:rPr>
                <w:sz w:val="11"/>
                <w:szCs w:val="11"/>
                <w:color w:val="auto"/>
              </w:rPr>
            </w:pPr>
          </w:p>
        </w:tc>
        <w:tc>
          <w:tcPr>
            <w:tcW w:w="72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760" w:type="dxa"/>
            <w:vAlign w:val="bottom"/>
            <w:shd w:val="clear" w:color="auto" w:fill="666666"/>
          </w:tcPr>
          <w:p>
            <w:pPr>
              <w:spacing w:after="0"/>
              <w:rPr>
                <w:sz w:val="11"/>
                <w:szCs w:val="11"/>
                <w:color w:val="auto"/>
              </w:rPr>
            </w:pPr>
          </w:p>
        </w:tc>
        <w:tc>
          <w:tcPr>
            <w:tcW w:w="260" w:type="dxa"/>
            <w:vAlign w:val="bottom"/>
            <w:shd w:val="clear" w:color="auto" w:fill="666666"/>
          </w:tcPr>
          <w:p>
            <w:pPr>
              <w:spacing w:after="0"/>
              <w:rPr>
                <w:sz w:val="11"/>
                <w:szCs w:val="11"/>
                <w:color w:val="auto"/>
              </w:rPr>
            </w:pPr>
          </w:p>
        </w:tc>
        <w:tc>
          <w:tcPr>
            <w:tcW w:w="660" w:type="dxa"/>
            <w:vAlign w:val="bottom"/>
            <w:shd w:val="clear" w:color="auto" w:fill="666666"/>
          </w:tcPr>
          <w:p>
            <w:pPr>
              <w:spacing w:after="0"/>
              <w:rPr>
                <w:sz w:val="11"/>
                <w:szCs w:val="11"/>
                <w:color w:val="auto"/>
              </w:rPr>
            </w:pPr>
          </w:p>
        </w:tc>
        <w:tc>
          <w:tcPr>
            <w:tcW w:w="1520" w:type="dxa"/>
            <w:vAlign w:val="bottom"/>
            <w:shd w:val="clear" w:color="auto" w:fill="666666"/>
          </w:tcPr>
          <w:p>
            <w:pPr>
              <w:jc w:val="center"/>
              <w:ind w:right="317"/>
              <w:spacing w:after="0" w:line="136" w:lineRule="exact"/>
              <w:rPr>
                <w:sz w:val="20"/>
                <w:szCs w:val="20"/>
                <w:color w:val="auto"/>
              </w:rPr>
            </w:pPr>
            <w:r>
              <w:rPr>
                <w:rFonts w:ascii="Arial" w:cs="Arial" w:eastAsia="Arial" w:hAnsi="Arial"/>
                <w:sz w:val="12"/>
                <w:szCs w:val="12"/>
                <w:b w:val="1"/>
                <w:bCs w:val="1"/>
                <w:color w:val="FFFFFF"/>
              </w:rPr>
              <w:t>Incentive Plan</w:t>
            </w:r>
          </w:p>
        </w:tc>
        <w:tc>
          <w:tcPr>
            <w:tcW w:w="1340" w:type="dxa"/>
            <w:vAlign w:val="bottom"/>
            <w:gridSpan w:val="2"/>
            <w:shd w:val="clear" w:color="auto" w:fill="666666"/>
          </w:tcPr>
          <w:p>
            <w:pPr>
              <w:jc w:val="center"/>
              <w:ind w:right="93"/>
              <w:spacing w:after="0" w:line="136" w:lineRule="exact"/>
              <w:rPr>
                <w:sz w:val="20"/>
                <w:szCs w:val="20"/>
                <w:color w:val="auto"/>
              </w:rPr>
            </w:pPr>
            <w:r>
              <w:rPr>
                <w:rFonts w:ascii="Arial" w:cs="Arial" w:eastAsia="Arial" w:hAnsi="Arial"/>
                <w:sz w:val="12"/>
                <w:szCs w:val="12"/>
                <w:b w:val="1"/>
                <w:bCs w:val="1"/>
                <w:color w:val="FFFFFF"/>
              </w:rPr>
              <w:t>Incentive Plan</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420" w:type="dxa"/>
            <w:vAlign w:val="bottom"/>
            <w:shd w:val="clear" w:color="auto" w:fill="666666"/>
          </w:tcPr>
          <w:p>
            <w:pPr>
              <w:spacing w:after="0"/>
              <w:rPr>
                <w:sz w:val="11"/>
                <w:szCs w:val="11"/>
                <w:color w:val="auto"/>
              </w:rPr>
            </w:pPr>
          </w:p>
        </w:tc>
        <w:tc>
          <w:tcPr>
            <w:tcW w:w="920" w:type="dxa"/>
            <w:vAlign w:val="bottom"/>
            <w:vMerge w:val="restart"/>
            <w:shd w:val="clear" w:color="auto" w:fill="666666"/>
          </w:tcPr>
          <w:p>
            <w:pPr>
              <w:jc w:val="center"/>
              <w:ind w:right="338"/>
              <w:spacing w:after="0"/>
              <w:rPr>
                <w:sz w:val="20"/>
                <w:szCs w:val="20"/>
                <w:color w:val="auto"/>
              </w:rPr>
            </w:pPr>
            <w:r>
              <w:rPr>
                <w:rFonts w:ascii="Arial" w:cs="Arial" w:eastAsia="Arial" w:hAnsi="Arial"/>
                <w:sz w:val="12"/>
                <w:szCs w:val="12"/>
                <w:b w:val="1"/>
                <w:bCs w:val="1"/>
                <w:color w:val="FFFFFF"/>
              </w:rPr>
              <w:t>Option</w:t>
            </w:r>
          </w:p>
        </w:tc>
        <w:tc>
          <w:tcPr>
            <w:tcW w:w="1340" w:type="dxa"/>
            <w:vAlign w:val="bottom"/>
            <w:shd w:val="clear" w:color="auto" w:fill="666666"/>
          </w:tcPr>
          <w:p>
            <w:pPr>
              <w:spacing w:after="0"/>
              <w:rPr>
                <w:sz w:val="11"/>
                <w:szCs w:val="11"/>
                <w:color w:val="auto"/>
              </w:rPr>
            </w:pPr>
          </w:p>
        </w:tc>
        <w:tc>
          <w:tcPr>
            <w:tcW w:w="72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760" w:type="dxa"/>
            <w:vAlign w:val="bottom"/>
            <w:shd w:val="clear" w:color="auto" w:fill="666666"/>
          </w:tcPr>
          <w:p>
            <w:pPr>
              <w:spacing w:after="0"/>
              <w:rPr>
                <w:sz w:val="11"/>
                <w:szCs w:val="11"/>
                <w:color w:val="auto"/>
              </w:rPr>
            </w:pPr>
          </w:p>
        </w:tc>
        <w:tc>
          <w:tcPr>
            <w:tcW w:w="920" w:type="dxa"/>
            <w:vAlign w:val="bottom"/>
            <w:gridSpan w:val="2"/>
            <w:vMerge w:val="restart"/>
            <w:shd w:val="clear" w:color="auto" w:fill="666666"/>
          </w:tcPr>
          <w:p>
            <w:pPr>
              <w:jc w:val="center"/>
              <w:ind w:right="15"/>
              <w:spacing w:after="0"/>
              <w:rPr>
                <w:sz w:val="20"/>
                <w:szCs w:val="20"/>
                <w:color w:val="auto"/>
              </w:rPr>
            </w:pPr>
            <w:r>
              <w:rPr>
                <w:rFonts w:ascii="Arial" w:cs="Arial" w:eastAsia="Arial" w:hAnsi="Arial"/>
                <w:sz w:val="12"/>
                <w:szCs w:val="12"/>
                <w:b w:val="1"/>
                <w:bCs w:val="1"/>
                <w:color w:val="FFFFFF"/>
              </w:rPr>
              <w:t>Market</w:t>
            </w:r>
          </w:p>
        </w:tc>
        <w:tc>
          <w:tcPr>
            <w:tcW w:w="1520" w:type="dxa"/>
            <w:vAlign w:val="bottom"/>
            <w:shd w:val="clear" w:color="auto" w:fill="666666"/>
          </w:tcPr>
          <w:p>
            <w:pPr>
              <w:jc w:val="right"/>
              <w:ind w:right="557"/>
              <w:spacing w:after="0" w:line="136" w:lineRule="exact"/>
              <w:rPr>
                <w:sz w:val="20"/>
                <w:szCs w:val="20"/>
                <w:color w:val="auto"/>
              </w:rPr>
            </w:pPr>
            <w:r>
              <w:rPr>
                <w:rFonts w:ascii="Arial" w:cs="Arial" w:eastAsia="Arial" w:hAnsi="Arial"/>
                <w:sz w:val="12"/>
                <w:szCs w:val="12"/>
                <w:b w:val="1"/>
                <w:bCs w:val="1"/>
                <w:color w:val="FFFFFF"/>
              </w:rPr>
              <w:t>Awards—</w:t>
            </w:r>
          </w:p>
        </w:tc>
        <w:tc>
          <w:tcPr>
            <w:tcW w:w="300" w:type="dxa"/>
            <w:vAlign w:val="bottom"/>
            <w:shd w:val="clear" w:color="auto" w:fill="666666"/>
          </w:tcPr>
          <w:p>
            <w:pPr>
              <w:spacing w:after="0"/>
              <w:rPr>
                <w:sz w:val="11"/>
                <w:szCs w:val="11"/>
                <w:color w:val="auto"/>
              </w:rPr>
            </w:pPr>
          </w:p>
        </w:tc>
        <w:tc>
          <w:tcPr>
            <w:tcW w:w="1040" w:type="dxa"/>
            <w:vAlign w:val="bottom"/>
            <w:shd w:val="clear" w:color="auto" w:fill="666666"/>
          </w:tcPr>
          <w:p>
            <w:pPr>
              <w:jc w:val="center"/>
              <w:ind w:right="373"/>
              <w:spacing w:after="0" w:line="136"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24"/>
        </w:trPr>
        <w:tc>
          <w:tcPr>
            <w:tcW w:w="700" w:type="dxa"/>
            <w:vAlign w:val="bottom"/>
            <w:shd w:val="clear" w:color="auto" w:fill="666666"/>
          </w:tcPr>
          <w:p>
            <w:pPr>
              <w:spacing w:after="0"/>
              <w:rPr>
                <w:sz w:val="10"/>
                <w:szCs w:val="10"/>
                <w:color w:val="auto"/>
              </w:rPr>
            </w:pPr>
          </w:p>
        </w:tc>
        <w:tc>
          <w:tcPr>
            <w:tcW w:w="1140" w:type="dxa"/>
            <w:vAlign w:val="bottom"/>
            <w:shd w:val="clear" w:color="auto" w:fill="666666"/>
          </w:tcPr>
          <w:p>
            <w:pPr>
              <w:spacing w:after="0"/>
              <w:rPr>
                <w:sz w:val="10"/>
                <w:szCs w:val="10"/>
                <w:color w:val="auto"/>
              </w:rPr>
            </w:pPr>
          </w:p>
        </w:tc>
        <w:tc>
          <w:tcPr>
            <w:tcW w:w="420" w:type="dxa"/>
            <w:vAlign w:val="bottom"/>
            <w:shd w:val="clear" w:color="auto" w:fill="666666"/>
          </w:tcPr>
          <w:p>
            <w:pPr>
              <w:spacing w:after="0"/>
              <w:rPr>
                <w:sz w:val="10"/>
                <w:szCs w:val="10"/>
                <w:color w:val="auto"/>
              </w:rPr>
            </w:pPr>
          </w:p>
        </w:tc>
        <w:tc>
          <w:tcPr>
            <w:tcW w:w="920" w:type="dxa"/>
            <w:vAlign w:val="bottom"/>
            <w:vMerge w:val="continue"/>
            <w:shd w:val="clear" w:color="auto" w:fill="666666"/>
          </w:tcPr>
          <w:p>
            <w:pPr>
              <w:spacing w:after="0"/>
              <w:rPr>
                <w:sz w:val="10"/>
                <w:szCs w:val="10"/>
                <w:color w:val="auto"/>
              </w:rPr>
            </w:pPr>
          </w:p>
        </w:tc>
        <w:tc>
          <w:tcPr>
            <w:tcW w:w="1340" w:type="dxa"/>
            <w:vAlign w:val="bottom"/>
            <w:shd w:val="clear" w:color="auto" w:fill="666666"/>
          </w:tcPr>
          <w:p>
            <w:pPr>
              <w:jc w:val="center"/>
              <w:ind w:left="36"/>
              <w:spacing w:after="0" w:line="124" w:lineRule="exact"/>
              <w:rPr>
                <w:sz w:val="20"/>
                <w:szCs w:val="20"/>
                <w:color w:val="auto"/>
              </w:rPr>
            </w:pPr>
            <w:r>
              <w:rPr>
                <w:rFonts w:ascii="Arial" w:cs="Arial" w:eastAsia="Arial" w:hAnsi="Arial"/>
                <w:sz w:val="12"/>
                <w:szCs w:val="12"/>
                <w:b w:val="1"/>
                <w:bCs w:val="1"/>
                <w:color w:val="FFFFFF"/>
              </w:rPr>
              <w:t>Option</w:t>
            </w:r>
          </w:p>
        </w:tc>
        <w:tc>
          <w:tcPr>
            <w:tcW w:w="720" w:type="dxa"/>
            <w:vAlign w:val="bottom"/>
            <w:shd w:val="clear" w:color="auto" w:fill="666666"/>
          </w:tcPr>
          <w:p>
            <w:pPr>
              <w:spacing w:after="0"/>
              <w:rPr>
                <w:sz w:val="10"/>
                <w:szCs w:val="10"/>
                <w:color w:val="auto"/>
              </w:rPr>
            </w:pPr>
          </w:p>
        </w:tc>
        <w:tc>
          <w:tcPr>
            <w:tcW w:w="820" w:type="dxa"/>
            <w:vAlign w:val="bottom"/>
            <w:shd w:val="clear" w:color="auto" w:fill="666666"/>
          </w:tcPr>
          <w:p>
            <w:pPr>
              <w:spacing w:after="0"/>
              <w:rPr>
                <w:sz w:val="10"/>
                <w:szCs w:val="10"/>
                <w:color w:val="auto"/>
              </w:rPr>
            </w:pPr>
          </w:p>
        </w:tc>
        <w:tc>
          <w:tcPr>
            <w:tcW w:w="760" w:type="dxa"/>
            <w:vAlign w:val="bottom"/>
            <w:shd w:val="clear" w:color="auto" w:fill="666666"/>
          </w:tcPr>
          <w:p>
            <w:pPr>
              <w:jc w:val="center"/>
              <w:spacing w:after="0" w:line="124" w:lineRule="exact"/>
              <w:rPr>
                <w:sz w:val="20"/>
                <w:szCs w:val="20"/>
                <w:color w:val="auto"/>
              </w:rPr>
            </w:pPr>
            <w:r>
              <w:rPr>
                <w:rFonts w:ascii="Arial" w:cs="Arial" w:eastAsia="Arial" w:hAnsi="Arial"/>
                <w:sz w:val="12"/>
                <w:szCs w:val="12"/>
                <w:b w:val="1"/>
                <w:bCs w:val="1"/>
                <w:color w:val="FFFFFF"/>
              </w:rPr>
              <w:t>Number of</w:t>
            </w:r>
          </w:p>
        </w:tc>
        <w:tc>
          <w:tcPr>
            <w:tcW w:w="920" w:type="dxa"/>
            <w:vAlign w:val="bottom"/>
            <w:gridSpan w:val="2"/>
            <w:vMerge w:val="continue"/>
            <w:shd w:val="clear" w:color="auto" w:fill="666666"/>
          </w:tcPr>
          <w:p>
            <w:pPr>
              <w:spacing w:after="0"/>
              <w:rPr>
                <w:sz w:val="10"/>
                <w:szCs w:val="10"/>
                <w:color w:val="auto"/>
              </w:rPr>
            </w:pPr>
          </w:p>
        </w:tc>
        <w:tc>
          <w:tcPr>
            <w:tcW w:w="1520" w:type="dxa"/>
            <w:vAlign w:val="bottom"/>
            <w:shd w:val="clear" w:color="auto" w:fill="666666"/>
          </w:tcPr>
          <w:p>
            <w:pPr>
              <w:jc w:val="center"/>
              <w:ind w:right="317"/>
              <w:spacing w:after="0" w:line="124" w:lineRule="exact"/>
              <w:rPr>
                <w:sz w:val="20"/>
                <w:szCs w:val="20"/>
                <w:color w:val="auto"/>
              </w:rPr>
            </w:pPr>
            <w:r>
              <w:rPr>
                <w:rFonts w:ascii="Arial" w:cs="Arial" w:eastAsia="Arial" w:hAnsi="Arial"/>
                <w:sz w:val="12"/>
                <w:szCs w:val="12"/>
                <w:b w:val="1"/>
                <w:bCs w:val="1"/>
                <w:color w:val="FFFFFF"/>
              </w:rPr>
              <w:t>Number of</w:t>
            </w:r>
          </w:p>
        </w:tc>
        <w:tc>
          <w:tcPr>
            <w:tcW w:w="1340" w:type="dxa"/>
            <w:vAlign w:val="bottom"/>
            <w:gridSpan w:val="2"/>
            <w:shd w:val="clear" w:color="auto" w:fill="666666"/>
          </w:tcPr>
          <w:p>
            <w:pPr>
              <w:jc w:val="center"/>
              <w:ind w:right="153"/>
              <w:spacing w:after="0" w:line="124" w:lineRule="exact"/>
              <w:rPr>
                <w:sz w:val="20"/>
                <w:szCs w:val="20"/>
                <w:color w:val="auto"/>
              </w:rPr>
            </w:pPr>
            <w:r>
              <w:rPr>
                <w:rFonts w:ascii="Arial" w:cs="Arial" w:eastAsia="Arial" w:hAnsi="Arial"/>
                <w:sz w:val="12"/>
                <w:szCs w:val="12"/>
                <w:b w:val="1"/>
                <w:bCs w:val="1"/>
                <w:color w:val="FFFFFF"/>
              </w:rPr>
              <w:t>Market or</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40" w:type="dxa"/>
            <w:vAlign w:val="bottom"/>
            <w:gridSpan w:val="2"/>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Awards—</w:t>
            </w:r>
          </w:p>
        </w:tc>
        <w:tc>
          <w:tcPr>
            <w:tcW w:w="1340" w:type="dxa"/>
            <w:vAlign w:val="bottom"/>
            <w:shd w:val="clear" w:color="auto" w:fill="666666"/>
          </w:tcPr>
          <w:p>
            <w:pPr>
              <w:jc w:val="center"/>
              <w:ind w:left="36"/>
              <w:spacing w:after="0" w:line="136" w:lineRule="exact"/>
              <w:rPr>
                <w:sz w:val="20"/>
                <w:szCs w:val="20"/>
                <w:color w:val="auto"/>
              </w:rPr>
            </w:pPr>
            <w:r>
              <w:rPr>
                <w:rFonts w:ascii="Arial" w:cs="Arial" w:eastAsia="Arial" w:hAnsi="Arial"/>
                <w:sz w:val="12"/>
                <w:szCs w:val="12"/>
                <w:b w:val="1"/>
                <w:bCs w:val="1"/>
                <w:color w:val="FFFFFF"/>
              </w:rPr>
              <w:t>Awards—</w:t>
            </w:r>
          </w:p>
        </w:tc>
        <w:tc>
          <w:tcPr>
            <w:tcW w:w="72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Shares or</w:t>
            </w:r>
          </w:p>
        </w:tc>
        <w:tc>
          <w:tcPr>
            <w:tcW w:w="920" w:type="dxa"/>
            <w:vAlign w:val="bottom"/>
            <w:gridSpan w:val="2"/>
            <w:shd w:val="clear" w:color="auto" w:fill="666666"/>
          </w:tcPr>
          <w:p>
            <w:pPr>
              <w:jc w:val="center"/>
              <w:ind w:right="35"/>
              <w:spacing w:after="0" w:line="136" w:lineRule="exact"/>
              <w:rPr>
                <w:sz w:val="20"/>
                <w:szCs w:val="20"/>
                <w:color w:val="auto"/>
              </w:rPr>
            </w:pPr>
            <w:r>
              <w:rPr>
                <w:rFonts w:ascii="Arial" w:cs="Arial" w:eastAsia="Arial" w:hAnsi="Arial"/>
                <w:sz w:val="12"/>
                <w:szCs w:val="12"/>
                <w:b w:val="1"/>
                <w:bCs w:val="1"/>
                <w:color w:val="FFFFFF"/>
                <w:w w:val="98"/>
              </w:rPr>
              <w:t>Value of</w:t>
            </w:r>
          </w:p>
        </w:tc>
        <w:tc>
          <w:tcPr>
            <w:tcW w:w="1520" w:type="dxa"/>
            <w:vAlign w:val="bottom"/>
            <w:shd w:val="clear" w:color="auto" w:fill="666666"/>
          </w:tcPr>
          <w:p>
            <w:pPr>
              <w:jc w:val="center"/>
              <w:ind w:right="317"/>
              <w:spacing w:after="0" w:line="136" w:lineRule="exact"/>
              <w:rPr>
                <w:sz w:val="20"/>
                <w:szCs w:val="20"/>
                <w:color w:val="auto"/>
              </w:rPr>
            </w:pPr>
            <w:r>
              <w:rPr>
                <w:rFonts w:ascii="Arial" w:cs="Arial" w:eastAsia="Arial" w:hAnsi="Arial"/>
                <w:sz w:val="12"/>
                <w:szCs w:val="12"/>
                <w:b w:val="1"/>
                <w:bCs w:val="1"/>
                <w:color w:val="FFFFFF"/>
              </w:rPr>
              <w:t>Unearned</w:t>
            </w:r>
          </w:p>
        </w:tc>
        <w:tc>
          <w:tcPr>
            <w:tcW w:w="1340" w:type="dxa"/>
            <w:vAlign w:val="bottom"/>
            <w:gridSpan w:val="2"/>
            <w:shd w:val="clear" w:color="auto" w:fill="666666"/>
          </w:tcPr>
          <w:p>
            <w:pPr>
              <w:jc w:val="center"/>
              <w:ind w:right="193"/>
              <w:spacing w:after="0" w:line="136" w:lineRule="exact"/>
              <w:rPr>
                <w:sz w:val="20"/>
                <w:szCs w:val="20"/>
                <w:color w:val="auto"/>
              </w:rPr>
            </w:pPr>
            <w:r>
              <w:rPr>
                <w:rFonts w:ascii="Arial" w:cs="Arial" w:eastAsia="Arial" w:hAnsi="Arial"/>
                <w:sz w:val="12"/>
                <w:szCs w:val="12"/>
                <w:b w:val="1"/>
                <w:bCs w:val="1"/>
                <w:color w:val="FFFFFF"/>
              </w:rPr>
              <w:t>Payout Value of</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40" w:type="dxa"/>
            <w:vAlign w:val="bottom"/>
            <w:gridSpan w:val="2"/>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Number of</w:t>
            </w:r>
          </w:p>
        </w:tc>
        <w:tc>
          <w:tcPr>
            <w:tcW w:w="1340" w:type="dxa"/>
            <w:vAlign w:val="bottom"/>
            <w:shd w:val="clear" w:color="auto" w:fill="666666"/>
          </w:tcPr>
          <w:p>
            <w:pPr>
              <w:jc w:val="center"/>
              <w:ind w:left="36"/>
              <w:spacing w:after="0" w:line="136" w:lineRule="exact"/>
              <w:rPr>
                <w:sz w:val="20"/>
                <w:szCs w:val="20"/>
                <w:color w:val="auto"/>
              </w:rPr>
            </w:pPr>
            <w:r>
              <w:rPr>
                <w:rFonts w:ascii="Arial" w:cs="Arial" w:eastAsia="Arial" w:hAnsi="Arial"/>
                <w:sz w:val="12"/>
                <w:szCs w:val="12"/>
                <w:b w:val="1"/>
                <w:bCs w:val="1"/>
                <w:color w:val="FFFFFF"/>
                <w:w w:val="99"/>
              </w:rPr>
              <w:t>Number of</w:t>
            </w:r>
          </w:p>
        </w:tc>
        <w:tc>
          <w:tcPr>
            <w:tcW w:w="720" w:type="dxa"/>
            <w:vAlign w:val="bottom"/>
            <w:shd w:val="clear" w:color="auto" w:fill="666666"/>
          </w:tcPr>
          <w:p>
            <w:pPr>
              <w:ind w:left="200"/>
              <w:spacing w:after="0" w:line="136" w:lineRule="exact"/>
              <w:rPr>
                <w:sz w:val="20"/>
                <w:szCs w:val="20"/>
                <w:color w:val="auto"/>
              </w:rPr>
            </w:pPr>
            <w:r>
              <w:rPr>
                <w:rFonts w:ascii="Arial" w:cs="Arial" w:eastAsia="Arial" w:hAnsi="Arial"/>
                <w:sz w:val="12"/>
                <w:szCs w:val="12"/>
                <w:b w:val="1"/>
                <w:bCs w:val="1"/>
                <w:color w:val="FFFFFF"/>
              </w:rPr>
              <w:t>Option</w:t>
            </w:r>
          </w:p>
        </w:tc>
        <w:tc>
          <w:tcPr>
            <w:tcW w:w="8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Units of</w:t>
            </w:r>
          </w:p>
        </w:tc>
        <w:tc>
          <w:tcPr>
            <w:tcW w:w="920" w:type="dxa"/>
            <w:vAlign w:val="bottom"/>
            <w:gridSpan w:val="2"/>
            <w:shd w:val="clear" w:color="auto" w:fill="666666"/>
          </w:tcPr>
          <w:p>
            <w:pPr>
              <w:jc w:val="right"/>
              <w:ind w:right="195"/>
              <w:spacing w:after="0" w:line="136" w:lineRule="exact"/>
              <w:rPr>
                <w:sz w:val="20"/>
                <w:szCs w:val="20"/>
                <w:color w:val="auto"/>
              </w:rPr>
            </w:pPr>
            <w:r>
              <w:rPr>
                <w:rFonts w:ascii="Arial" w:cs="Arial" w:eastAsia="Arial" w:hAnsi="Arial"/>
                <w:sz w:val="12"/>
                <w:szCs w:val="12"/>
                <w:b w:val="1"/>
                <w:bCs w:val="1"/>
                <w:color w:val="FFFFFF"/>
              </w:rPr>
              <w:t>Shares</w:t>
            </w:r>
          </w:p>
        </w:tc>
        <w:tc>
          <w:tcPr>
            <w:tcW w:w="1520" w:type="dxa"/>
            <w:vAlign w:val="bottom"/>
            <w:shd w:val="clear" w:color="auto" w:fill="666666"/>
          </w:tcPr>
          <w:p>
            <w:pPr>
              <w:jc w:val="center"/>
              <w:ind w:right="297"/>
              <w:spacing w:after="0" w:line="136" w:lineRule="exact"/>
              <w:rPr>
                <w:sz w:val="20"/>
                <w:szCs w:val="20"/>
                <w:color w:val="auto"/>
              </w:rPr>
            </w:pPr>
            <w:r>
              <w:rPr>
                <w:rFonts w:ascii="Arial" w:cs="Arial" w:eastAsia="Arial" w:hAnsi="Arial"/>
                <w:sz w:val="12"/>
                <w:szCs w:val="12"/>
                <w:b w:val="1"/>
                <w:bCs w:val="1"/>
                <w:color w:val="FFFFFF"/>
              </w:rPr>
              <w:t>Shares,</w:t>
            </w:r>
          </w:p>
        </w:tc>
        <w:tc>
          <w:tcPr>
            <w:tcW w:w="300" w:type="dxa"/>
            <w:vAlign w:val="bottom"/>
            <w:shd w:val="clear" w:color="auto" w:fill="666666"/>
          </w:tcPr>
          <w:p>
            <w:pPr>
              <w:spacing w:after="0"/>
              <w:rPr>
                <w:sz w:val="11"/>
                <w:szCs w:val="11"/>
                <w:color w:val="auto"/>
              </w:rPr>
            </w:pPr>
          </w:p>
        </w:tc>
        <w:tc>
          <w:tcPr>
            <w:tcW w:w="1040" w:type="dxa"/>
            <w:vAlign w:val="bottom"/>
            <w:shd w:val="clear" w:color="auto" w:fill="666666"/>
          </w:tcPr>
          <w:p>
            <w:pPr>
              <w:jc w:val="center"/>
              <w:ind w:right="353"/>
              <w:spacing w:after="0" w:line="136"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40" w:type="dxa"/>
            <w:vAlign w:val="bottom"/>
            <w:gridSpan w:val="2"/>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Securities</w:t>
            </w:r>
          </w:p>
        </w:tc>
        <w:tc>
          <w:tcPr>
            <w:tcW w:w="1340" w:type="dxa"/>
            <w:vAlign w:val="bottom"/>
            <w:shd w:val="clear" w:color="auto" w:fill="666666"/>
          </w:tcPr>
          <w:p>
            <w:pPr>
              <w:jc w:val="center"/>
              <w:ind w:left="36"/>
              <w:spacing w:after="0" w:line="136" w:lineRule="exact"/>
              <w:rPr>
                <w:sz w:val="20"/>
                <w:szCs w:val="20"/>
                <w:color w:val="auto"/>
              </w:rPr>
            </w:pPr>
            <w:r>
              <w:rPr>
                <w:rFonts w:ascii="Arial" w:cs="Arial" w:eastAsia="Arial" w:hAnsi="Arial"/>
                <w:sz w:val="12"/>
                <w:szCs w:val="12"/>
                <w:b w:val="1"/>
                <w:bCs w:val="1"/>
                <w:color w:val="FFFFFF"/>
              </w:rPr>
              <w:t>Securities</w:t>
            </w:r>
          </w:p>
        </w:tc>
        <w:tc>
          <w:tcPr>
            <w:tcW w:w="720" w:type="dxa"/>
            <w:vAlign w:val="bottom"/>
            <w:shd w:val="clear" w:color="auto" w:fill="666666"/>
          </w:tcPr>
          <w:p>
            <w:pPr>
              <w:ind w:left="220"/>
              <w:spacing w:after="0" w:line="136" w:lineRule="exact"/>
              <w:rPr>
                <w:sz w:val="20"/>
                <w:szCs w:val="20"/>
                <w:color w:val="auto"/>
              </w:rPr>
            </w:pPr>
            <w:r>
              <w:rPr>
                <w:rFonts w:ascii="Arial" w:cs="Arial" w:eastAsia="Arial" w:hAnsi="Arial"/>
                <w:sz w:val="12"/>
                <w:szCs w:val="12"/>
                <w:b w:val="1"/>
                <w:bCs w:val="1"/>
                <w:color w:val="FFFFFF"/>
              </w:rPr>
              <w:t>Awards</w:t>
            </w:r>
          </w:p>
        </w:tc>
        <w:tc>
          <w:tcPr>
            <w:tcW w:w="8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Stock That</w:t>
            </w:r>
          </w:p>
        </w:tc>
        <w:tc>
          <w:tcPr>
            <w:tcW w:w="260" w:type="dxa"/>
            <w:vAlign w:val="bottom"/>
            <w:shd w:val="clear" w:color="auto" w:fill="666666"/>
          </w:tcPr>
          <w:p>
            <w:pPr>
              <w:jc w:val="right"/>
              <w:spacing w:after="0" w:line="136" w:lineRule="exact"/>
              <w:rPr>
                <w:sz w:val="20"/>
                <w:szCs w:val="20"/>
                <w:color w:val="auto"/>
              </w:rPr>
            </w:pPr>
            <w:r>
              <w:rPr>
                <w:rFonts w:ascii="Arial" w:cs="Arial" w:eastAsia="Arial" w:hAnsi="Arial"/>
                <w:sz w:val="12"/>
                <w:szCs w:val="12"/>
                <w:b w:val="1"/>
                <w:bCs w:val="1"/>
                <w:color w:val="FFFFFF"/>
              </w:rPr>
              <w:t>or</w:t>
            </w:r>
          </w:p>
        </w:tc>
        <w:tc>
          <w:tcPr>
            <w:tcW w:w="660" w:type="dxa"/>
            <w:vAlign w:val="bottom"/>
            <w:shd w:val="clear" w:color="auto" w:fill="666666"/>
          </w:tcPr>
          <w:p>
            <w:pPr>
              <w:jc w:val="right"/>
              <w:ind w:right="175"/>
              <w:spacing w:after="0" w:line="136" w:lineRule="exact"/>
              <w:rPr>
                <w:sz w:val="20"/>
                <w:szCs w:val="20"/>
                <w:color w:val="auto"/>
              </w:rPr>
            </w:pPr>
            <w:r>
              <w:rPr>
                <w:rFonts w:ascii="Arial" w:cs="Arial" w:eastAsia="Arial" w:hAnsi="Arial"/>
                <w:sz w:val="12"/>
                <w:szCs w:val="12"/>
                <w:b w:val="1"/>
                <w:bCs w:val="1"/>
                <w:color w:val="FFFFFF"/>
              </w:rPr>
              <w:t>Units</w:t>
            </w:r>
          </w:p>
        </w:tc>
        <w:tc>
          <w:tcPr>
            <w:tcW w:w="1520" w:type="dxa"/>
            <w:vAlign w:val="bottom"/>
            <w:shd w:val="clear" w:color="auto" w:fill="666666"/>
          </w:tcPr>
          <w:p>
            <w:pPr>
              <w:jc w:val="center"/>
              <w:ind w:right="317"/>
              <w:spacing w:after="0" w:line="136" w:lineRule="exact"/>
              <w:rPr>
                <w:sz w:val="20"/>
                <w:szCs w:val="20"/>
                <w:color w:val="auto"/>
              </w:rPr>
            </w:pPr>
            <w:r>
              <w:rPr>
                <w:rFonts w:ascii="Arial" w:cs="Arial" w:eastAsia="Arial" w:hAnsi="Arial"/>
                <w:sz w:val="12"/>
                <w:szCs w:val="12"/>
                <w:b w:val="1"/>
                <w:bCs w:val="1"/>
                <w:color w:val="FFFFFF"/>
              </w:rPr>
              <w:t>Units, or</w:t>
            </w:r>
          </w:p>
        </w:tc>
        <w:tc>
          <w:tcPr>
            <w:tcW w:w="1340" w:type="dxa"/>
            <w:vAlign w:val="bottom"/>
            <w:gridSpan w:val="2"/>
            <w:shd w:val="clear" w:color="auto" w:fill="666666"/>
          </w:tcPr>
          <w:p>
            <w:pPr>
              <w:jc w:val="center"/>
              <w:ind w:right="93"/>
              <w:spacing w:after="0" w:line="136" w:lineRule="exact"/>
              <w:rPr>
                <w:sz w:val="20"/>
                <w:szCs w:val="20"/>
                <w:color w:val="auto"/>
              </w:rPr>
            </w:pPr>
            <w:r>
              <w:rPr>
                <w:rFonts w:ascii="Arial" w:cs="Arial" w:eastAsia="Arial" w:hAnsi="Arial"/>
                <w:sz w:val="12"/>
                <w:szCs w:val="12"/>
                <w:b w:val="1"/>
                <w:bCs w:val="1"/>
                <w:color w:val="FFFFFF"/>
              </w:rPr>
              <w:t>Shares, Units,</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40" w:type="dxa"/>
            <w:vAlign w:val="bottom"/>
            <w:gridSpan w:val="2"/>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Underlying</w:t>
            </w:r>
          </w:p>
        </w:tc>
        <w:tc>
          <w:tcPr>
            <w:tcW w:w="1340" w:type="dxa"/>
            <w:vAlign w:val="bottom"/>
            <w:shd w:val="clear" w:color="auto" w:fill="666666"/>
          </w:tcPr>
          <w:p>
            <w:pPr>
              <w:jc w:val="center"/>
              <w:ind w:left="36"/>
              <w:spacing w:after="0" w:line="136" w:lineRule="exact"/>
              <w:rPr>
                <w:sz w:val="20"/>
                <w:szCs w:val="20"/>
                <w:color w:val="auto"/>
              </w:rPr>
            </w:pPr>
            <w:r>
              <w:rPr>
                <w:rFonts w:ascii="Arial" w:cs="Arial" w:eastAsia="Arial" w:hAnsi="Arial"/>
                <w:sz w:val="12"/>
                <w:szCs w:val="12"/>
                <w:b w:val="1"/>
                <w:bCs w:val="1"/>
                <w:color w:val="FFFFFF"/>
              </w:rPr>
              <w:t>Underlying</w:t>
            </w:r>
          </w:p>
        </w:tc>
        <w:tc>
          <w:tcPr>
            <w:tcW w:w="720" w:type="dxa"/>
            <w:vAlign w:val="bottom"/>
            <w:shd w:val="clear" w:color="auto" w:fill="666666"/>
          </w:tcPr>
          <w:p>
            <w:pPr>
              <w:ind w:left="300"/>
              <w:spacing w:after="0" w:line="136" w:lineRule="exact"/>
              <w:rPr>
                <w:sz w:val="20"/>
                <w:szCs w:val="20"/>
                <w:color w:val="auto"/>
              </w:rPr>
            </w:pPr>
            <w:r>
              <w:rPr>
                <w:rFonts w:ascii="Arial" w:cs="Arial" w:eastAsia="Arial" w:hAnsi="Arial"/>
                <w:sz w:val="12"/>
                <w:szCs w:val="12"/>
                <w:b w:val="1"/>
                <w:bCs w:val="1"/>
                <w:color w:val="FFFFFF"/>
              </w:rPr>
              <w:t>—</w:t>
            </w:r>
          </w:p>
        </w:tc>
        <w:tc>
          <w:tcPr>
            <w:tcW w:w="8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Awards—</w:t>
            </w: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w w:val="97"/>
              </w:rPr>
              <w:t>Have</w:t>
            </w:r>
          </w:p>
        </w:tc>
        <w:tc>
          <w:tcPr>
            <w:tcW w:w="920" w:type="dxa"/>
            <w:vAlign w:val="bottom"/>
            <w:gridSpan w:val="2"/>
            <w:shd w:val="clear" w:color="auto" w:fill="666666"/>
          </w:tcPr>
          <w:p>
            <w:pPr>
              <w:jc w:val="center"/>
              <w:ind w:right="35"/>
              <w:spacing w:after="0" w:line="136" w:lineRule="exact"/>
              <w:rPr>
                <w:sz w:val="20"/>
                <w:szCs w:val="20"/>
                <w:color w:val="auto"/>
              </w:rPr>
            </w:pPr>
            <w:r>
              <w:rPr>
                <w:rFonts w:ascii="Arial" w:cs="Arial" w:eastAsia="Arial" w:hAnsi="Arial"/>
                <w:sz w:val="12"/>
                <w:szCs w:val="12"/>
                <w:b w:val="1"/>
                <w:bCs w:val="1"/>
                <w:color w:val="FFFFFF"/>
              </w:rPr>
              <w:t>of Stock</w:t>
            </w:r>
          </w:p>
        </w:tc>
        <w:tc>
          <w:tcPr>
            <w:tcW w:w="1520" w:type="dxa"/>
            <w:vAlign w:val="bottom"/>
            <w:shd w:val="clear" w:color="auto" w:fill="666666"/>
          </w:tcPr>
          <w:p>
            <w:pPr>
              <w:jc w:val="center"/>
              <w:ind w:right="317"/>
              <w:spacing w:after="0" w:line="136" w:lineRule="exact"/>
              <w:rPr>
                <w:sz w:val="20"/>
                <w:szCs w:val="20"/>
                <w:color w:val="auto"/>
              </w:rPr>
            </w:pPr>
            <w:r>
              <w:rPr>
                <w:rFonts w:ascii="Arial" w:cs="Arial" w:eastAsia="Arial" w:hAnsi="Arial"/>
                <w:sz w:val="12"/>
                <w:szCs w:val="12"/>
                <w:b w:val="1"/>
                <w:bCs w:val="1"/>
                <w:color w:val="FFFFFF"/>
              </w:rPr>
              <w:t>Other Rights</w:t>
            </w:r>
          </w:p>
        </w:tc>
        <w:tc>
          <w:tcPr>
            <w:tcW w:w="1340" w:type="dxa"/>
            <w:vAlign w:val="bottom"/>
            <w:gridSpan w:val="2"/>
            <w:shd w:val="clear" w:color="auto" w:fill="666666"/>
          </w:tcPr>
          <w:p>
            <w:pPr>
              <w:jc w:val="center"/>
              <w:ind w:right="53"/>
              <w:spacing w:after="0" w:line="136" w:lineRule="exact"/>
              <w:rPr>
                <w:sz w:val="20"/>
                <w:szCs w:val="20"/>
                <w:color w:val="auto"/>
              </w:rPr>
            </w:pPr>
            <w:r>
              <w:rPr>
                <w:rFonts w:ascii="Arial" w:cs="Arial" w:eastAsia="Arial" w:hAnsi="Arial"/>
                <w:sz w:val="12"/>
                <w:szCs w:val="12"/>
                <w:b w:val="1"/>
                <w:bCs w:val="1"/>
                <w:color w:val="FFFFFF"/>
              </w:rPr>
              <w:t>Other Rights</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40" w:type="dxa"/>
            <w:vAlign w:val="bottom"/>
            <w:gridSpan w:val="2"/>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Unexercised</w:t>
            </w:r>
          </w:p>
        </w:tc>
        <w:tc>
          <w:tcPr>
            <w:tcW w:w="1340" w:type="dxa"/>
            <w:vAlign w:val="bottom"/>
            <w:shd w:val="clear" w:color="auto" w:fill="666666"/>
          </w:tcPr>
          <w:p>
            <w:pPr>
              <w:jc w:val="center"/>
              <w:ind w:left="36"/>
              <w:spacing w:after="0" w:line="136" w:lineRule="exact"/>
              <w:rPr>
                <w:sz w:val="20"/>
                <w:szCs w:val="20"/>
                <w:color w:val="auto"/>
              </w:rPr>
            </w:pPr>
            <w:r>
              <w:rPr>
                <w:rFonts w:ascii="Arial" w:cs="Arial" w:eastAsia="Arial" w:hAnsi="Arial"/>
                <w:sz w:val="12"/>
                <w:szCs w:val="12"/>
                <w:b w:val="1"/>
                <w:bCs w:val="1"/>
                <w:color w:val="FFFFFF"/>
              </w:rPr>
              <w:t>Unexercised</w:t>
            </w:r>
          </w:p>
        </w:tc>
        <w:tc>
          <w:tcPr>
            <w:tcW w:w="720" w:type="dxa"/>
            <w:vAlign w:val="bottom"/>
            <w:shd w:val="clear" w:color="auto" w:fill="666666"/>
          </w:tcPr>
          <w:p>
            <w:pPr>
              <w:jc w:val="right"/>
              <w:spacing w:after="0" w:line="136" w:lineRule="exact"/>
              <w:rPr>
                <w:sz w:val="20"/>
                <w:szCs w:val="20"/>
                <w:color w:val="auto"/>
              </w:rPr>
            </w:pPr>
            <w:r>
              <w:rPr>
                <w:rFonts w:ascii="Arial" w:cs="Arial" w:eastAsia="Arial" w:hAnsi="Arial"/>
                <w:sz w:val="12"/>
                <w:szCs w:val="12"/>
                <w:b w:val="1"/>
                <w:bCs w:val="1"/>
                <w:color w:val="FFFFFF"/>
              </w:rPr>
              <w:t>Option</w:t>
            </w:r>
          </w:p>
        </w:tc>
        <w:tc>
          <w:tcPr>
            <w:tcW w:w="8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w w:val="99"/>
              </w:rPr>
              <w:t>Not</w:t>
            </w:r>
          </w:p>
        </w:tc>
        <w:tc>
          <w:tcPr>
            <w:tcW w:w="920" w:type="dxa"/>
            <w:vAlign w:val="bottom"/>
            <w:gridSpan w:val="2"/>
            <w:shd w:val="clear" w:color="auto" w:fill="666666"/>
          </w:tcPr>
          <w:p>
            <w:pPr>
              <w:jc w:val="center"/>
              <w:ind w:right="35"/>
              <w:spacing w:after="0" w:line="136" w:lineRule="exact"/>
              <w:rPr>
                <w:sz w:val="20"/>
                <w:szCs w:val="20"/>
                <w:color w:val="auto"/>
              </w:rPr>
            </w:pPr>
            <w:r>
              <w:rPr>
                <w:rFonts w:ascii="Arial" w:cs="Arial" w:eastAsia="Arial" w:hAnsi="Arial"/>
                <w:sz w:val="12"/>
                <w:szCs w:val="12"/>
                <w:b w:val="1"/>
                <w:bCs w:val="1"/>
                <w:color w:val="FFFFFF"/>
              </w:rPr>
              <w:t>That Have</w:t>
            </w:r>
          </w:p>
        </w:tc>
        <w:tc>
          <w:tcPr>
            <w:tcW w:w="1520" w:type="dxa"/>
            <w:vAlign w:val="bottom"/>
            <w:shd w:val="clear" w:color="auto" w:fill="666666"/>
          </w:tcPr>
          <w:p>
            <w:pPr>
              <w:jc w:val="center"/>
              <w:ind w:right="317"/>
              <w:spacing w:after="0" w:line="136" w:lineRule="exact"/>
              <w:rPr>
                <w:sz w:val="20"/>
                <w:szCs w:val="20"/>
                <w:color w:val="auto"/>
              </w:rPr>
            </w:pPr>
            <w:r>
              <w:rPr>
                <w:rFonts w:ascii="Arial" w:cs="Arial" w:eastAsia="Arial" w:hAnsi="Arial"/>
                <w:sz w:val="12"/>
                <w:szCs w:val="12"/>
                <w:b w:val="1"/>
                <w:bCs w:val="1"/>
                <w:color w:val="FFFFFF"/>
              </w:rPr>
              <w:t>That Have</w:t>
            </w:r>
          </w:p>
        </w:tc>
        <w:tc>
          <w:tcPr>
            <w:tcW w:w="1340" w:type="dxa"/>
            <w:vAlign w:val="bottom"/>
            <w:gridSpan w:val="2"/>
            <w:shd w:val="clear" w:color="auto" w:fill="666666"/>
          </w:tcPr>
          <w:p>
            <w:pPr>
              <w:jc w:val="center"/>
              <w:ind w:right="153"/>
              <w:spacing w:after="0" w:line="136" w:lineRule="exact"/>
              <w:rPr>
                <w:sz w:val="20"/>
                <w:szCs w:val="20"/>
                <w:color w:val="auto"/>
              </w:rPr>
            </w:pPr>
            <w:r>
              <w:rPr>
                <w:rFonts w:ascii="Arial" w:cs="Arial" w:eastAsia="Arial" w:hAnsi="Arial"/>
                <w:sz w:val="12"/>
                <w:szCs w:val="12"/>
                <w:b w:val="1"/>
                <w:bCs w:val="1"/>
                <w:color w:val="FFFFFF"/>
              </w:rPr>
              <w:t>That Have</w:t>
            </w:r>
          </w:p>
        </w:tc>
        <w:tc>
          <w:tcPr>
            <w:tcW w:w="0" w:type="dxa"/>
            <w:vAlign w:val="bottom"/>
          </w:tcPr>
          <w:p>
            <w:pPr>
              <w:spacing w:after="0"/>
              <w:rPr>
                <w:sz w:val="1"/>
                <w:szCs w:val="1"/>
                <w:color w:val="auto"/>
              </w:rPr>
            </w:pPr>
          </w:p>
        </w:tc>
      </w:tr>
      <w:tr>
        <w:trPr>
          <w:trHeight w:val="136"/>
        </w:trPr>
        <w:tc>
          <w:tcPr>
            <w:tcW w:w="700" w:type="dxa"/>
            <w:vAlign w:val="bottom"/>
            <w:shd w:val="clear" w:color="auto" w:fill="666666"/>
          </w:tcPr>
          <w:p>
            <w:pPr>
              <w:spacing w:after="0"/>
              <w:rPr>
                <w:sz w:val="11"/>
                <w:szCs w:val="11"/>
                <w:color w:val="auto"/>
              </w:rPr>
            </w:pPr>
          </w:p>
        </w:tc>
        <w:tc>
          <w:tcPr>
            <w:tcW w:w="1140" w:type="dxa"/>
            <w:vAlign w:val="bottom"/>
            <w:shd w:val="clear" w:color="auto" w:fill="666666"/>
          </w:tcPr>
          <w:p>
            <w:pPr>
              <w:ind w:left="120"/>
              <w:spacing w:after="0" w:line="136" w:lineRule="exact"/>
              <w:rPr>
                <w:sz w:val="20"/>
                <w:szCs w:val="20"/>
                <w:color w:val="auto"/>
              </w:rPr>
            </w:pPr>
            <w:r>
              <w:rPr>
                <w:rFonts w:ascii="Arial" w:cs="Arial" w:eastAsia="Arial" w:hAnsi="Arial"/>
                <w:sz w:val="12"/>
                <w:szCs w:val="12"/>
                <w:b w:val="1"/>
                <w:bCs w:val="1"/>
                <w:color w:val="FFFFFF"/>
              </w:rPr>
              <w:t>Date of Grant of</w:t>
            </w:r>
          </w:p>
        </w:tc>
        <w:tc>
          <w:tcPr>
            <w:tcW w:w="1340" w:type="dxa"/>
            <w:vAlign w:val="bottom"/>
            <w:gridSpan w:val="2"/>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Options (#)</w:t>
            </w:r>
          </w:p>
        </w:tc>
        <w:tc>
          <w:tcPr>
            <w:tcW w:w="1340" w:type="dxa"/>
            <w:vAlign w:val="bottom"/>
            <w:shd w:val="clear" w:color="auto" w:fill="666666"/>
          </w:tcPr>
          <w:p>
            <w:pPr>
              <w:jc w:val="center"/>
              <w:ind w:left="36"/>
              <w:spacing w:after="0" w:line="136" w:lineRule="exact"/>
              <w:rPr>
                <w:sz w:val="20"/>
                <w:szCs w:val="20"/>
                <w:color w:val="auto"/>
              </w:rPr>
            </w:pPr>
            <w:r>
              <w:rPr>
                <w:rFonts w:ascii="Arial" w:cs="Arial" w:eastAsia="Arial" w:hAnsi="Arial"/>
                <w:sz w:val="12"/>
                <w:szCs w:val="12"/>
                <w:b w:val="1"/>
                <w:bCs w:val="1"/>
                <w:color w:val="FFFFFF"/>
              </w:rPr>
              <w:t>Options (#)</w:t>
            </w:r>
          </w:p>
        </w:tc>
        <w:tc>
          <w:tcPr>
            <w:tcW w:w="720" w:type="dxa"/>
            <w:vAlign w:val="bottom"/>
            <w:shd w:val="clear" w:color="auto" w:fill="666666"/>
          </w:tcPr>
          <w:p>
            <w:pPr>
              <w:jc w:val="right"/>
              <w:spacing w:after="0" w:line="136" w:lineRule="exact"/>
              <w:rPr>
                <w:sz w:val="20"/>
                <w:szCs w:val="20"/>
                <w:color w:val="auto"/>
              </w:rPr>
            </w:pPr>
            <w:r>
              <w:rPr>
                <w:rFonts w:ascii="Arial" w:cs="Arial" w:eastAsia="Arial" w:hAnsi="Arial"/>
                <w:sz w:val="12"/>
                <w:szCs w:val="12"/>
                <w:b w:val="1"/>
                <w:bCs w:val="1"/>
                <w:color w:val="FFFFFF"/>
              </w:rPr>
              <w:t>Exercise</w:t>
            </w:r>
          </w:p>
        </w:tc>
        <w:tc>
          <w:tcPr>
            <w:tcW w:w="820" w:type="dxa"/>
            <w:vAlign w:val="bottom"/>
            <w:shd w:val="clear" w:color="auto" w:fill="666666"/>
          </w:tcPr>
          <w:p>
            <w:pPr>
              <w:ind w:left="80"/>
              <w:spacing w:after="0" w:line="136" w:lineRule="exact"/>
              <w:rPr>
                <w:sz w:val="20"/>
                <w:szCs w:val="20"/>
                <w:color w:val="auto"/>
              </w:rPr>
            </w:pPr>
            <w:r>
              <w:rPr>
                <w:rFonts w:ascii="Arial" w:cs="Arial" w:eastAsia="Arial" w:hAnsi="Arial"/>
                <w:sz w:val="12"/>
                <w:szCs w:val="12"/>
                <w:b w:val="1"/>
                <w:bCs w:val="1"/>
                <w:color w:val="FFFFFF"/>
              </w:rPr>
              <w:t>Expiration</w:t>
            </w:r>
          </w:p>
        </w:tc>
        <w:tc>
          <w:tcPr>
            <w:tcW w:w="760" w:type="dxa"/>
            <w:vAlign w:val="bottom"/>
            <w:shd w:val="clear" w:color="auto" w:fill="666666"/>
          </w:tcPr>
          <w:p>
            <w:pPr>
              <w:jc w:val="right"/>
              <w:ind w:right="76"/>
              <w:spacing w:after="0" w:line="136" w:lineRule="exact"/>
              <w:rPr>
                <w:sz w:val="20"/>
                <w:szCs w:val="20"/>
                <w:color w:val="auto"/>
              </w:rPr>
            </w:pPr>
            <w:r>
              <w:rPr>
                <w:rFonts w:ascii="Arial" w:cs="Arial" w:eastAsia="Arial" w:hAnsi="Arial"/>
                <w:sz w:val="12"/>
                <w:szCs w:val="12"/>
                <w:b w:val="1"/>
                <w:bCs w:val="1"/>
                <w:color w:val="FFFFFF"/>
              </w:rPr>
              <w:t>Vested</w:t>
            </w:r>
          </w:p>
        </w:tc>
        <w:tc>
          <w:tcPr>
            <w:tcW w:w="260" w:type="dxa"/>
            <w:vAlign w:val="bottom"/>
            <w:shd w:val="clear" w:color="auto" w:fill="666666"/>
          </w:tcPr>
          <w:p>
            <w:pPr>
              <w:spacing w:after="0"/>
              <w:rPr>
                <w:sz w:val="11"/>
                <w:szCs w:val="11"/>
                <w:color w:val="auto"/>
              </w:rPr>
            </w:pPr>
          </w:p>
        </w:tc>
        <w:tc>
          <w:tcPr>
            <w:tcW w:w="660" w:type="dxa"/>
            <w:vAlign w:val="bottom"/>
            <w:shd w:val="clear" w:color="auto" w:fill="666666"/>
          </w:tcPr>
          <w:p>
            <w:pPr>
              <w:jc w:val="center"/>
              <w:ind w:right="295"/>
              <w:spacing w:after="0" w:line="136" w:lineRule="exact"/>
              <w:rPr>
                <w:sz w:val="20"/>
                <w:szCs w:val="20"/>
                <w:color w:val="auto"/>
              </w:rPr>
            </w:pPr>
            <w:r>
              <w:rPr>
                <w:rFonts w:ascii="Arial" w:cs="Arial" w:eastAsia="Arial" w:hAnsi="Arial"/>
                <w:sz w:val="12"/>
                <w:szCs w:val="12"/>
                <w:b w:val="1"/>
                <w:bCs w:val="1"/>
                <w:color w:val="FFFFFF"/>
              </w:rPr>
              <w:t>Not</w:t>
            </w:r>
          </w:p>
        </w:tc>
        <w:tc>
          <w:tcPr>
            <w:tcW w:w="1520" w:type="dxa"/>
            <w:vAlign w:val="bottom"/>
            <w:shd w:val="clear" w:color="auto" w:fill="666666"/>
          </w:tcPr>
          <w:p>
            <w:pPr>
              <w:jc w:val="center"/>
              <w:ind w:right="297"/>
              <w:spacing w:after="0" w:line="136" w:lineRule="exact"/>
              <w:rPr>
                <w:sz w:val="20"/>
                <w:szCs w:val="20"/>
                <w:color w:val="auto"/>
              </w:rPr>
            </w:pPr>
            <w:r>
              <w:rPr>
                <w:rFonts w:ascii="Arial" w:cs="Arial" w:eastAsia="Arial" w:hAnsi="Arial"/>
                <w:sz w:val="12"/>
                <w:szCs w:val="12"/>
                <w:b w:val="1"/>
                <w:bCs w:val="1"/>
                <w:color w:val="FFFFFF"/>
                <w:w w:val="99"/>
              </w:rPr>
              <w:t>Not</w:t>
            </w:r>
          </w:p>
        </w:tc>
        <w:tc>
          <w:tcPr>
            <w:tcW w:w="300" w:type="dxa"/>
            <w:vAlign w:val="bottom"/>
            <w:shd w:val="clear" w:color="auto" w:fill="666666"/>
          </w:tcPr>
          <w:p>
            <w:pPr>
              <w:spacing w:after="0"/>
              <w:rPr>
                <w:sz w:val="11"/>
                <w:szCs w:val="11"/>
                <w:color w:val="auto"/>
              </w:rPr>
            </w:pPr>
          </w:p>
        </w:tc>
        <w:tc>
          <w:tcPr>
            <w:tcW w:w="1040" w:type="dxa"/>
            <w:vAlign w:val="bottom"/>
            <w:shd w:val="clear" w:color="auto" w:fill="666666"/>
          </w:tcPr>
          <w:p>
            <w:pPr>
              <w:jc w:val="center"/>
              <w:ind w:right="453"/>
              <w:spacing w:after="0" w:line="136" w:lineRule="exact"/>
              <w:rPr>
                <w:sz w:val="20"/>
                <w:szCs w:val="20"/>
                <w:color w:val="auto"/>
              </w:rPr>
            </w:pPr>
            <w:r>
              <w:rPr>
                <w:rFonts w:ascii="Arial" w:cs="Arial" w:eastAsia="Arial" w:hAnsi="Arial"/>
                <w:sz w:val="12"/>
                <w:szCs w:val="12"/>
                <w:b w:val="1"/>
                <w:bCs w:val="1"/>
                <w:color w:val="FFFFFF"/>
                <w:w w:val="99"/>
              </w:rPr>
              <w:t>Not</w:t>
            </w:r>
          </w:p>
        </w:tc>
        <w:tc>
          <w:tcPr>
            <w:tcW w:w="0" w:type="dxa"/>
            <w:vAlign w:val="bottom"/>
          </w:tcPr>
          <w:p>
            <w:pPr>
              <w:spacing w:after="0"/>
              <w:rPr>
                <w:sz w:val="1"/>
                <w:szCs w:val="1"/>
                <w:color w:val="auto"/>
              </w:rPr>
            </w:pPr>
          </w:p>
        </w:tc>
      </w:tr>
      <w:tr>
        <w:trPr>
          <w:trHeight w:val="161"/>
        </w:trPr>
        <w:tc>
          <w:tcPr>
            <w:tcW w:w="700" w:type="dxa"/>
            <w:vAlign w:val="bottom"/>
            <w:shd w:val="clear" w:color="auto" w:fill="666666"/>
          </w:tcPr>
          <w:p>
            <w:pPr>
              <w:ind w:left="60"/>
              <w:spacing w:after="0"/>
              <w:rPr>
                <w:sz w:val="20"/>
                <w:szCs w:val="20"/>
                <w:color w:val="auto"/>
              </w:rPr>
            </w:pPr>
            <w:r>
              <w:rPr>
                <w:rFonts w:ascii="Arial" w:cs="Arial" w:eastAsia="Arial" w:hAnsi="Arial"/>
                <w:sz w:val="12"/>
                <w:szCs w:val="12"/>
                <w:b w:val="1"/>
                <w:bCs w:val="1"/>
                <w:color w:val="FFFFFF"/>
              </w:rPr>
              <w:t>Name</w:t>
            </w:r>
          </w:p>
        </w:tc>
        <w:tc>
          <w:tcPr>
            <w:tcW w:w="1140" w:type="dxa"/>
            <w:vAlign w:val="bottom"/>
            <w:shd w:val="clear" w:color="auto" w:fill="666666"/>
          </w:tcPr>
          <w:p>
            <w:pPr>
              <w:ind w:left="200"/>
              <w:spacing w:after="0"/>
              <w:rPr>
                <w:sz w:val="20"/>
                <w:szCs w:val="20"/>
                <w:color w:val="auto"/>
              </w:rPr>
            </w:pPr>
            <w:r>
              <w:rPr>
                <w:rFonts w:ascii="Arial" w:cs="Arial" w:eastAsia="Arial" w:hAnsi="Arial"/>
                <w:sz w:val="12"/>
                <w:szCs w:val="12"/>
                <w:b w:val="1"/>
                <w:bCs w:val="1"/>
                <w:color w:val="FFFFFF"/>
              </w:rPr>
              <w:t>Equity Award</w:t>
            </w:r>
          </w:p>
        </w:tc>
        <w:tc>
          <w:tcPr>
            <w:tcW w:w="1340" w:type="dxa"/>
            <w:vAlign w:val="bottom"/>
            <w:gridSpan w:val="2"/>
            <w:shd w:val="clear" w:color="auto" w:fill="666666"/>
          </w:tcPr>
          <w:p>
            <w:pPr>
              <w:jc w:val="center"/>
              <w:spacing w:after="0" w:line="161" w:lineRule="exact"/>
              <w:rPr>
                <w:sz w:val="20"/>
                <w:szCs w:val="20"/>
                <w:color w:val="auto"/>
              </w:rPr>
            </w:pPr>
            <w:r>
              <w:rPr>
                <w:rFonts w:ascii="Arial" w:cs="Arial" w:eastAsia="Arial" w:hAnsi="Arial"/>
                <w:sz w:val="12"/>
                <w:szCs w:val="12"/>
                <w:b w:val="1"/>
                <w:bCs w:val="1"/>
                <w:color w:val="FFFFFF"/>
                <w:w w:val="98"/>
              </w:rPr>
              <w:t>Exercisable</w:t>
            </w:r>
            <w:r>
              <w:rPr>
                <w:rFonts w:ascii="Arial" w:cs="Arial" w:eastAsia="Arial" w:hAnsi="Arial"/>
                <w:sz w:val="18"/>
                <w:szCs w:val="18"/>
                <w:b w:val="1"/>
                <w:bCs w:val="1"/>
                <w:color w:val="FFFFFF"/>
                <w:w w:val="98"/>
                <w:vertAlign w:val="superscript"/>
              </w:rPr>
              <w:t>(1)</w:t>
            </w:r>
          </w:p>
        </w:tc>
        <w:tc>
          <w:tcPr>
            <w:tcW w:w="1340" w:type="dxa"/>
            <w:vAlign w:val="bottom"/>
            <w:shd w:val="clear" w:color="auto" w:fill="666666"/>
          </w:tcPr>
          <w:p>
            <w:pPr>
              <w:jc w:val="center"/>
              <w:ind w:left="36"/>
              <w:spacing w:after="0" w:line="161" w:lineRule="exact"/>
              <w:rPr>
                <w:sz w:val="20"/>
                <w:szCs w:val="20"/>
                <w:color w:val="auto"/>
              </w:rPr>
            </w:pPr>
            <w:r>
              <w:rPr>
                <w:rFonts w:ascii="Arial" w:cs="Arial" w:eastAsia="Arial" w:hAnsi="Arial"/>
                <w:sz w:val="12"/>
                <w:szCs w:val="12"/>
                <w:b w:val="1"/>
                <w:bCs w:val="1"/>
                <w:color w:val="FFFFFF"/>
                <w:w w:val="99"/>
              </w:rPr>
              <w:t>Unexercisable</w:t>
            </w:r>
            <w:r>
              <w:rPr>
                <w:rFonts w:ascii="Arial" w:cs="Arial" w:eastAsia="Arial" w:hAnsi="Arial"/>
                <w:sz w:val="18"/>
                <w:szCs w:val="18"/>
                <w:b w:val="1"/>
                <w:bCs w:val="1"/>
                <w:color w:val="FFFFFF"/>
                <w:w w:val="99"/>
                <w:vertAlign w:val="superscript"/>
              </w:rPr>
              <w:t>(1)</w:t>
            </w:r>
          </w:p>
        </w:tc>
        <w:tc>
          <w:tcPr>
            <w:tcW w:w="720" w:type="dxa"/>
            <w:vAlign w:val="bottom"/>
            <w:shd w:val="clear" w:color="auto" w:fill="666666"/>
          </w:tcPr>
          <w:p>
            <w:pPr>
              <w:jc w:val="right"/>
              <w:ind w:right="16"/>
              <w:spacing w:after="0"/>
              <w:rPr>
                <w:sz w:val="20"/>
                <w:szCs w:val="20"/>
                <w:color w:val="auto"/>
              </w:rPr>
            </w:pPr>
            <w:r>
              <w:rPr>
                <w:rFonts w:ascii="Arial" w:cs="Arial" w:eastAsia="Arial" w:hAnsi="Arial"/>
                <w:sz w:val="12"/>
                <w:szCs w:val="12"/>
                <w:b w:val="1"/>
                <w:bCs w:val="1"/>
                <w:color w:val="FFFFFF"/>
              </w:rPr>
              <w:t>Price ($)</w:t>
            </w:r>
          </w:p>
        </w:tc>
        <w:tc>
          <w:tcPr>
            <w:tcW w:w="820" w:type="dxa"/>
            <w:vAlign w:val="bottom"/>
            <w:shd w:val="clear" w:color="auto" w:fill="666666"/>
          </w:tcPr>
          <w:p>
            <w:pPr>
              <w:ind w:left="300"/>
              <w:spacing w:after="0"/>
              <w:rPr>
                <w:sz w:val="20"/>
                <w:szCs w:val="20"/>
                <w:color w:val="auto"/>
              </w:rPr>
            </w:pPr>
            <w:r>
              <w:rPr>
                <w:rFonts w:ascii="Arial" w:cs="Arial" w:eastAsia="Arial" w:hAnsi="Arial"/>
                <w:sz w:val="12"/>
                <w:szCs w:val="12"/>
                <w:b w:val="1"/>
                <w:bCs w:val="1"/>
                <w:color w:val="FFFFFF"/>
              </w:rPr>
              <w:t>Date</w:t>
            </w:r>
          </w:p>
        </w:tc>
        <w:tc>
          <w:tcPr>
            <w:tcW w:w="760" w:type="dxa"/>
            <w:vAlign w:val="bottom"/>
            <w:shd w:val="clear" w:color="auto" w:fill="666666"/>
          </w:tcPr>
          <w:p>
            <w:pPr>
              <w:jc w:val="right"/>
              <w:ind w:right="156"/>
              <w:spacing w:after="0" w:line="161"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(2)</w:t>
            </w:r>
          </w:p>
        </w:tc>
        <w:tc>
          <w:tcPr>
            <w:tcW w:w="920" w:type="dxa"/>
            <w:vAlign w:val="bottom"/>
            <w:gridSpan w:val="2"/>
            <w:shd w:val="clear" w:color="auto" w:fill="666666"/>
          </w:tcPr>
          <w:p>
            <w:pPr>
              <w:jc w:val="center"/>
              <w:ind w:right="35"/>
              <w:spacing w:after="0"/>
              <w:rPr>
                <w:sz w:val="20"/>
                <w:szCs w:val="20"/>
                <w:color w:val="auto"/>
              </w:rPr>
            </w:pPr>
            <w:r>
              <w:rPr>
                <w:rFonts w:ascii="Arial" w:cs="Arial" w:eastAsia="Arial" w:hAnsi="Arial"/>
                <w:sz w:val="12"/>
                <w:szCs w:val="12"/>
                <w:b w:val="1"/>
                <w:bCs w:val="1"/>
                <w:color w:val="FFFFFF"/>
              </w:rPr>
              <w:t>Vested ($)</w:t>
            </w:r>
          </w:p>
        </w:tc>
        <w:tc>
          <w:tcPr>
            <w:tcW w:w="1520" w:type="dxa"/>
            <w:vAlign w:val="bottom"/>
            <w:shd w:val="clear" w:color="auto" w:fill="666666"/>
          </w:tcPr>
          <w:p>
            <w:pPr>
              <w:jc w:val="center"/>
              <w:ind w:right="317"/>
              <w:spacing w:after="0" w:line="161" w:lineRule="exact"/>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18"/>
                <w:szCs w:val="18"/>
                <w:b w:val="1"/>
                <w:bCs w:val="1"/>
                <w:color w:val="FFFFFF"/>
                <w:w w:val="97"/>
                <w:vertAlign w:val="superscript"/>
              </w:rPr>
              <w:t>(2)</w:t>
            </w:r>
          </w:p>
        </w:tc>
        <w:tc>
          <w:tcPr>
            <w:tcW w:w="1340" w:type="dxa"/>
            <w:vAlign w:val="bottom"/>
            <w:gridSpan w:val="2"/>
            <w:shd w:val="clear" w:color="auto" w:fill="666666"/>
          </w:tcPr>
          <w:p>
            <w:pPr>
              <w:jc w:val="center"/>
              <w:ind w:right="173"/>
              <w:spacing w:after="0"/>
              <w:rPr>
                <w:sz w:val="20"/>
                <w:szCs w:val="20"/>
                <w:color w:val="auto"/>
              </w:rPr>
            </w:pPr>
            <w:r>
              <w:rPr>
                <w:rFonts w:ascii="Arial" w:cs="Arial" w:eastAsia="Arial" w:hAnsi="Arial"/>
                <w:sz w:val="12"/>
                <w:szCs w:val="12"/>
                <w:b w:val="1"/>
                <w:bCs w:val="1"/>
                <w:color w:val="FFFFFF"/>
              </w:rPr>
              <w:t>Vested ($)</w:t>
            </w:r>
          </w:p>
        </w:tc>
        <w:tc>
          <w:tcPr>
            <w:tcW w:w="0" w:type="dxa"/>
            <w:vAlign w:val="bottom"/>
          </w:tcPr>
          <w:p>
            <w:pPr>
              <w:spacing w:after="0"/>
              <w:rPr>
                <w:sz w:val="1"/>
                <w:szCs w:val="1"/>
                <w:color w:val="auto"/>
              </w:rPr>
            </w:pPr>
          </w:p>
        </w:tc>
      </w:tr>
      <w:tr>
        <w:trPr>
          <w:trHeight w:val="141"/>
        </w:trPr>
        <w:tc>
          <w:tcPr>
            <w:tcW w:w="700" w:type="dxa"/>
            <w:vAlign w:val="bottom"/>
            <w:shd w:val="clear" w:color="auto" w:fill="E5E5E5"/>
          </w:tcPr>
          <w:p>
            <w:pPr>
              <w:ind w:left="80"/>
              <w:spacing w:after="0" w:line="141" w:lineRule="exact"/>
              <w:rPr>
                <w:sz w:val="20"/>
                <w:szCs w:val="20"/>
                <w:color w:val="auto"/>
              </w:rPr>
            </w:pPr>
            <w:r>
              <w:rPr>
                <w:rFonts w:ascii="Arial" w:cs="Arial" w:eastAsia="Arial" w:hAnsi="Arial"/>
                <w:sz w:val="13"/>
                <w:szCs w:val="13"/>
                <w:b w:val="1"/>
                <w:bCs w:val="1"/>
                <w:color w:val="auto"/>
              </w:rPr>
              <w:t>Sean</w:t>
            </w:r>
          </w:p>
        </w:tc>
        <w:tc>
          <w:tcPr>
            <w:tcW w:w="1140" w:type="dxa"/>
            <w:vAlign w:val="bottom"/>
            <w:vMerge w:val="restart"/>
            <w:shd w:val="clear" w:color="auto" w:fill="E5E5E5"/>
          </w:tcPr>
          <w:p>
            <w:pPr>
              <w:ind w:left="480"/>
              <w:spacing w:after="0"/>
              <w:rPr>
                <w:sz w:val="20"/>
                <w:szCs w:val="20"/>
                <w:color w:val="auto"/>
              </w:rPr>
            </w:pPr>
            <w:r>
              <w:rPr>
                <w:rFonts w:ascii="Arial" w:cs="Arial" w:eastAsia="Arial" w:hAnsi="Arial"/>
                <w:sz w:val="13"/>
                <w:szCs w:val="13"/>
                <w:color w:val="auto"/>
                <w:w w:val="98"/>
              </w:rPr>
              <w:t>03/13/2020</w:t>
            </w:r>
          </w:p>
        </w:tc>
        <w:tc>
          <w:tcPr>
            <w:tcW w:w="1340" w:type="dxa"/>
            <w:vAlign w:val="bottom"/>
            <w:gridSpan w:val="2"/>
            <w:vMerge w:val="restart"/>
            <w:shd w:val="clear" w:color="auto" w:fill="E5E5E5"/>
          </w:tcPr>
          <w:p>
            <w:pPr>
              <w:jc w:val="right"/>
              <w:ind w:right="218"/>
              <w:spacing w:after="0"/>
              <w:rPr>
                <w:sz w:val="20"/>
                <w:szCs w:val="20"/>
                <w:color w:val="auto"/>
              </w:rPr>
            </w:pPr>
            <w:r>
              <w:rPr>
                <w:rFonts w:ascii="Arial" w:cs="Arial" w:eastAsia="Arial" w:hAnsi="Arial"/>
                <w:sz w:val="13"/>
                <w:szCs w:val="13"/>
                <w:color w:val="auto"/>
              </w:rPr>
              <w:t>280,280</w:t>
            </w:r>
            <w:r>
              <w:rPr>
                <w:rFonts w:ascii="Arial" w:cs="Arial" w:eastAsia="Arial" w:hAnsi="Arial"/>
                <w:sz w:val="19"/>
                <w:szCs w:val="19"/>
                <w:color w:val="auto"/>
                <w:vertAlign w:val="superscript"/>
              </w:rPr>
              <w:t>(3)</w:t>
            </w:r>
          </w:p>
        </w:tc>
        <w:tc>
          <w:tcPr>
            <w:tcW w:w="1340" w:type="dxa"/>
            <w:vAlign w:val="bottom"/>
            <w:vMerge w:val="restart"/>
            <w:shd w:val="clear" w:color="auto" w:fill="E5E5E5"/>
          </w:tcPr>
          <w:p>
            <w:pPr>
              <w:jc w:val="right"/>
              <w:ind w:right="176"/>
              <w:spacing w:after="0"/>
              <w:rPr>
                <w:sz w:val="20"/>
                <w:szCs w:val="20"/>
                <w:color w:val="auto"/>
              </w:rPr>
            </w:pPr>
            <w:r>
              <w:rPr>
                <w:rFonts w:ascii="Arial" w:cs="Arial" w:eastAsia="Arial" w:hAnsi="Arial"/>
                <w:sz w:val="13"/>
                <w:szCs w:val="13"/>
                <w:color w:val="auto"/>
              </w:rPr>
              <w:t>140,140</w:t>
            </w:r>
            <w:r>
              <w:rPr>
                <w:rFonts w:ascii="Arial" w:cs="Arial" w:eastAsia="Arial" w:hAnsi="Arial"/>
                <w:sz w:val="19"/>
                <w:szCs w:val="19"/>
                <w:color w:val="auto"/>
                <w:vertAlign w:val="superscript"/>
              </w:rPr>
              <w:t>(3)</w:t>
            </w:r>
          </w:p>
        </w:tc>
        <w:tc>
          <w:tcPr>
            <w:tcW w:w="720" w:type="dxa"/>
            <w:vAlign w:val="bottom"/>
            <w:vMerge w:val="restart"/>
            <w:shd w:val="clear" w:color="auto" w:fill="E5E5E5"/>
          </w:tcPr>
          <w:p>
            <w:pPr>
              <w:ind w:left="220"/>
              <w:spacing w:after="0"/>
              <w:rPr>
                <w:sz w:val="20"/>
                <w:szCs w:val="20"/>
                <w:color w:val="auto"/>
              </w:rPr>
            </w:pPr>
            <w:r>
              <w:rPr>
                <w:rFonts w:ascii="Arial" w:cs="Arial" w:eastAsia="Arial" w:hAnsi="Arial"/>
                <w:sz w:val="13"/>
                <w:szCs w:val="13"/>
                <w:color w:val="auto"/>
              </w:rPr>
              <w:t>$ 8.33</w:t>
            </w:r>
          </w:p>
        </w:tc>
        <w:tc>
          <w:tcPr>
            <w:tcW w:w="820" w:type="dxa"/>
            <w:vAlign w:val="bottom"/>
            <w:vMerge w:val="restart"/>
            <w:shd w:val="clear" w:color="auto" w:fill="E5E5E5"/>
          </w:tcPr>
          <w:p>
            <w:pPr>
              <w:ind w:left="80"/>
              <w:spacing w:after="0"/>
              <w:rPr>
                <w:sz w:val="20"/>
                <w:szCs w:val="20"/>
                <w:color w:val="auto"/>
              </w:rPr>
            </w:pPr>
            <w:r>
              <w:rPr>
                <w:rFonts w:ascii="Arial" w:cs="Arial" w:eastAsia="Arial" w:hAnsi="Arial"/>
                <w:sz w:val="13"/>
                <w:szCs w:val="13"/>
                <w:color w:val="auto"/>
              </w:rPr>
              <w:t>03/13/2030</w:t>
            </w:r>
          </w:p>
        </w:tc>
        <w:tc>
          <w:tcPr>
            <w:tcW w:w="76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15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shd w:val="clear" w:color="auto" w:fill="E5E5E5"/>
          </w:tcPr>
          <w:p>
            <w:pPr>
              <w:ind w:left="140"/>
              <w:spacing w:after="0"/>
              <w:rPr>
                <w:sz w:val="20"/>
                <w:szCs w:val="20"/>
                <w:color w:val="auto"/>
              </w:rPr>
            </w:pPr>
            <w:r>
              <w:rPr>
                <w:rFonts w:ascii="Arial" w:cs="Arial" w:eastAsia="Arial" w:hAnsi="Arial"/>
                <w:sz w:val="13"/>
                <w:szCs w:val="13"/>
                <w:b w:val="1"/>
                <w:bCs w:val="1"/>
                <w:color w:val="auto"/>
              </w:rPr>
              <w:t>Menke</w:t>
            </w:r>
          </w:p>
        </w:tc>
        <w:tc>
          <w:tcPr>
            <w:tcW w:w="1140" w:type="dxa"/>
            <w:vAlign w:val="bottom"/>
            <w:vMerge w:val="continue"/>
            <w:shd w:val="clear" w:color="auto" w:fill="E5E5E5"/>
          </w:tcPr>
          <w:p>
            <w:pPr>
              <w:spacing w:after="0"/>
              <w:rPr>
                <w:sz w:val="13"/>
                <w:szCs w:val="13"/>
                <w:color w:val="auto"/>
              </w:rPr>
            </w:pPr>
          </w:p>
        </w:tc>
        <w:tc>
          <w:tcPr>
            <w:tcW w:w="1340" w:type="dxa"/>
            <w:vAlign w:val="bottom"/>
            <w:gridSpan w:val="2"/>
            <w:vMerge w:val="continue"/>
            <w:shd w:val="clear" w:color="auto" w:fill="E5E5E5"/>
          </w:tcPr>
          <w:p>
            <w:pPr>
              <w:spacing w:after="0"/>
              <w:rPr>
                <w:sz w:val="13"/>
                <w:szCs w:val="13"/>
                <w:color w:val="auto"/>
              </w:rPr>
            </w:pPr>
          </w:p>
        </w:tc>
        <w:tc>
          <w:tcPr>
            <w:tcW w:w="1340" w:type="dxa"/>
            <w:vAlign w:val="bottom"/>
            <w:vMerge w:val="continue"/>
            <w:shd w:val="clear" w:color="auto" w:fill="E5E5E5"/>
          </w:tcPr>
          <w:p>
            <w:pPr>
              <w:spacing w:after="0"/>
              <w:rPr>
                <w:sz w:val="13"/>
                <w:szCs w:val="13"/>
                <w:color w:val="auto"/>
              </w:rPr>
            </w:pPr>
          </w:p>
        </w:tc>
        <w:tc>
          <w:tcPr>
            <w:tcW w:w="720" w:type="dxa"/>
            <w:vAlign w:val="bottom"/>
            <w:vMerge w:val="continue"/>
            <w:shd w:val="clear" w:color="auto" w:fill="E5E5E5"/>
          </w:tcPr>
          <w:p>
            <w:pPr>
              <w:spacing w:after="0"/>
              <w:rPr>
                <w:sz w:val="13"/>
                <w:szCs w:val="13"/>
                <w:color w:val="auto"/>
              </w:rPr>
            </w:pPr>
          </w:p>
        </w:tc>
        <w:tc>
          <w:tcPr>
            <w:tcW w:w="820" w:type="dxa"/>
            <w:vAlign w:val="bottom"/>
            <w:vMerge w:val="continue"/>
            <w:shd w:val="clear" w:color="auto" w:fill="E5E5E5"/>
          </w:tcPr>
          <w:p>
            <w:pPr>
              <w:spacing w:after="0"/>
              <w:rPr>
                <w:sz w:val="13"/>
                <w:szCs w:val="13"/>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84,460</w:t>
            </w:r>
            <w:r>
              <w:rPr>
                <w:rFonts w:ascii="Arial" w:cs="Arial" w:eastAsia="Arial" w:hAnsi="Arial"/>
                <w:sz w:val="19"/>
                <w:szCs w:val="19"/>
                <w:color w:val="auto"/>
                <w:vertAlign w:val="superscript"/>
              </w:rPr>
              <w:t>(4)</w:t>
            </w:r>
          </w:p>
        </w:tc>
        <w:tc>
          <w:tcPr>
            <w:tcW w:w="2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152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03/15/2019</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vMerge w:val="continue"/>
            <w:shd w:val="clear" w:color="auto" w:fill="E5E5E5"/>
          </w:tcPr>
          <w:p>
            <w:pPr>
              <w:spacing w:after="0"/>
              <w:rPr>
                <w:sz w:val="15"/>
                <w:szCs w:val="15"/>
                <w:color w:val="auto"/>
              </w:rPr>
            </w:pPr>
          </w:p>
        </w:tc>
        <w:tc>
          <w:tcPr>
            <w:tcW w:w="26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3"/>
                <w:szCs w:val="13"/>
                <w:color w:val="auto"/>
                <w:w w:val="97"/>
              </w:rPr>
              <w:t>521,963</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03/13/2020</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87,588</w:t>
            </w:r>
            <w:r>
              <w:rPr>
                <w:rFonts w:ascii="Arial" w:cs="Arial" w:eastAsia="Arial" w:hAnsi="Arial"/>
                <w:sz w:val="19"/>
                <w:szCs w:val="19"/>
                <w:color w:val="auto"/>
                <w:vertAlign w:val="superscript"/>
              </w:rPr>
              <w:t>(4)</w:t>
            </w:r>
          </w:p>
        </w:tc>
        <w:tc>
          <w:tcPr>
            <w:tcW w:w="26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3"/>
                <w:szCs w:val="13"/>
                <w:color w:val="auto"/>
                <w:w w:val="97"/>
              </w:rPr>
              <w:t>541,294</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03/13/2020</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131,381</w:t>
            </w:r>
            <w:r>
              <w:rPr>
                <w:rFonts w:ascii="Arial" w:cs="Arial" w:eastAsia="Arial" w:hAnsi="Arial"/>
                <w:sz w:val="19"/>
                <w:szCs w:val="19"/>
                <w:color w:val="auto"/>
                <w:vertAlign w:val="superscript"/>
              </w:rPr>
              <w:t>(4)</w:t>
            </w:r>
          </w:p>
        </w:tc>
        <w:tc>
          <w:tcPr>
            <w:tcW w:w="26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3"/>
                <w:szCs w:val="13"/>
                <w:color w:val="auto"/>
                <w:w w:val="97"/>
              </w:rPr>
              <w:t>811,935</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03/15/2021</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174,130</w:t>
            </w:r>
            <w:r>
              <w:rPr>
                <w:rFonts w:ascii="Arial" w:cs="Arial" w:eastAsia="Arial" w:hAnsi="Arial"/>
                <w:sz w:val="19"/>
                <w:szCs w:val="19"/>
                <w:color w:val="auto"/>
                <w:vertAlign w:val="superscript"/>
              </w:rPr>
              <w:t>(4)</w:t>
            </w:r>
          </w:p>
        </w:tc>
        <w:tc>
          <w:tcPr>
            <w:tcW w:w="920" w:type="dxa"/>
            <w:vAlign w:val="bottom"/>
            <w:gridSpan w:val="2"/>
            <w:shd w:val="clear" w:color="auto" w:fill="E5E5E5"/>
          </w:tcPr>
          <w:p>
            <w:pPr>
              <w:jc w:val="right"/>
              <w:ind w:right="115"/>
              <w:spacing w:after="0"/>
              <w:rPr>
                <w:sz w:val="20"/>
                <w:szCs w:val="20"/>
                <w:color w:val="auto"/>
              </w:rPr>
            </w:pPr>
            <w:r>
              <w:rPr>
                <w:rFonts w:ascii="Arial" w:cs="Arial" w:eastAsia="Arial" w:hAnsi="Arial"/>
                <w:sz w:val="13"/>
                <w:szCs w:val="13"/>
                <w:color w:val="auto"/>
              </w:rPr>
              <w:t>$1,076,123</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03/15/2021</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261,194</w:t>
            </w:r>
            <w:r>
              <w:rPr>
                <w:rFonts w:ascii="Arial" w:cs="Arial" w:eastAsia="Arial" w:hAnsi="Arial"/>
                <w:sz w:val="19"/>
                <w:szCs w:val="19"/>
                <w:color w:val="auto"/>
                <w:vertAlign w:val="superscript"/>
              </w:rPr>
              <w:t>(4)</w:t>
            </w:r>
          </w:p>
        </w:tc>
        <w:tc>
          <w:tcPr>
            <w:tcW w:w="920" w:type="dxa"/>
            <w:vAlign w:val="bottom"/>
            <w:gridSpan w:val="2"/>
            <w:shd w:val="clear" w:color="auto" w:fill="E5E5E5"/>
          </w:tcPr>
          <w:p>
            <w:pPr>
              <w:jc w:val="right"/>
              <w:ind w:right="115"/>
              <w:spacing w:after="0"/>
              <w:rPr>
                <w:sz w:val="20"/>
                <w:szCs w:val="20"/>
                <w:color w:val="auto"/>
              </w:rPr>
            </w:pPr>
            <w:r>
              <w:rPr>
                <w:rFonts w:ascii="Arial" w:cs="Arial" w:eastAsia="Arial" w:hAnsi="Arial"/>
                <w:sz w:val="13"/>
                <w:szCs w:val="13"/>
                <w:color w:val="auto"/>
              </w:rPr>
              <w:t>$1,614,179</w:t>
            </w:r>
          </w:p>
        </w:tc>
        <w:tc>
          <w:tcPr>
            <w:tcW w:w="1520" w:type="dxa"/>
            <w:vAlign w:val="bottom"/>
            <w:vMerge w:val="restart"/>
            <w:shd w:val="clear" w:color="auto" w:fill="E5E5E5"/>
          </w:tcPr>
          <w:p>
            <w:pPr>
              <w:jc w:val="right"/>
              <w:ind w:right="497"/>
              <w:spacing w:after="0"/>
              <w:rPr>
                <w:sz w:val="20"/>
                <w:szCs w:val="20"/>
                <w:color w:val="auto"/>
              </w:rPr>
            </w:pPr>
            <w:r>
              <w:rPr>
                <w:rFonts w:ascii="Arial" w:cs="Arial" w:eastAsia="Arial" w:hAnsi="Arial"/>
                <w:sz w:val="13"/>
                <w:szCs w:val="13"/>
                <w:color w:val="auto"/>
              </w:rPr>
              <w:t>364,964</w:t>
            </w:r>
            <w:r>
              <w:rPr>
                <w:rFonts w:ascii="Arial" w:cs="Arial" w:eastAsia="Arial" w:hAnsi="Arial"/>
                <w:sz w:val="19"/>
                <w:szCs w:val="19"/>
                <w:color w:val="auto"/>
                <w:vertAlign w:val="superscript"/>
              </w:rPr>
              <w:t>(5)</w:t>
            </w: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03/15/2022</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275,584</w:t>
            </w:r>
            <w:r>
              <w:rPr>
                <w:rFonts w:ascii="Arial" w:cs="Arial" w:eastAsia="Arial" w:hAnsi="Arial"/>
                <w:sz w:val="19"/>
                <w:szCs w:val="19"/>
                <w:color w:val="auto"/>
                <w:vertAlign w:val="superscript"/>
              </w:rPr>
              <w:t>(6)</w:t>
            </w:r>
          </w:p>
        </w:tc>
        <w:tc>
          <w:tcPr>
            <w:tcW w:w="2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520" w:type="dxa"/>
            <w:vAlign w:val="bottom"/>
            <w:vMerge w:val="continue"/>
            <w:shd w:val="clear" w:color="auto" w:fill="E5E5E5"/>
          </w:tcPr>
          <w:p>
            <w:pPr>
              <w:spacing w:after="0"/>
              <w:rPr>
                <w:sz w:val="15"/>
                <w:szCs w:val="15"/>
                <w:color w:val="auto"/>
              </w:rPr>
            </w:pPr>
          </w:p>
        </w:tc>
        <w:tc>
          <w:tcPr>
            <w:tcW w:w="1340" w:type="dxa"/>
            <w:vAlign w:val="bottom"/>
            <w:gridSpan w:val="2"/>
            <w:shd w:val="clear" w:color="auto" w:fill="E5E5E5"/>
          </w:tcPr>
          <w:p>
            <w:pPr>
              <w:jc w:val="right"/>
              <w:ind w:right="393"/>
              <w:spacing w:after="0"/>
              <w:rPr>
                <w:sz w:val="20"/>
                <w:szCs w:val="20"/>
                <w:color w:val="auto"/>
              </w:rPr>
            </w:pPr>
            <w:r>
              <w:rPr>
                <w:rFonts w:ascii="Arial" w:cs="Arial" w:eastAsia="Arial" w:hAnsi="Arial"/>
                <w:sz w:val="13"/>
                <w:szCs w:val="13"/>
                <w:color w:val="auto"/>
              </w:rPr>
              <w:t>$2,255,478</w:t>
            </w: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03/15/2021</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vMerge w:val="continue"/>
            <w:shd w:val="clear" w:color="auto" w:fill="E5E5E5"/>
          </w:tcPr>
          <w:p>
            <w:pPr>
              <w:spacing w:after="0"/>
              <w:rPr>
                <w:sz w:val="15"/>
                <w:szCs w:val="15"/>
                <w:color w:val="auto"/>
              </w:rPr>
            </w:pPr>
          </w:p>
        </w:tc>
        <w:tc>
          <w:tcPr>
            <w:tcW w:w="920" w:type="dxa"/>
            <w:vAlign w:val="bottom"/>
            <w:gridSpan w:val="2"/>
            <w:shd w:val="clear" w:color="auto" w:fill="E5E5E5"/>
          </w:tcPr>
          <w:p>
            <w:pPr>
              <w:jc w:val="right"/>
              <w:ind w:right="115"/>
              <w:spacing w:after="0"/>
              <w:rPr>
                <w:sz w:val="20"/>
                <w:szCs w:val="20"/>
                <w:color w:val="auto"/>
              </w:rPr>
            </w:pPr>
            <w:r>
              <w:rPr>
                <w:rFonts w:ascii="Arial" w:cs="Arial" w:eastAsia="Arial" w:hAnsi="Arial"/>
                <w:sz w:val="13"/>
                <w:szCs w:val="13"/>
                <w:color w:val="auto"/>
              </w:rPr>
              <w:t>$1,703,109</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03/15/2022</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364,964</w:t>
            </w:r>
            <w:r>
              <w:rPr>
                <w:rFonts w:ascii="Arial" w:cs="Arial" w:eastAsia="Arial" w:hAnsi="Arial"/>
                <w:sz w:val="19"/>
                <w:szCs w:val="19"/>
                <w:color w:val="auto"/>
                <w:vertAlign w:val="superscript"/>
              </w:rPr>
              <w:t>(6)</w:t>
            </w:r>
          </w:p>
        </w:tc>
        <w:tc>
          <w:tcPr>
            <w:tcW w:w="920" w:type="dxa"/>
            <w:vAlign w:val="bottom"/>
            <w:gridSpan w:val="2"/>
            <w:shd w:val="clear" w:color="auto" w:fill="E5E5E5"/>
          </w:tcPr>
          <w:p>
            <w:pPr>
              <w:jc w:val="right"/>
              <w:ind w:right="115"/>
              <w:spacing w:after="0"/>
              <w:rPr>
                <w:sz w:val="20"/>
                <w:szCs w:val="20"/>
                <w:color w:val="auto"/>
              </w:rPr>
            </w:pPr>
            <w:r>
              <w:rPr>
                <w:rFonts w:ascii="Arial" w:cs="Arial" w:eastAsia="Arial" w:hAnsi="Arial"/>
                <w:sz w:val="13"/>
                <w:szCs w:val="13"/>
                <w:color w:val="auto"/>
              </w:rPr>
              <w:t>$2,255,478</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Michael</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vMerge w:val="restart"/>
          </w:tcPr>
          <w:p>
            <w:pPr>
              <w:jc w:val="right"/>
              <w:ind w:right="497"/>
              <w:spacing w:after="0"/>
              <w:rPr>
                <w:sz w:val="20"/>
                <w:szCs w:val="20"/>
                <w:color w:val="auto"/>
              </w:rPr>
            </w:pPr>
            <w:r>
              <w:rPr>
                <w:rFonts w:ascii="Arial" w:cs="Arial" w:eastAsia="Arial" w:hAnsi="Arial"/>
                <w:sz w:val="13"/>
                <w:szCs w:val="13"/>
                <w:color w:val="auto"/>
              </w:rPr>
              <w:t>109,170</w:t>
            </w:r>
            <w:r>
              <w:rPr>
                <w:rFonts w:ascii="Arial" w:cs="Arial" w:eastAsia="Arial" w:hAnsi="Arial"/>
                <w:sz w:val="19"/>
                <w:szCs w:val="19"/>
                <w:color w:val="auto"/>
                <w:vertAlign w:val="superscript"/>
              </w:rPr>
              <w:t>(5)</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ind w:left="140"/>
              <w:spacing w:after="0" w:line="149" w:lineRule="exact"/>
              <w:rPr>
                <w:sz w:val="20"/>
                <w:szCs w:val="20"/>
                <w:color w:val="auto"/>
              </w:rPr>
            </w:pPr>
            <w:r>
              <w:rPr>
                <w:rFonts w:ascii="Arial" w:cs="Arial" w:eastAsia="Arial" w:hAnsi="Arial"/>
                <w:sz w:val="13"/>
                <w:szCs w:val="13"/>
                <w:b w:val="1"/>
                <w:bCs w:val="1"/>
                <w:color w:val="auto"/>
              </w:rPr>
              <w:t>Randolfi</w:t>
            </w: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09/15/2022</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109,170</w:t>
            </w:r>
            <w:r>
              <w:rPr>
                <w:rFonts w:ascii="Arial" w:cs="Arial" w:eastAsia="Arial" w:hAnsi="Arial"/>
                <w:sz w:val="19"/>
                <w:szCs w:val="19"/>
                <w:color w:val="auto"/>
                <w:vertAlign w:val="superscript"/>
              </w:rPr>
              <w:t>(6)</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3"/>
              <w:spacing w:after="0" w:line="149" w:lineRule="exact"/>
              <w:rPr>
                <w:sz w:val="20"/>
                <w:szCs w:val="20"/>
                <w:color w:val="auto"/>
              </w:rPr>
            </w:pPr>
            <w:r>
              <w:rPr>
                <w:rFonts w:ascii="Arial" w:cs="Arial" w:eastAsia="Arial" w:hAnsi="Arial"/>
                <w:sz w:val="13"/>
                <w:szCs w:val="13"/>
                <w:color w:val="auto"/>
              </w:rPr>
              <w:t>674,671</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140" w:type="dxa"/>
            <w:vAlign w:val="bottom"/>
          </w:tcPr>
          <w:p>
            <w:pPr>
              <w:ind w:left="480"/>
              <w:spacing w:after="0"/>
              <w:rPr>
                <w:sz w:val="20"/>
                <w:szCs w:val="20"/>
                <w:color w:val="auto"/>
              </w:rPr>
            </w:pPr>
            <w:r>
              <w:rPr>
                <w:rFonts w:ascii="Arial" w:cs="Arial" w:eastAsia="Arial" w:hAnsi="Arial"/>
                <w:sz w:val="13"/>
                <w:szCs w:val="13"/>
                <w:color w:val="auto"/>
                <w:w w:val="98"/>
              </w:rPr>
              <w:t>09/15/2022</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rPr>
                <w:sz w:val="20"/>
                <w:szCs w:val="20"/>
                <w:color w:val="auto"/>
              </w:rPr>
            </w:pPr>
            <w:r>
              <w:rPr>
                <w:rFonts w:ascii="Arial" w:cs="Arial" w:eastAsia="Arial" w:hAnsi="Arial"/>
                <w:sz w:val="13"/>
                <w:szCs w:val="13"/>
                <w:color w:val="auto"/>
                <w:w w:val="97"/>
              </w:rPr>
              <w:t>674,671</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shd w:val="clear" w:color="auto" w:fill="E5E5E5"/>
          </w:tcPr>
          <w:p>
            <w:pPr>
              <w:ind w:left="80"/>
              <w:spacing w:after="0" w:line="141" w:lineRule="exact"/>
              <w:rPr>
                <w:sz w:val="20"/>
                <w:szCs w:val="20"/>
                <w:color w:val="auto"/>
              </w:rPr>
            </w:pPr>
            <w:r>
              <w:rPr>
                <w:rFonts w:ascii="Arial" w:cs="Arial" w:eastAsia="Arial" w:hAnsi="Arial"/>
                <w:sz w:val="13"/>
                <w:szCs w:val="13"/>
                <w:b w:val="1"/>
                <w:bCs w:val="1"/>
                <w:color w:val="auto"/>
              </w:rPr>
              <w:t>Kurt</w:t>
            </w:r>
          </w:p>
        </w:tc>
        <w:tc>
          <w:tcPr>
            <w:tcW w:w="1140" w:type="dxa"/>
            <w:vAlign w:val="bottom"/>
            <w:vMerge w:val="restart"/>
            <w:shd w:val="clear" w:color="auto" w:fill="E5E5E5"/>
          </w:tcPr>
          <w:p>
            <w:pPr>
              <w:ind w:left="480"/>
              <w:spacing w:after="0"/>
              <w:rPr>
                <w:sz w:val="20"/>
                <w:szCs w:val="20"/>
                <w:color w:val="auto"/>
              </w:rPr>
            </w:pPr>
            <w:r>
              <w:rPr>
                <w:rFonts w:ascii="Arial" w:cs="Arial" w:eastAsia="Arial" w:hAnsi="Arial"/>
                <w:sz w:val="13"/>
                <w:szCs w:val="13"/>
                <w:color w:val="auto"/>
                <w:w w:val="98"/>
              </w:rPr>
              <w:t>01/14/2022</w:t>
            </w:r>
          </w:p>
        </w:tc>
        <w:tc>
          <w:tcPr>
            <w:tcW w:w="42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103,413</w:t>
            </w:r>
            <w:r>
              <w:rPr>
                <w:rFonts w:ascii="Arial" w:cs="Arial" w:eastAsia="Arial" w:hAnsi="Arial"/>
                <w:sz w:val="19"/>
                <w:szCs w:val="19"/>
                <w:color w:val="auto"/>
                <w:vertAlign w:val="superscript"/>
              </w:rPr>
              <w:t>(6)</w:t>
            </w:r>
          </w:p>
        </w:tc>
        <w:tc>
          <w:tcPr>
            <w:tcW w:w="260" w:type="dxa"/>
            <w:vAlign w:val="bottom"/>
            <w:vMerge w:val="restart"/>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E5E5E5"/>
          </w:tcPr>
          <w:p>
            <w:pPr>
              <w:jc w:val="right"/>
              <w:ind w:right="115"/>
              <w:spacing w:after="0"/>
              <w:rPr>
                <w:sz w:val="20"/>
                <w:szCs w:val="20"/>
                <w:color w:val="auto"/>
              </w:rPr>
            </w:pPr>
            <w:r>
              <w:rPr>
                <w:rFonts w:ascii="Arial" w:cs="Arial" w:eastAsia="Arial" w:hAnsi="Arial"/>
                <w:sz w:val="13"/>
                <w:szCs w:val="13"/>
                <w:color w:val="auto"/>
                <w:w w:val="97"/>
              </w:rPr>
              <w:t>639,092</w:t>
            </w:r>
          </w:p>
        </w:tc>
        <w:tc>
          <w:tcPr>
            <w:tcW w:w="15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shd w:val="clear" w:color="auto" w:fill="E5E5E5"/>
          </w:tcPr>
          <w:p>
            <w:pPr>
              <w:ind w:left="140"/>
              <w:spacing w:after="0"/>
              <w:rPr>
                <w:sz w:val="20"/>
                <w:szCs w:val="20"/>
                <w:color w:val="auto"/>
              </w:rPr>
            </w:pPr>
            <w:r>
              <w:rPr>
                <w:rFonts w:ascii="Arial" w:cs="Arial" w:eastAsia="Arial" w:hAnsi="Arial"/>
                <w:sz w:val="13"/>
                <w:szCs w:val="13"/>
                <w:b w:val="1"/>
                <w:bCs w:val="1"/>
                <w:color w:val="auto"/>
              </w:rPr>
              <w:t>Ekert</w:t>
            </w:r>
          </w:p>
        </w:tc>
        <w:tc>
          <w:tcPr>
            <w:tcW w:w="1140" w:type="dxa"/>
            <w:vAlign w:val="bottom"/>
            <w:vMerge w:val="continue"/>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13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760" w:type="dxa"/>
            <w:vAlign w:val="bottom"/>
            <w:vMerge w:val="continue"/>
            <w:shd w:val="clear" w:color="auto" w:fill="E5E5E5"/>
          </w:tcPr>
          <w:p>
            <w:pPr>
              <w:spacing w:after="0"/>
              <w:rPr>
                <w:sz w:val="13"/>
                <w:szCs w:val="13"/>
                <w:color w:val="auto"/>
              </w:rPr>
            </w:pPr>
          </w:p>
        </w:tc>
        <w:tc>
          <w:tcPr>
            <w:tcW w:w="260" w:type="dxa"/>
            <w:vAlign w:val="bottom"/>
            <w:vMerge w:val="continue"/>
            <w:shd w:val="clear" w:color="auto" w:fill="E5E5E5"/>
          </w:tcPr>
          <w:p>
            <w:pPr>
              <w:spacing w:after="0"/>
              <w:rPr>
                <w:sz w:val="13"/>
                <w:szCs w:val="13"/>
                <w:color w:val="auto"/>
              </w:rPr>
            </w:pPr>
          </w:p>
        </w:tc>
        <w:tc>
          <w:tcPr>
            <w:tcW w:w="660" w:type="dxa"/>
            <w:vAlign w:val="bottom"/>
            <w:vMerge w:val="continue"/>
            <w:shd w:val="clear" w:color="auto" w:fill="E5E5E5"/>
          </w:tcPr>
          <w:p>
            <w:pPr>
              <w:spacing w:after="0"/>
              <w:rPr>
                <w:sz w:val="13"/>
                <w:szCs w:val="13"/>
                <w:color w:val="auto"/>
              </w:rPr>
            </w:pPr>
          </w:p>
        </w:tc>
        <w:tc>
          <w:tcPr>
            <w:tcW w:w="1520" w:type="dxa"/>
            <w:vAlign w:val="bottom"/>
            <w:vMerge w:val="restart"/>
            <w:shd w:val="clear" w:color="auto" w:fill="E5E5E5"/>
          </w:tcPr>
          <w:p>
            <w:pPr>
              <w:jc w:val="right"/>
              <w:ind w:right="497"/>
              <w:spacing w:after="0"/>
              <w:rPr>
                <w:sz w:val="20"/>
                <w:szCs w:val="20"/>
                <w:color w:val="auto"/>
              </w:rPr>
            </w:pPr>
            <w:r>
              <w:rPr>
                <w:rFonts w:ascii="Arial" w:cs="Arial" w:eastAsia="Arial" w:hAnsi="Arial"/>
                <w:sz w:val="13"/>
                <w:szCs w:val="13"/>
                <w:color w:val="auto"/>
              </w:rPr>
              <w:t>156,413</w:t>
            </w:r>
            <w:r>
              <w:rPr>
                <w:rFonts w:ascii="Arial" w:cs="Arial" w:eastAsia="Arial" w:hAnsi="Arial"/>
                <w:sz w:val="19"/>
                <w:szCs w:val="19"/>
                <w:color w:val="auto"/>
                <w:vertAlign w:val="superscript"/>
              </w:rPr>
              <w:t>(5)</w:t>
            </w:r>
          </w:p>
        </w:tc>
        <w:tc>
          <w:tcPr>
            <w:tcW w:w="30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03/15/2022</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156,413</w:t>
            </w:r>
            <w:r>
              <w:rPr>
                <w:rFonts w:ascii="Arial" w:cs="Arial" w:eastAsia="Arial" w:hAnsi="Arial"/>
                <w:sz w:val="19"/>
                <w:szCs w:val="19"/>
                <w:color w:val="auto"/>
                <w:vertAlign w:val="superscript"/>
              </w:rPr>
              <w:t>(6)</w:t>
            </w:r>
          </w:p>
        </w:tc>
        <w:tc>
          <w:tcPr>
            <w:tcW w:w="2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520" w:type="dxa"/>
            <w:vAlign w:val="bottom"/>
            <w:vMerge w:val="continue"/>
            <w:shd w:val="clear" w:color="auto" w:fill="E5E5E5"/>
          </w:tcPr>
          <w:p>
            <w:pPr>
              <w:spacing w:after="0"/>
              <w:rPr>
                <w:sz w:val="15"/>
                <w:szCs w:val="15"/>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5E5E5"/>
          </w:tcPr>
          <w:p>
            <w:pPr>
              <w:jc w:val="right"/>
              <w:ind w:right="373"/>
              <w:spacing w:after="0"/>
              <w:rPr>
                <w:sz w:val="20"/>
                <w:szCs w:val="20"/>
                <w:color w:val="auto"/>
              </w:rPr>
            </w:pPr>
            <w:r>
              <w:rPr>
                <w:rFonts w:ascii="Arial" w:cs="Arial" w:eastAsia="Arial" w:hAnsi="Arial"/>
                <w:sz w:val="13"/>
                <w:szCs w:val="13"/>
                <w:color w:val="auto"/>
              </w:rPr>
              <w:t>966,632</w:t>
            </w:r>
          </w:p>
        </w:tc>
        <w:tc>
          <w:tcPr>
            <w:tcW w:w="0" w:type="dxa"/>
            <w:vAlign w:val="bottom"/>
          </w:tcPr>
          <w:p>
            <w:pPr>
              <w:spacing w:after="0"/>
              <w:rPr>
                <w:sz w:val="1"/>
                <w:szCs w:val="1"/>
                <w:color w:val="auto"/>
              </w:rPr>
            </w:pPr>
          </w:p>
        </w:tc>
      </w:tr>
      <w:tr>
        <w:trPr>
          <w:trHeight w:val="173"/>
        </w:trPr>
        <w:tc>
          <w:tcPr>
            <w:tcW w:w="700" w:type="dxa"/>
            <w:vAlign w:val="bottom"/>
            <w:shd w:val="clear" w:color="auto" w:fill="E5E5E5"/>
          </w:tcPr>
          <w:p>
            <w:pPr>
              <w:spacing w:after="0"/>
              <w:rPr>
                <w:sz w:val="15"/>
                <w:szCs w:val="15"/>
                <w:color w:val="auto"/>
              </w:rPr>
            </w:pPr>
          </w:p>
        </w:tc>
        <w:tc>
          <w:tcPr>
            <w:tcW w:w="1140" w:type="dxa"/>
            <w:vAlign w:val="bottom"/>
            <w:shd w:val="clear" w:color="auto" w:fill="E5E5E5"/>
          </w:tcPr>
          <w:p>
            <w:pPr>
              <w:ind w:left="480"/>
              <w:spacing w:after="0"/>
              <w:rPr>
                <w:sz w:val="20"/>
                <w:szCs w:val="20"/>
                <w:color w:val="auto"/>
              </w:rPr>
            </w:pPr>
            <w:r>
              <w:rPr>
                <w:rFonts w:ascii="Arial" w:cs="Arial" w:eastAsia="Arial" w:hAnsi="Arial"/>
                <w:sz w:val="13"/>
                <w:szCs w:val="13"/>
                <w:color w:val="auto"/>
                <w:w w:val="98"/>
              </w:rPr>
              <w:t>03/15/2022</w:t>
            </w:r>
          </w:p>
        </w:tc>
        <w:tc>
          <w:tcPr>
            <w:tcW w:w="4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760" w:type="dxa"/>
            <w:vAlign w:val="bottom"/>
            <w:vMerge w:val="continue"/>
            <w:shd w:val="clear" w:color="auto" w:fill="E5E5E5"/>
          </w:tcPr>
          <w:p>
            <w:pPr>
              <w:spacing w:after="0"/>
              <w:rPr>
                <w:sz w:val="15"/>
                <w:szCs w:val="15"/>
                <w:color w:val="auto"/>
              </w:rPr>
            </w:pPr>
          </w:p>
        </w:tc>
        <w:tc>
          <w:tcPr>
            <w:tcW w:w="260" w:type="dxa"/>
            <w:vAlign w:val="bottom"/>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jc w:val="right"/>
              <w:ind w:right="115"/>
              <w:spacing w:after="0"/>
              <w:rPr>
                <w:sz w:val="20"/>
                <w:szCs w:val="20"/>
                <w:color w:val="auto"/>
              </w:rPr>
            </w:pPr>
            <w:r>
              <w:rPr>
                <w:rFonts w:ascii="Arial" w:cs="Arial" w:eastAsia="Arial" w:hAnsi="Arial"/>
                <w:sz w:val="13"/>
                <w:szCs w:val="13"/>
                <w:color w:val="auto"/>
                <w:w w:val="97"/>
              </w:rPr>
              <w:t>966,632</w:t>
            </w:r>
          </w:p>
        </w:tc>
        <w:tc>
          <w:tcPr>
            <w:tcW w:w="15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David</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ind w:left="140"/>
              <w:spacing w:after="0" w:line="149" w:lineRule="exact"/>
              <w:rPr>
                <w:sz w:val="20"/>
                <w:szCs w:val="20"/>
                <w:color w:val="auto"/>
              </w:rPr>
            </w:pPr>
            <w:r>
              <w:rPr>
                <w:rFonts w:ascii="Arial" w:cs="Arial" w:eastAsia="Arial" w:hAnsi="Arial"/>
                <w:sz w:val="13"/>
                <w:szCs w:val="13"/>
                <w:b w:val="1"/>
                <w:bCs w:val="1"/>
                <w:color w:val="auto"/>
              </w:rPr>
              <w:t>Moore</w:t>
            </w: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07/15/2016</w:t>
            </w:r>
          </w:p>
        </w:tc>
        <w:tc>
          <w:tcPr>
            <w:tcW w:w="1340" w:type="dxa"/>
            <w:vAlign w:val="bottom"/>
            <w:gridSpan w:val="2"/>
          </w:tcPr>
          <w:p>
            <w:pPr>
              <w:jc w:val="right"/>
              <w:ind w:right="338"/>
              <w:spacing w:after="0" w:line="149" w:lineRule="exact"/>
              <w:rPr>
                <w:sz w:val="20"/>
                <w:szCs w:val="20"/>
                <w:color w:val="auto"/>
              </w:rPr>
            </w:pPr>
            <w:r>
              <w:rPr>
                <w:rFonts w:ascii="Arial" w:cs="Arial" w:eastAsia="Arial" w:hAnsi="Arial"/>
                <w:sz w:val="13"/>
                <w:szCs w:val="13"/>
                <w:color w:val="auto"/>
              </w:rPr>
              <w:t>13,120</w:t>
            </w:r>
          </w:p>
        </w:tc>
        <w:tc>
          <w:tcPr>
            <w:tcW w:w="1340" w:type="dxa"/>
            <w:vAlign w:val="bottom"/>
          </w:tcPr>
          <w:p>
            <w:pPr>
              <w:jc w:val="right"/>
              <w:ind w:right="296"/>
              <w:spacing w:after="0" w:line="149" w:lineRule="exact"/>
              <w:rPr>
                <w:sz w:val="20"/>
                <w:szCs w:val="20"/>
                <w:color w:val="auto"/>
              </w:rPr>
            </w:pPr>
            <w:r>
              <w:rPr>
                <w:rFonts w:ascii="Arial" w:cs="Arial" w:eastAsia="Arial" w:hAnsi="Arial"/>
                <w:sz w:val="13"/>
                <w:szCs w:val="13"/>
                <w:color w:val="auto"/>
              </w:rPr>
              <w:t>—</w:t>
            </w:r>
          </w:p>
        </w:tc>
        <w:tc>
          <w:tcPr>
            <w:tcW w:w="720" w:type="dxa"/>
            <w:vAlign w:val="bottom"/>
          </w:tcPr>
          <w:p>
            <w:pPr>
              <w:ind w:left="220"/>
              <w:spacing w:after="0" w:line="149" w:lineRule="exact"/>
              <w:rPr>
                <w:sz w:val="20"/>
                <w:szCs w:val="20"/>
                <w:color w:val="auto"/>
              </w:rPr>
            </w:pPr>
            <w:r>
              <w:rPr>
                <w:rFonts w:ascii="Arial" w:cs="Arial" w:eastAsia="Arial" w:hAnsi="Arial"/>
                <w:sz w:val="13"/>
                <w:szCs w:val="13"/>
                <w:color w:val="auto"/>
              </w:rPr>
              <w:t>$28.98</w:t>
            </w:r>
          </w:p>
        </w:tc>
        <w:tc>
          <w:tcPr>
            <w:tcW w:w="820" w:type="dxa"/>
            <w:vAlign w:val="bottom"/>
          </w:tcPr>
          <w:p>
            <w:pPr>
              <w:ind w:left="80"/>
              <w:spacing w:after="0" w:line="149" w:lineRule="exact"/>
              <w:rPr>
                <w:sz w:val="20"/>
                <w:szCs w:val="20"/>
                <w:color w:val="auto"/>
              </w:rPr>
            </w:pPr>
            <w:r>
              <w:rPr>
                <w:rFonts w:ascii="Arial" w:cs="Arial" w:eastAsia="Arial" w:hAnsi="Arial"/>
                <w:sz w:val="13"/>
                <w:szCs w:val="13"/>
                <w:color w:val="auto"/>
              </w:rPr>
              <w:t>07/15/2026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03/15/2017</w:t>
            </w:r>
          </w:p>
        </w:tc>
        <w:tc>
          <w:tcPr>
            <w:tcW w:w="1340" w:type="dxa"/>
            <w:vAlign w:val="bottom"/>
            <w:gridSpan w:val="2"/>
          </w:tcPr>
          <w:p>
            <w:pPr>
              <w:jc w:val="right"/>
              <w:ind w:right="338"/>
              <w:spacing w:after="0" w:line="149" w:lineRule="exact"/>
              <w:rPr>
                <w:sz w:val="20"/>
                <w:szCs w:val="20"/>
                <w:color w:val="auto"/>
              </w:rPr>
            </w:pPr>
            <w:r>
              <w:rPr>
                <w:rFonts w:ascii="Arial" w:cs="Arial" w:eastAsia="Arial" w:hAnsi="Arial"/>
                <w:sz w:val="13"/>
                <w:szCs w:val="13"/>
                <w:color w:val="auto"/>
              </w:rPr>
              <w:t>17,415</w:t>
            </w:r>
          </w:p>
        </w:tc>
        <w:tc>
          <w:tcPr>
            <w:tcW w:w="1340" w:type="dxa"/>
            <w:vAlign w:val="bottom"/>
          </w:tcPr>
          <w:p>
            <w:pPr>
              <w:jc w:val="right"/>
              <w:ind w:right="296"/>
              <w:spacing w:after="0" w:line="149" w:lineRule="exact"/>
              <w:rPr>
                <w:sz w:val="20"/>
                <w:szCs w:val="20"/>
                <w:color w:val="auto"/>
              </w:rPr>
            </w:pPr>
            <w:r>
              <w:rPr>
                <w:rFonts w:ascii="Arial" w:cs="Arial" w:eastAsia="Arial" w:hAnsi="Arial"/>
                <w:sz w:val="13"/>
                <w:szCs w:val="13"/>
                <w:color w:val="auto"/>
              </w:rPr>
              <w:t>—</w:t>
            </w:r>
          </w:p>
        </w:tc>
        <w:tc>
          <w:tcPr>
            <w:tcW w:w="720" w:type="dxa"/>
            <w:vAlign w:val="bottom"/>
          </w:tcPr>
          <w:p>
            <w:pPr>
              <w:ind w:left="220"/>
              <w:spacing w:after="0" w:line="149" w:lineRule="exact"/>
              <w:rPr>
                <w:sz w:val="20"/>
                <w:szCs w:val="20"/>
                <w:color w:val="auto"/>
              </w:rPr>
            </w:pPr>
            <w:r>
              <w:rPr>
                <w:rFonts w:ascii="Arial" w:cs="Arial" w:eastAsia="Arial" w:hAnsi="Arial"/>
                <w:sz w:val="13"/>
                <w:szCs w:val="13"/>
                <w:color w:val="auto"/>
              </w:rPr>
              <w:t>$22.01</w:t>
            </w:r>
          </w:p>
        </w:tc>
        <w:tc>
          <w:tcPr>
            <w:tcW w:w="820" w:type="dxa"/>
            <w:vAlign w:val="bottom"/>
          </w:tcPr>
          <w:p>
            <w:pPr>
              <w:ind w:left="80"/>
              <w:spacing w:after="0" w:line="149" w:lineRule="exact"/>
              <w:rPr>
                <w:sz w:val="20"/>
                <w:szCs w:val="20"/>
                <w:color w:val="auto"/>
              </w:rPr>
            </w:pPr>
            <w:r>
              <w:rPr>
                <w:rFonts w:ascii="Arial" w:cs="Arial" w:eastAsia="Arial" w:hAnsi="Arial"/>
                <w:sz w:val="13"/>
                <w:szCs w:val="13"/>
                <w:color w:val="auto"/>
              </w:rPr>
              <w:t>03/15/2027</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03/15/2018</w:t>
            </w:r>
          </w:p>
        </w:tc>
        <w:tc>
          <w:tcPr>
            <w:tcW w:w="1340" w:type="dxa"/>
            <w:vAlign w:val="bottom"/>
            <w:gridSpan w:val="2"/>
          </w:tcPr>
          <w:p>
            <w:pPr>
              <w:jc w:val="right"/>
              <w:ind w:right="338"/>
              <w:spacing w:after="0" w:line="149" w:lineRule="exact"/>
              <w:rPr>
                <w:sz w:val="20"/>
                <w:szCs w:val="20"/>
                <w:color w:val="auto"/>
              </w:rPr>
            </w:pPr>
            <w:r>
              <w:rPr>
                <w:rFonts w:ascii="Arial" w:cs="Arial" w:eastAsia="Arial" w:hAnsi="Arial"/>
                <w:sz w:val="13"/>
                <w:szCs w:val="13"/>
                <w:color w:val="auto"/>
              </w:rPr>
              <w:t>22,840</w:t>
            </w:r>
          </w:p>
        </w:tc>
        <w:tc>
          <w:tcPr>
            <w:tcW w:w="1340" w:type="dxa"/>
            <w:vAlign w:val="bottom"/>
          </w:tcPr>
          <w:p>
            <w:pPr>
              <w:jc w:val="right"/>
              <w:ind w:right="296"/>
              <w:spacing w:after="0" w:line="149" w:lineRule="exact"/>
              <w:rPr>
                <w:sz w:val="20"/>
                <w:szCs w:val="20"/>
                <w:color w:val="auto"/>
              </w:rPr>
            </w:pPr>
            <w:r>
              <w:rPr>
                <w:rFonts w:ascii="Arial" w:cs="Arial" w:eastAsia="Arial" w:hAnsi="Arial"/>
                <w:sz w:val="13"/>
                <w:szCs w:val="13"/>
                <w:color w:val="auto"/>
              </w:rPr>
              <w:t>—</w:t>
            </w:r>
          </w:p>
        </w:tc>
        <w:tc>
          <w:tcPr>
            <w:tcW w:w="720" w:type="dxa"/>
            <w:vAlign w:val="bottom"/>
          </w:tcPr>
          <w:p>
            <w:pPr>
              <w:ind w:left="220"/>
              <w:spacing w:after="0" w:line="149" w:lineRule="exact"/>
              <w:rPr>
                <w:sz w:val="20"/>
                <w:szCs w:val="20"/>
                <w:color w:val="auto"/>
              </w:rPr>
            </w:pPr>
            <w:r>
              <w:rPr>
                <w:rFonts w:ascii="Arial" w:cs="Arial" w:eastAsia="Arial" w:hAnsi="Arial"/>
                <w:sz w:val="13"/>
                <w:szCs w:val="13"/>
                <w:color w:val="auto"/>
              </w:rPr>
              <w:t>$22.03</w:t>
            </w:r>
          </w:p>
        </w:tc>
        <w:tc>
          <w:tcPr>
            <w:tcW w:w="820" w:type="dxa"/>
            <w:vAlign w:val="bottom"/>
          </w:tcPr>
          <w:p>
            <w:pPr>
              <w:ind w:left="80"/>
              <w:spacing w:after="0" w:line="149" w:lineRule="exact"/>
              <w:rPr>
                <w:sz w:val="20"/>
                <w:szCs w:val="20"/>
                <w:color w:val="auto"/>
              </w:rPr>
            </w:pPr>
            <w:r>
              <w:rPr>
                <w:rFonts w:ascii="Arial" w:cs="Arial" w:eastAsia="Arial" w:hAnsi="Arial"/>
                <w:sz w:val="13"/>
                <w:szCs w:val="13"/>
                <w:color w:val="auto"/>
              </w:rPr>
              <w:t>03/15/2028</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03/15/2019</w:t>
            </w:r>
          </w:p>
        </w:tc>
        <w:tc>
          <w:tcPr>
            <w:tcW w:w="1340" w:type="dxa"/>
            <w:vAlign w:val="bottom"/>
            <w:gridSpan w:val="2"/>
          </w:tcPr>
          <w:p>
            <w:pPr>
              <w:jc w:val="right"/>
              <w:ind w:right="338"/>
              <w:spacing w:after="0" w:line="149" w:lineRule="exact"/>
              <w:rPr>
                <w:sz w:val="20"/>
                <w:szCs w:val="20"/>
                <w:color w:val="auto"/>
              </w:rPr>
            </w:pPr>
            <w:r>
              <w:rPr>
                <w:rFonts w:ascii="Arial" w:cs="Arial" w:eastAsia="Arial" w:hAnsi="Arial"/>
                <w:sz w:val="13"/>
                <w:szCs w:val="13"/>
                <w:color w:val="auto"/>
              </w:rPr>
              <w:t>21,718</w:t>
            </w:r>
          </w:p>
        </w:tc>
        <w:tc>
          <w:tcPr>
            <w:tcW w:w="1340" w:type="dxa"/>
            <w:vAlign w:val="bottom"/>
          </w:tcPr>
          <w:p>
            <w:pPr>
              <w:jc w:val="right"/>
              <w:ind w:right="296"/>
              <w:spacing w:after="0" w:line="149" w:lineRule="exact"/>
              <w:rPr>
                <w:sz w:val="20"/>
                <w:szCs w:val="20"/>
                <w:color w:val="auto"/>
              </w:rPr>
            </w:pPr>
            <w:r>
              <w:rPr>
                <w:rFonts w:ascii="Arial" w:cs="Arial" w:eastAsia="Arial" w:hAnsi="Arial"/>
                <w:sz w:val="13"/>
                <w:szCs w:val="13"/>
                <w:color w:val="auto"/>
              </w:rPr>
              <w:t>1,448</w:t>
            </w:r>
          </w:p>
        </w:tc>
        <w:tc>
          <w:tcPr>
            <w:tcW w:w="720" w:type="dxa"/>
            <w:vAlign w:val="bottom"/>
          </w:tcPr>
          <w:p>
            <w:pPr>
              <w:ind w:left="220"/>
              <w:spacing w:after="0" w:line="149" w:lineRule="exact"/>
              <w:rPr>
                <w:sz w:val="20"/>
                <w:szCs w:val="20"/>
                <w:color w:val="auto"/>
              </w:rPr>
            </w:pPr>
            <w:r>
              <w:rPr>
                <w:rFonts w:ascii="Arial" w:cs="Arial" w:eastAsia="Arial" w:hAnsi="Arial"/>
                <w:sz w:val="13"/>
                <w:szCs w:val="13"/>
                <w:color w:val="auto"/>
              </w:rPr>
              <w:t>$21.35</w:t>
            </w:r>
          </w:p>
        </w:tc>
        <w:tc>
          <w:tcPr>
            <w:tcW w:w="820" w:type="dxa"/>
            <w:vAlign w:val="bottom"/>
          </w:tcPr>
          <w:p>
            <w:pPr>
              <w:ind w:left="80"/>
              <w:spacing w:after="0" w:line="149" w:lineRule="exact"/>
              <w:rPr>
                <w:sz w:val="20"/>
                <w:szCs w:val="20"/>
                <w:color w:val="auto"/>
              </w:rPr>
            </w:pPr>
            <w:r>
              <w:rPr>
                <w:rFonts w:ascii="Arial" w:cs="Arial" w:eastAsia="Arial" w:hAnsi="Arial"/>
                <w:sz w:val="13"/>
                <w:szCs w:val="13"/>
                <w:color w:val="auto"/>
              </w:rPr>
              <w:t>12/31/2019</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10/15/2019</w:t>
            </w:r>
          </w:p>
        </w:tc>
        <w:tc>
          <w:tcPr>
            <w:tcW w:w="1340" w:type="dxa"/>
            <w:vAlign w:val="bottom"/>
            <w:gridSpan w:val="2"/>
          </w:tcPr>
          <w:p>
            <w:pPr>
              <w:jc w:val="right"/>
              <w:ind w:right="338"/>
              <w:spacing w:after="0" w:line="149" w:lineRule="exact"/>
              <w:rPr>
                <w:sz w:val="20"/>
                <w:szCs w:val="20"/>
                <w:color w:val="auto"/>
              </w:rPr>
            </w:pPr>
            <w:r>
              <w:rPr>
                <w:rFonts w:ascii="Arial" w:cs="Arial" w:eastAsia="Arial" w:hAnsi="Arial"/>
                <w:sz w:val="13"/>
                <w:szCs w:val="13"/>
                <w:color w:val="auto"/>
              </w:rPr>
              <w:t>21,693</w:t>
            </w:r>
          </w:p>
        </w:tc>
        <w:tc>
          <w:tcPr>
            <w:tcW w:w="1340" w:type="dxa"/>
            <w:vAlign w:val="bottom"/>
          </w:tcPr>
          <w:p>
            <w:pPr>
              <w:jc w:val="right"/>
              <w:ind w:right="296"/>
              <w:spacing w:after="0" w:line="149" w:lineRule="exact"/>
              <w:rPr>
                <w:sz w:val="20"/>
                <w:szCs w:val="20"/>
                <w:color w:val="auto"/>
              </w:rPr>
            </w:pPr>
            <w:r>
              <w:rPr>
                <w:rFonts w:ascii="Arial" w:cs="Arial" w:eastAsia="Arial" w:hAnsi="Arial"/>
                <w:sz w:val="13"/>
                <w:szCs w:val="13"/>
                <w:color w:val="auto"/>
              </w:rPr>
              <w:t>7,231</w:t>
            </w:r>
          </w:p>
        </w:tc>
        <w:tc>
          <w:tcPr>
            <w:tcW w:w="720" w:type="dxa"/>
            <w:vAlign w:val="bottom"/>
          </w:tcPr>
          <w:p>
            <w:pPr>
              <w:ind w:left="220"/>
              <w:spacing w:after="0" w:line="149" w:lineRule="exact"/>
              <w:rPr>
                <w:sz w:val="20"/>
                <w:szCs w:val="20"/>
                <w:color w:val="auto"/>
              </w:rPr>
            </w:pPr>
            <w:r>
              <w:rPr>
                <w:rFonts w:ascii="Arial" w:cs="Arial" w:eastAsia="Arial" w:hAnsi="Arial"/>
                <w:sz w:val="13"/>
                <w:szCs w:val="13"/>
                <w:color w:val="auto"/>
              </w:rPr>
              <w:t>$21.45</w:t>
            </w:r>
          </w:p>
        </w:tc>
        <w:tc>
          <w:tcPr>
            <w:tcW w:w="820" w:type="dxa"/>
            <w:vAlign w:val="bottom"/>
          </w:tcPr>
          <w:p>
            <w:pPr>
              <w:ind w:left="80"/>
              <w:spacing w:after="0" w:line="149" w:lineRule="exact"/>
              <w:rPr>
                <w:sz w:val="20"/>
                <w:szCs w:val="20"/>
                <w:color w:val="auto"/>
              </w:rPr>
            </w:pPr>
            <w:r>
              <w:rPr>
                <w:rFonts w:ascii="Arial" w:cs="Arial" w:eastAsia="Arial" w:hAnsi="Arial"/>
                <w:sz w:val="13"/>
                <w:szCs w:val="13"/>
                <w:color w:val="auto"/>
              </w:rPr>
              <w:t>10/15/2029</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03/13/2020</w:t>
            </w:r>
          </w:p>
        </w:tc>
        <w:tc>
          <w:tcPr>
            <w:tcW w:w="1340" w:type="dxa"/>
            <w:vAlign w:val="bottom"/>
            <w:gridSpan w:val="2"/>
          </w:tcPr>
          <w:p>
            <w:pPr>
              <w:jc w:val="right"/>
              <w:ind w:right="338"/>
              <w:spacing w:after="0" w:line="149" w:lineRule="exact"/>
              <w:rPr>
                <w:sz w:val="20"/>
                <w:szCs w:val="20"/>
                <w:color w:val="auto"/>
              </w:rPr>
            </w:pPr>
            <w:r>
              <w:rPr>
                <w:rFonts w:ascii="Arial" w:cs="Arial" w:eastAsia="Arial" w:hAnsi="Arial"/>
                <w:sz w:val="13"/>
                <w:szCs w:val="13"/>
                <w:color w:val="auto"/>
              </w:rPr>
              <w:t>40,040</w:t>
            </w:r>
          </w:p>
        </w:tc>
        <w:tc>
          <w:tcPr>
            <w:tcW w:w="1340" w:type="dxa"/>
            <w:vAlign w:val="bottom"/>
          </w:tcPr>
          <w:p>
            <w:pPr>
              <w:jc w:val="right"/>
              <w:ind w:right="296"/>
              <w:spacing w:after="0" w:line="149" w:lineRule="exact"/>
              <w:rPr>
                <w:sz w:val="20"/>
                <w:szCs w:val="20"/>
                <w:color w:val="auto"/>
              </w:rPr>
            </w:pPr>
            <w:r>
              <w:rPr>
                <w:rFonts w:ascii="Arial" w:cs="Arial" w:eastAsia="Arial" w:hAnsi="Arial"/>
                <w:sz w:val="13"/>
                <w:szCs w:val="13"/>
                <w:color w:val="auto"/>
              </w:rPr>
              <w:t>20,020</w:t>
            </w:r>
          </w:p>
        </w:tc>
        <w:tc>
          <w:tcPr>
            <w:tcW w:w="720" w:type="dxa"/>
            <w:vAlign w:val="bottom"/>
          </w:tcPr>
          <w:p>
            <w:pPr>
              <w:ind w:left="220"/>
              <w:spacing w:after="0" w:line="149" w:lineRule="exact"/>
              <w:rPr>
                <w:sz w:val="20"/>
                <w:szCs w:val="20"/>
                <w:color w:val="auto"/>
              </w:rPr>
            </w:pPr>
            <w:r>
              <w:rPr>
                <w:rFonts w:ascii="Arial" w:cs="Arial" w:eastAsia="Arial" w:hAnsi="Arial"/>
                <w:sz w:val="13"/>
                <w:szCs w:val="13"/>
                <w:color w:val="auto"/>
              </w:rPr>
              <w:t>$ 8.33</w:t>
            </w:r>
          </w:p>
        </w:tc>
        <w:tc>
          <w:tcPr>
            <w:tcW w:w="820" w:type="dxa"/>
            <w:vAlign w:val="bottom"/>
          </w:tcPr>
          <w:p>
            <w:pPr>
              <w:ind w:left="80"/>
              <w:spacing w:after="0" w:line="149" w:lineRule="exact"/>
              <w:rPr>
                <w:sz w:val="20"/>
                <w:szCs w:val="20"/>
                <w:color w:val="auto"/>
              </w:rPr>
            </w:pPr>
            <w:r>
              <w:rPr>
                <w:rFonts w:ascii="Arial" w:cs="Arial" w:eastAsia="Arial" w:hAnsi="Arial"/>
                <w:sz w:val="13"/>
                <w:szCs w:val="13"/>
                <w:color w:val="auto"/>
              </w:rPr>
              <w:t>03/13/2030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18,769</w:t>
            </w:r>
            <w:r>
              <w:rPr>
                <w:rFonts w:ascii="Arial" w:cs="Arial" w:eastAsia="Arial" w:hAnsi="Arial"/>
                <w:sz w:val="19"/>
                <w:szCs w:val="19"/>
                <w:color w:val="auto"/>
                <w:vertAlign w:val="superscript"/>
              </w:rPr>
              <w:t>(4)</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1140" w:type="dxa"/>
            <w:vAlign w:val="bottom"/>
          </w:tcPr>
          <w:p>
            <w:pPr>
              <w:ind w:left="480"/>
              <w:spacing w:after="0" w:line="145" w:lineRule="exact"/>
              <w:rPr>
                <w:sz w:val="20"/>
                <w:szCs w:val="20"/>
                <w:color w:val="auto"/>
              </w:rPr>
            </w:pPr>
            <w:r>
              <w:rPr>
                <w:rFonts w:ascii="Arial" w:cs="Arial" w:eastAsia="Arial" w:hAnsi="Arial"/>
                <w:sz w:val="13"/>
                <w:szCs w:val="13"/>
                <w:color w:val="auto"/>
                <w:w w:val="98"/>
              </w:rPr>
              <w:t>03/13/2020</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jc w:val="right"/>
              <w:ind w:right="35"/>
              <w:spacing w:after="0" w:line="14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line="145" w:lineRule="exact"/>
              <w:rPr>
                <w:sz w:val="20"/>
                <w:szCs w:val="20"/>
                <w:color w:val="auto"/>
              </w:rPr>
            </w:pPr>
            <w:r>
              <w:rPr>
                <w:rFonts w:ascii="Arial" w:cs="Arial" w:eastAsia="Arial" w:hAnsi="Arial"/>
                <w:sz w:val="13"/>
                <w:szCs w:val="13"/>
                <w:color w:val="auto"/>
                <w:w w:val="97"/>
              </w:rPr>
              <w:t>115,992</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03/13/2020</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2"/>
                <w:szCs w:val="12"/>
                <w:color w:val="auto"/>
              </w:rPr>
              <w:t>12,513</w:t>
            </w:r>
            <w:r>
              <w:rPr>
                <w:rFonts w:ascii="Arial" w:cs="Arial" w:eastAsia="Arial" w:hAnsi="Arial"/>
                <w:sz w:val="17"/>
                <w:szCs w:val="17"/>
                <w:color w:val="auto"/>
                <w:vertAlign w:val="superscript"/>
              </w:rPr>
              <w:t>(4)</w:t>
            </w:r>
          </w:p>
        </w:tc>
        <w:tc>
          <w:tcPr>
            <w:tcW w:w="2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line="149" w:lineRule="exact"/>
              <w:rPr>
                <w:sz w:val="20"/>
                <w:szCs w:val="20"/>
                <w:color w:val="auto"/>
              </w:rPr>
            </w:pPr>
            <w:r>
              <w:rPr>
                <w:rFonts w:ascii="Arial" w:cs="Arial" w:eastAsia="Arial" w:hAnsi="Arial"/>
                <w:sz w:val="13"/>
                <w:szCs w:val="13"/>
                <w:color w:val="auto"/>
              </w:rPr>
              <w:t>77,330</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03/15/2021</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2"/>
                <w:szCs w:val="12"/>
                <w:color w:val="auto"/>
              </w:rPr>
              <w:t>55,970</w:t>
            </w:r>
            <w:r>
              <w:rPr>
                <w:rFonts w:ascii="Arial" w:cs="Arial" w:eastAsia="Arial" w:hAnsi="Arial"/>
                <w:sz w:val="17"/>
                <w:szCs w:val="17"/>
                <w:color w:val="auto"/>
                <w:vertAlign w:val="superscript"/>
              </w:rPr>
              <w:t>(4)</w:t>
            </w:r>
          </w:p>
        </w:tc>
        <w:tc>
          <w:tcPr>
            <w:tcW w:w="2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line="149" w:lineRule="exact"/>
              <w:rPr>
                <w:sz w:val="20"/>
                <w:szCs w:val="20"/>
                <w:color w:val="auto"/>
              </w:rPr>
            </w:pPr>
            <w:r>
              <w:rPr>
                <w:rFonts w:ascii="Arial" w:cs="Arial" w:eastAsia="Arial" w:hAnsi="Arial"/>
                <w:sz w:val="13"/>
                <w:szCs w:val="13"/>
                <w:color w:val="auto"/>
                <w:w w:val="97"/>
              </w:rPr>
              <w:t>345,895</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03/15/2021</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2"/>
                <w:szCs w:val="12"/>
                <w:color w:val="auto"/>
              </w:rPr>
              <w:t>37,314</w:t>
            </w:r>
            <w:r>
              <w:rPr>
                <w:rFonts w:ascii="Arial" w:cs="Arial" w:eastAsia="Arial" w:hAnsi="Arial"/>
                <w:sz w:val="17"/>
                <w:szCs w:val="17"/>
                <w:color w:val="auto"/>
                <w:vertAlign w:val="superscript"/>
              </w:rPr>
              <w:t>(4)</w:t>
            </w:r>
          </w:p>
        </w:tc>
        <w:tc>
          <w:tcPr>
            <w:tcW w:w="260" w:type="dxa"/>
            <w:vAlign w:val="bottom"/>
          </w:tcPr>
          <w:p>
            <w:pPr>
              <w:jc w:val="right"/>
              <w:ind w:right="35"/>
              <w:spacing w:after="0" w:line="149"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line="149" w:lineRule="exact"/>
              <w:rPr>
                <w:sz w:val="20"/>
                <w:szCs w:val="20"/>
                <w:color w:val="auto"/>
              </w:rPr>
            </w:pPr>
            <w:r>
              <w:rPr>
                <w:rFonts w:ascii="Arial" w:cs="Arial" w:eastAsia="Arial" w:hAnsi="Arial"/>
                <w:sz w:val="13"/>
                <w:szCs w:val="13"/>
                <w:color w:val="auto"/>
                <w:w w:val="97"/>
              </w:rPr>
              <w:t>230,601</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1140" w:type="dxa"/>
            <w:vAlign w:val="bottom"/>
          </w:tcPr>
          <w:p>
            <w:pPr>
              <w:ind w:left="480"/>
              <w:spacing w:after="0"/>
              <w:rPr>
                <w:sz w:val="20"/>
                <w:szCs w:val="20"/>
                <w:color w:val="auto"/>
              </w:rPr>
            </w:pPr>
            <w:r>
              <w:rPr>
                <w:rFonts w:ascii="Arial" w:cs="Arial" w:eastAsia="Arial" w:hAnsi="Arial"/>
                <w:sz w:val="13"/>
                <w:szCs w:val="13"/>
                <w:color w:val="auto"/>
                <w:w w:val="98"/>
              </w:rPr>
              <w:t>03/15/2019</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Arial" w:cs="Arial" w:eastAsia="Arial" w:hAnsi="Arial"/>
                <w:sz w:val="12"/>
                <w:szCs w:val="12"/>
                <w:color w:val="auto"/>
              </w:rPr>
              <w:t>7,240</w:t>
            </w:r>
            <w:r>
              <w:rPr>
                <w:rFonts w:ascii="Arial" w:cs="Arial" w:eastAsia="Arial" w:hAnsi="Arial"/>
                <w:sz w:val="17"/>
                <w:szCs w:val="17"/>
                <w:color w:val="auto"/>
                <w:vertAlign w:val="superscript"/>
              </w:rPr>
              <w:t>(4)</w:t>
            </w:r>
          </w:p>
        </w:tc>
        <w:tc>
          <w:tcPr>
            <w:tcW w:w="2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rPr>
                <w:sz w:val="20"/>
                <w:szCs w:val="20"/>
                <w:color w:val="auto"/>
              </w:rPr>
            </w:pPr>
            <w:r>
              <w:rPr>
                <w:rFonts w:ascii="Arial" w:cs="Arial" w:eastAsia="Arial" w:hAnsi="Arial"/>
                <w:sz w:val="13"/>
                <w:szCs w:val="13"/>
                <w:color w:val="auto"/>
              </w:rPr>
              <w:t>44,743</w:t>
            </w:r>
          </w:p>
        </w:tc>
        <w:tc>
          <w:tcPr>
            <w:tcW w:w="1520" w:type="dxa"/>
            <w:vAlign w:val="bottom"/>
            <w:vMerge w:val="restart"/>
          </w:tcPr>
          <w:p>
            <w:pPr>
              <w:jc w:val="right"/>
              <w:ind w:right="497"/>
              <w:spacing w:after="0"/>
              <w:rPr>
                <w:sz w:val="20"/>
                <w:szCs w:val="20"/>
                <w:color w:val="auto"/>
              </w:rPr>
            </w:pPr>
            <w:r>
              <w:rPr>
                <w:rFonts w:ascii="Arial" w:cs="Arial" w:eastAsia="Arial" w:hAnsi="Arial"/>
                <w:sz w:val="13"/>
                <w:szCs w:val="13"/>
                <w:color w:val="auto"/>
              </w:rPr>
              <w:t>78,206</w:t>
            </w:r>
            <w:r>
              <w:rPr>
                <w:rFonts w:ascii="Arial" w:cs="Arial" w:eastAsia="Arial" w:hAnsi="Arial"/>
                <w:sz w:val="19"/>
                <w:szCs w:val="19"/>
                <w:color w:val="auto"/>
                <w:vertAlign w:val="superscript"/>
              </w:rPr>
              <w:t>(5)</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140" w:type="dxa"/>
            <w:vAlign w:val="bottom"/>
          </w:tcPr>
          <w:p>
            <w:pPr>
              <w:ind w:left="480"/>
              <w:spacing w:after="0" w:line="149" w:lineRule="exact"/>
              <w:rPr>
                <w:sz w:val="20"/>
                <w:szCs w:val="20"/>
                <w:color w:val="auto"/>
              </w:rPr>
            </w:pPr>
            <w:r>
              <w:rPr>
                <w:rFonts w:ascii="Arial" w:cs="Arial" w:eastAsia="Arial" w:hAnsi="Arial"/>
                <w:sz w:val="13"/>
                <w:szCs w:val="13"/>
                <w:color w:val="auto"/>
                <w:w w:val="98"/>
              </w:rPr>
              <w:t>03/15/2022</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7,231</w:t>
            </w:r>
            <w:r>
              <w:rPr>
                <w:rFonts w:ascii="Arial" w:cs="Arial" w:eastAsia="Arial" w:hAnsi="Arial"/>
                <w:sz w:val="19"/>
                <w:szCs w:val="19"/>
                <w:color w:val="auto"/>
                <w:vertAlign w:val="superscript"/>
              </w:rPr>
              <w:t>(6)</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73"/>
              <w:spacing w:after="0" w:line="149" w:lineRule="exact"/>
              <w:rPr>
                <w:sz w:val="20"/>
                <w:szCs w:val="20"/>
                <w:color w:val="auto"/>
              </w:rPr>
            </w:pPr>
            <w:r>
              <w:rPr>
                <w:rFonts w:ascii="Arial" w:cs="Arial" w:eastAsia="Arial" w:hAnsi="Arial"/>
                <w:sz w:val="13"/>
                <w:szCs w:val="13"/>
                <w:color w:val="auto"/>
              </w:rPr>
              <w:t>483,313</w:t>
            </w: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1140" w:type="dxa"/>
            <w:vAlign w:val="bottom"/>
          </w:tcPr>
          <w:p>
            <w:pPr>
              <w:ind w:left="480"/>
              <w:spacing w:after="0" w:line="145" w:lineRule="exact"/>
              <w:rPr>
                <w:sz w:val="20"/>
                <w:szCs w:val="20"/>
                <w:color w:val="auto"/>
              </w:rPr>
            </w:pPr>
            <w:r>
              <w:rPr>
                <w:rFonts w:ascii="Arial" w:cs="Arial" w:eastAsia="Arial" w:hAnsi="Arial"/>
                <w:sz w:val="13"/>
                <w:szCs w:val="13"/>
                <w:color w:val="auto"/>
                <w:w w:val="98"/>
              </w:rPr>
              <w:t>10/15/2019</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jc w:val="right"/>
              <w:ind w:right="35"/>
              <w:spacing w:after="0" w:line="14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line="145" w:lineRule="exact"/>
              <w:rPr>
                <w:sz w:val="20"/>
                <w:szCs w:val="20"/>
                <w:color w:val="auto"/>
              </w:rPr>
            </w:pPr>
            <w:r>
              <w:rPr>
                <w:rFonts w:ascii="Arial" w:cs="Arial" w:eastAsia="Arial" w:hAnsi="Arial"/>
                <w:sz w:val="13"/>
                <w:szCs w:val="13"/>
                <w:color w:val="auto"/>
              </w:rPr>
              <w:t>44,688</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1140" w:type="dxa"/>
            <w:vAlign w:val="bottom"/>
          </w:tcPr>
          <w:p>
            <w:pPr>
              <w:ind w:left="480"/>
              <w:spacing w:after="0"/>
              <w:rPr>
                <w:sz w:val="20"/>
                <w:szCs w:val="20"/>
                <w:color w:val="auto"/>
              </w:rPr>
            </w:pPr>
            <w:r>
              <w:rPr>
                <w:rFonts w:ascii="Arial" w:cs="Arial" w:eastAsia="Arial" w:hAnsi="Arial"/>
                <w:sz w:val="13"/>
                <w:szCs w:val="13"/>
                <w:color w:val="auto"/>
                <w:w w:val="98"/>
              </w:rPr>
              <w:t>03/15/2022</w:t>
            </w: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78,206</w:t>
            </w:r>
            <w:r>
              <w:rPr>
                <w:rFonts w:ascii="Arial" w:cs="Arial" w:eastAsia="Arial" w:hAnsi="Arial"/>
                <w:sz w:val="19"/>
                <w:szCs w:val="19"/>
                <w:color w:val="auto"/>
                <w:vertAlign w:val="superscript"/>
              </w:rPr>
              <w:t>(6)</w:t>
            </w:r>
          </w:p>
        </w:tc>
        <w:tc>
          <w:tcPr>
            <w:tcW w:w="2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15"/>
              <w:spacing w:after="0"/>
              <w:rPr>
                <w:sz w:val="20"/>
                <w:szCs w:val="20"/>
                <w:color w:val="auto"/>
              </w:rPr>
            </w:pPr>
            <w:r>
              <w:rPr>
                <w:rFonts w:ascii="Arial" w:cs="Arial" w:eastAsia="Arial" w:hAnsi="Arial"/>
                <w:sz w:val="13"/>
                <w:szCs w:val="13"/>
                <w:color w:val="auto"/>
                <w:w w:val="97"/>
              </w:rPr>
              <w:t>483,313</w:t>
            </w: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20" w:type="dxa"/>
            <w:vAlign w:val="bottom"/>
            <w:gridSpan w:val="5"/>
          </w:tcPr>
          <w:p>
            <w:pPr>
              <w:ind w:left="380"/>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p>
        </w:tc>
        <w:tc>
          <w:tcPr>
            <w:tcW w:w="300" w:type="dxa"/>
            <w:vAlign w:val="bottom"/>
          </w:tcPr>
          <w:p>
            <w:pPr>
              <w:jc w:val="right"/>
              <w:spacing w:after="0"/>
              <w:rPr>
                <w:sz w:val="20"/>
                <w:szCs w:val="20"/>
                <w:color w:val="auto"/>
              </w:rPr>
            </w:pPr>
            <w:r>
              <w:rPr>
                <w:rFonts w:ascii="Arial" w:cs="Arial" w:eastAsia="Arial" w:hAnsi="Arial"/>
                <w:sz w:val="23"/>
                <w:szCs w:val="23"/>
                <w:color w:val="666666"/>
              </w:rPr>
              <w:t>|</w:t>
            </w:r>
          </w:p>
        </w:tc>
        <w:tc>
          <w:tcPr>
            <w:tcW w:w="1040" w:type="dxa"/>
            <w:vAlign w:val="bottom"/>
          </w:tcPr>
          <w:p>
            <w:pPr>
              <w:jc w:val="right"/>
              <w:ind w:right="513"/>
              <w:spacing w:after="0"/>
              <w:rPr>
                <w:sz w:val="20"/>
                <w:szCs w:val="20"/>
                <w:color w:val="auto"/>
              </w:rPr>
            </w:pPr>
            <w:r>
              <w:rPr>
                <w:rFonts w:ascii="Arial" w:cs="Arial" w:eastAsia="Arial" w:hAnsi="Arial"/>
                <w:sz w:val="18"/>
                <w:szCs w:val="18"/>
                <w:b w:val="1"/>
                <w:bCs w:val="1"/>
                <w:color w:val="666666"/>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-4398010</wp:posOffset>
            </wp:positionV>
            <wp:extent cx="6296025" cy="4356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296025" cy="4356735"/>
                    </a:xfrm>
                    <a:prstGeom prst="rect">
                      <a:avLst/>
                    </a:prstGeom>
                    <a:noFill/>
                  </pic:spPr>
                </pic:pic>
              </a:graphicData>
            </a:graphic>
          </wp:anchor>
        </w:drawing>
      </w:r>
    </w:p>
    <w:p>
      <w:pPr>
        <w:sectPr>
          <w:pgSz w:w="11900" w:h="16838" w:orient="portrait"/>
          <w:cols w:equalWidth="0" w:num="1">
            <w:col w:w="11180"/>
          </w:cols>
          <w:pgMar w:left="320" w:top="453"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740" w:type="dxa"/>
            <w:vAlign w:val="bottom"/>
            <w:shd w:val="clear" w:color="auto" w:fill="666666"/>
          </w:tcPr>
          <w:p>
            <w:pPr>
              <w:spacing w:after="0"/>
              <w:rPr>
                <w:sz w:val="12"/>
                <w:szCs w:val="12"/>
                <w:color w:val="auto"/>
              </w:rPr>
            </w:pPr>
          </w:p>
        </w:tc>
        <w:tc>
          <w:tcPr>
            <w:tcW w:w="1140" w:type="dxa"/>
            <w:vAlign w:val="bottom"/>
            <w:shd w:val="clear" w:color="auto" w:fill="666666"/>
          </w:tcPr>
          <w:p>
            <w:pPr>
              <w:spacing w:after="0"/>
              <w:rPr>
                <w:sz w:val="12"/>
                <w:szCs w:val="12"/>
                <w:color w:val="auto"/>
              </w:rPr>
            </w:pPr>
          </w:p>
        </w:tc>
        <w:tc>
          <w:tcPr>
            <w:tcW w:w="1300" w:type="dxa"/>
            <w:vAlign w:val="bottom"/>
            <w:shd w:val="clear" w:color="auto" w:fill="666666"/>
          </w:tcPr>
          <w:p>
            <w:pPr>
              <w:spacing w:after="0"/>
              <w:rPr>
                <w:sz w:val="12"/>
                <w:szCs w:val="12"/>
                <w:color w:val="auto"/>
              </w:rPr>
            </w:pPr>
          </w:p>
        </w:tc>
        <w:tc>
          <w:tcPr>
            <w:tcW w:w="1320" w:type="dxa"/>
            <w:vAlign w:val="bottom"/>
            <w:shd w:val="clear" w:color="auto" w:fill="666666"/>
          </w:tcPr>
          <w:p>
            <w:pPr>
              <w:spacing w:after="0"/>
              <w:rPr>
                <w:sz w:val="12"/>
                <w:szCs w:val="12"/>
                <w:color w:val="auto"/>
              </w:rPr>
            </w:pPr>
          </w:p>
        </w:tc>
        <w:tc>
          <w:tcPr>
            <w:tcW w:w="720" w:type="dxa"/>
            <w:vAlign w:val="bottom"/>
            <w:shd w:val="clear" w:color="auto" w:fill="666666"/>
          </w:tcPr>
          <w:p>
            <w:pPr>
              <w:spacing w:after="0"/>
              <w:rPr>
                <w:sz w:val="12"/>
                <w:szCs w:val="12"/>
                <w:color w:val="auto"/>
              </w:rPr>
            </w:pPr>
          </w:p>
        </w:tc>
        <w:tc>
          <w:tcPr>
            <w:tcW w:w="920" w:type="dxa"/>
            <w:vAlign w:val="bottom"/>
            <w:shd w:val="clear" w:color="auto" w:fill="666666"/>
          </w:tcPr>
          <w:p>
            <w:pPr>
              <w:spacing w:after="0"/>
              <w:rPr>
                <w:sz w:val="12"/>
                <w:szCs w:val="12"/>
                <w:color w:val="auto"/>
              </w:rPr>
            </w:pPr>
          </w:p>
        </w:tc>
        <w:tc>
          <w:tcPr>
            <w:tcW w:w="760" w:type="dxa"/>
            <w:vAlign w:val="bottom"/>
            <w:shd w:val="clear" w:color="auto" w:fill="666666"/>
          </w:tcPr>
          <w:p>
            <w:pPr>
              <w:spacing w:after="0"/>
              <w:rPr>
                <w:sz w:val="12"/>
                <w:szCs w:val="12"/>
                <w:color w:val="auto"/>
              </w:rPr>
            </w:pPr>
          </w:p>
        </w:tc>
        <w:tc>
          <w:tcPr>
            <w:tcW w:w="800" w:type="dxa"/>
            <w:vAlign w:val="bottom"/>
            <w:shd w:val="clear" w:color="auto" w:fill="666666"/>
          </w:tcPr>
          <w:p>
            <w:pPr>
              <w:spacing w:after="0"/>
              <w:rPr>
                <w:sz w:val="12"/>
                <w:szCs w:val="12"/>
                <w:color w:val="auto"/>
              </w:rPr>
            </w:pPr>
          </w:p>
        </w:tc>
        <w:tc>
          <w:tcPr>
            <w:tcW w:w="1220" w:type="dxa"/>
            <w:vAlign w:val="bottom"/>
            <w:shd w:val="clear" w:color="auto" w:fill="666666"/>
          </w:tcPr>
          <w:p>
            <w:pPr>
              <w:jc w:val="center"/>
              <w:ind w:right="58"/>
              <w:spacing w:after="0"/>
              <w:rPr>
                <w:sz w:val="20"/>
                <w:szCs w:val="20"/>
                <w:color w:val="auto"/>
              </w:rPr>
            </w:pPr>
            <w:r>
              <w:rPr>
                <w:rFonts w:ascii="Arial" w:cs="Arial" w:eastAsia="Arial" w:hAnsi="Arial"/>
                <w:sz w:val="12"/>
                <w:szCs w:val="12"/>
                <w:b w:val="1"/>
                <w:bCs w:val="1"/>
                <w:color w:val="FFFFFF"/>
              </w:rPr>
              <w:t>Equity</w:t>
            </w:r>
          </w:p>
        </w:tc>
        <w:tc>
          <w:tcPr>
            <w:tcW w:w="1480" w:type="dxa"/>
            <w:vAlign w:val="bottom"/>
            <w:shd w:val="clear" w:color="auto" w:fill="666666"/>
          </w:tcPr>
          <w:p>
            <w:pPr>
              <w:jc w:val="center"/>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shd w:val="clear" w:color="auto" w:fill="666666"/>
          </w:tcPr>
          <w:p>
            <w:pPr>
              <w:spacing w:after="0"/>
              <w:rPr>
                <w:sz w:val="11"/>
                <w:szCs w:val="11"/>
                <w:color w:val="auto"/>
              </w:rPr>
            </w:pPr>
          </w:p>
        </w:tc>
        <w:tc>
          <w:tcPr>
            <w:tcW w:w="1320" w:type="dxa"/>
            <w:vAlign w:val="bottom"/>
            <w:shd w:val="clear" w:color="auto" w:fill="666666"/>
          </w:tcPr>
          <w:p>
            <w:pPr>
              <w:spacing w:after="0"/>
              <w:rPr>
                <w:sz w:val="11"/>
                <w:szCs w:val="11"/>
                <w:color w:val="auto"/>
              </w:rPr>
            </w:pPr>
          </w:p>
        </w:tc>
        <w:tc>
          <w:tcPr>
            <w:tcW w:w="720" w:type="dxa"/>
            <w:vAlign w:val="bottom"/>
            <w:shd w:val="clear" w:color="auto" w:fill="666666"/>
          </w:tcPr>
          <w:p>
            <w:pPr>
              <w:spacing w:after="0"/>
              <w:rPr>
                <w:sz w:val="11"/>
                <w:szCs w:val="11"/>
                <w:color w:val="auto"/>
              </w:rPr>
            </w:pPr>
          </w:p>
        </w:tc>
        <w:tc>
          <w:tcPr>
            <w:tcW w:w="920" w:type="dxa"/>
            <w:vAlign w:val="bottom"/>
            <w:shd w:val="clear" w:color="auto" w:fill="666666"/>
          </w:tcPr>
          <w:p>
            <w:pPr>
              <w:spacing w:after="0"/>
              <w:rPr>
                <w:sz w:val="11"/>
                <w:szCs w:val="11"/>
                <w:color w:val="auto"/>
              </w:rPr>
            </w:pPr>
          </w:p>
        </w:tc>
        <w:tc>
          <w:tcPr>
            <w:tcW w:w="760" w:type="dxa"/>
            <w:vAlign w:val="bottom"/>
            <w:shd w:val="clear" w:color="auto" w:fill="666666"/>
          </w:tcPr>
          <w:p>
            <w:pPr>
              <w:spacing w:after="0"/>
              <w:rPr>
                <w:sz w:val="11"/>
                <w:szCs w:val="11"/>
                <w:color w:val="auto"/>
              </w:rPr>
            </w:pPr>
          </w:p>
        </w:tc>
        <w:tc>
          <w:tcPr>
            <w:tcW w:w="800" w:type="dxa"/>
            <w:vAlign w:val="bottom"/>
            <w:shd w:val="clear" w:color="auto" w:fill="666666"/>
          </w:tcPr>
          <w:p>
            <w:pPr>
              <w:spacing w:after="0"/>
              <w:rPr>
                <w:sz w:val="11"/>
                <w:szCs w:val="11"/>
                <w:color w:val="auto"/>
              </w:rPr>
            </w:pP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Incentive Plan</w:t>
            </w:r>
          </w:p>
        </w:tc>
        <w:tc>
          <w:tcPr>
            <w:tcW w:w="1480" w:type="dxa"/>
            <w:vAlign w:val="bottom"/>
            <w:shd w:val="clear" w:color="auto" w:fill="666666"/>
          </w:tcPr>
          <w:p>
            <w:pPr>
              <w:jc w:val="center"/>
              <w:ind w:left="18"/>
              <w:spacing w:after="0" w:line="136" w:lineRule="exact"/>
              <w:rPr>
                <w:sz w:val="20"/>
                <w:szCs w:val="20"/>
                <w:color w:val="auto"/>
              </w:rPr>
            </w:pPr>
            <w:r>
              <w:rPr>
                <w:rFonts w:ascii="Arial" w:cs="Arial" w:eastAsia="Arial" w:hAnsi="Arial"/>
                <w:sz w:val="12"/>
                <w:szCs w:val="12"/>
                <w:b w:val="1"/>
                <w:bCs w:val="1"/>
                <w:color w:val="FFFFFF"/>
              </w:rPr>
              <w:t>Incentive Plan</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vMerge w:val="restart"/>
            <w:shd w:val="clear" w:color="auto" w:fill="666666"/>
          </w:tcPr>
          <w:p>
            <w:pPr>
              <w:jc w:val="center"/>
              <w:spacing w:after="0"/>
              <w:rPr>
                <w:sz w:val="20"/>
                <w:szCs w:val="20"/>
                <w:color w:val="auto"/>
              </w:rPr>
            </w:pPr>
            <w:r>
              <w:rPr>
                <w:rFonts w:ascii="Arial" w:cs="Arial" w:eastAsia="Arial" w:hAnsi="Arial"/>
                <w:sz w:val="12"/>
                <w:szCs w:val="12"/>
                <w:b w:val="1"/>
                <w:bCs w:val="1"/>
                <w:color w:val="FFFFFF"/>
              </w:rPr>
              <w:t>Option</w:t>
            </w:r>
          </w:p>
        </w:tc>
        <w:tc>
          <w:tcPr>
            <w:tcW w:w="1320" w:type="dxa"/>
            <w:vAlign w:val="bottom"/>
            <w:shd w:val="clear" w:color="auto" w:fill="666666"/>
          </w:tcPr>
          <w:p>
            <w:pPr>
              <w:spacing w:after="0"/>
              <w:rPr>
                <w:sz w:val="11"/>
                <w:szCs w:val="11"/>
                <w:color w:val="auto"/>
              </w:rPr>
            </w:pPr>
          </w:p>
        </w:tc>
        <w:tc>
          <w:tcPr>
            <w:tcW w:w="720" w:type="dxa"/>
            <w:vAlign w:val="bottom"/>
            <w:shd w:val="clear" w:color="auto" w:fill="666666"/>
          </w:tcPr>
          <w:p>
            <w:pPr>
              <w:spacing w:after="0"/>
              <w:rPr>
                <w:sz w:val="11"/>
                <w:szCs w:val="11"/>
                <w:color w:val="auto"/>
              </w:rPr>
            </w:pPr>
          </w:p>
        </w:tc>
        <w:tc>
          <w:tcPr>
            <w:tcW w:w="920" w:type="dxa"/>
            <w:vAlign w:val="bottom"/>
            <w:shd w:val="clear" w:color="auto" w:fill="666666"/>
          </w:tcPr>
          <w:p>
            <w:pPr>
              <w:spacing w:after="0"/>
              <w:rPr>
                <w:sz w:val="11"/>
                <w:szCs w:val="11"/>
                <w:color w:val="auto"/>
              </w:rPr>
            </w:pPr>
          </w:p>
        </w:tc>
        <w:tc>
          <w:tcPr>
            <w:tcW w:w="760" w:type="dxa"/>
            <w:vAlign w:val="bottom"/>
            <w:shd w:val="clear" w:color="auto" w:fill="666666"/>
          </w:tcPr>
          <w:p>
            <w:pPr>
              <w:spacing w:after="0"/>
              <w:rPr>
                <w:sz w:val="11"/>
                <w:szCs w:val="11"/>
                <w:color w:val="auto"/>
              </w:rPr>
            </w:pPr>
          </w:p>
        </w:tc>
        <w:tc>
          <w:tcPr>
            <w:tcW w:w="800" w:type="dxa"/>
            <w:vAlign w:val="bottom"/>
            <w:vMerge w:val="restart"/>
            <w:shd w:val="clear" w:color="auto" w:fill="666666"/>
          </w:tcPr>
          <w:p>
            <w:pPr>
              <w:jc w:val="center"/>
              <w:ind w:right="17"/>
              <w:spacing w:after="0"/>
              <w:rPr>
                <w:sz w:val="20"/>
                <w:szCs w:val="20"/>
                <w:color w:val="auto"/>
              </w:rPr>
            </w:pPr>
            <w:r>
              <w:rPr>
                <w:rFonts w:ascii="Arial" w:cs="Arial" w:eastAsia="Arial" w:hAnsi="Arial"/>
                <w:sz w:val="12"/>
                <w:szCs w:val="12"/>
                <w:b w:val="1"/>
                <w:bCs w:val="1"/>
                <w:color w:val="FFFFFF"/>
              </w:rPr>
              <w:t>Market</w:t>
            </w:r>
          </w:p>
        </w:tc>
        <w:tc>
          <w:tcPr>
            <w:tcW w:w="1220" w:type="dxa"/>
            <w:vAlign w:val="bottom"/>
            <w:shd w:val="clear" w:color="auto" w:fill="666666"/>
          </w:tcPr>
          <w:p>
            <w:pPr>
              <w:jc w:val="right"/>
              <w:ind w:right="278"/>
              <w:spacing w:after="0" w:line="136" w:lineRule="exact"/>
              <w:rPr>
                <w:sz w:val="20"/>
                <w:szCs w:val="20"/>
                <w:color w:val="auto"/>
              </w:rPr>
            </w:pPr>
            <w:r>
              <w:rPr>
                <w:rFonts w:ascii="Arial" w:cs="Arial" w:eastAsia="Arial" w:hAnsi="Arial"/>
                <w:sz w:val="12"/>
                <w:szCs w:val="12"/>
                <w:b w:val="1"/>
                <w:bCs w:val="1"/>
                <w:color w:val="FFFFFF"/>
              </w:rPr>
              <w:t>Awards—</w:t>
            </w:r>
          </w:p>
        </w:tc>
        <w:tc>
          <w:tcPr>
            <w:tcW w:w="1480" w:type="dxa"/>
            <w:vAlign w:val="bottom"/>
            <w:shd w:val="clear" w:color="auto" w:fill="666666"/>
          </w:tcPr>
          <w:p>
            <w:pPr>
              <w:jc w:val="center"/>
              <w:ind w:left="38"/>
              <w:spacing w:after="0" w:line="136"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24"/>
        </w:trPr>
        <w:tc>
          <w:tcPr>
            <w:tcW w:w="740" w:type="dxa"/>
            <w:vAlign w:val="bottom"/>
            <w:shd w:val="clear" w:color="auto" w:fill="666666"/>
          </w:tcPr>
          <w:p>
            <w:pPr>
              <w:spacing w:after="0"/>
              <w:rPr>
                <w:sz w:val="10"/>
                <w:szCs w:val="10"/>
                <w:color w:val="auto"/>
              </w:rPr>
            </w:pPr>
          </w:p>
        </w:tc>
        <w:tc>
          <w:tcPr>
            <w:tcW w:w="1140" w:type="dxa"/>
            <w:vAlign w:val="bottom"/>
            <w:shd w:val="clear" w:color="auto" w:fill="666666"/>
          </w:tcPr>
          <w:p>
            <w:pPr>
              <w:spacing w:after="0"/>
              <w:rPr>
                <w:sz w:val="10"/>
                <w:szCs w:val="10"/>
                <w:color w:val="auto"/>
              </w:rPr>
            </w:pPr>
          </w:p>
        </w:tc>
        <w:tc>
          <w:tcPr>
            <w:tcW w:w="1300" w:type="dxa"/>
            <w:vAlign w:val="bottom"/>
            <w:vMerge w:val="continue"/>
            <w:shd w:val="clear" w:color="auto" w:fill="666666"/>
          </w:tcPr>
          <w:p>
            <w:pPr>
              <w:spacing w:after="0"/>
              <w:rPr>
                <w:sz w:val="10"/>
                <w:szCs w:val="10"/>
                <w:color w:val="auto"/>
              </w:rPr>
            </w:pPr>
          </w:p>
        </w:tc>
        <w:tc>
          <w:tcPr>
            <w:tcW w:w="1320" w:type="dxa"/>
            <w:vAlign w:val="bottom"/>
            <w:shd w:val="clear" w:color="auto" w:fill="666666"/>
          </w:tcPr>
          <w:p>
            <w:pPr>
              <w:jc w:val="center"/>
              <w:ind w:left="57"/>
              <w:spacing w:after="0" w:line="124" w:lineRule="exact"/>
              <w:rPr>
                <w:sz w:val="20"/>
                <w:szCs w:val="20"/>
                <w:color w:val="auto"/>
              </w:rPr>
            </w:pPr>
            <w:r>
              <w:rPr>
                <w:rFonts w:ascii="Arial" w:cs="Arial" w:eastAsia="Arial" w:hAnsi="Arial"/>
                <w:sz w:val="12"/>
                <w:szCs w:val="12"/>
                <w:b w:val="1"/>
                <w:bCs w:val="1"/>
                <w:color w:val="FFFFFF"/>
              </w:rPr>
              <w:t>Option</w:t>
            </w:r>
          </w:p>
        </w:tc>
        <w:tc>
          <w:tcPr>
            <w:tcW w:w="720" w:type="dxa"/>
            <w:vAlign w:val="bottom"/>
            <w:shd w:val="clear" w:color="auto" w:fill="666666"/>
          </w:tcPr>
          <w:p>
            <w:pPr>
              <w:spacing w:after="0"/>
              <w:rPr>
                <w:sz w:val="10"/>
                <w:szCs w:val="10"/>
                <w:color w:val="auto"/>
              </w:rPr>
            </w:pPr>
          </w:p>
        </w:tc>
        <w:tc>
          <w:tcPr>
            <w:tcW w:w="920" w:type="dxa"/>
            <w:vAlign w:val="bottom"/>
            <w:shd w:val="clear" w:color="auto" w:fill="666666"/>
          </w:tcPr>
          <w:p>
            <w:pPr>
              <w:spacing w:after="0"/>
              <w:rPr>
                <w:sz w:val="10"/>
                <w:szCs w:val="10"/>
                <w:color w:val="auto"/>
              </w:rPr>
            </w:pPr>
          </w:p>
        </w:tc>
        <w:tc>
          <w:tcPr>
            <w:tcW w:w="760" w:type="dxa"/>
            <w:vAlign w:val="bottom"/>
            <w:shd w:val="clear" w:color="auto" w:fill="666666"/>
          </w:tcPr>
          <w:p>
            <w:pPr>
              <w:jc w:val="center"/>
              <w:spacing w:after="0" w:line="124" w:lineRule="exact"/>
              <w:rPr>
                <w:sz w:val="20"/>
                <w:szCs w:val="20"/>
                <w:color w:val="auto"/>
              </w:rPr>
            </w:pPr>
            <w:r>
              <w:rPr>
                <w:rFonts w:ascii="Arial" w:cs="Arial" w:eastAsia="Arial" w:hAnsi="Arial"/>
                <w:sz w:val="12"/>
                <w:szCs w:val="12"/>
                <w:b w:val="1"/>
                <w:bCs w:val="1"/>
                <w:color w:val="FFFFFF"/>
              </w:rPr>
              <w:t>Number of</w:t>
            </w:r>
          </w:p>
        </w:tc>
        <w:tc>
          <w:tcPr>
            <w:tcW w:w="800" w:type="dxa"/>
            <w:vAlign w:val="bottom"/>
            <w:vMerge w:val="continue"/>
            <w:shd w:val="clear" w:color="auto" w:fill="666666"/>
          </w:tcPr>
          <w:p>
            <w:pPr>
              <w:spacing w:after="0"/>
              <w:rPr>
                <w:sz w:val="10"/>
                <w:szCs w:val="10"/>
                <w:color w:val="auto"/>
              </w:rPr>
            </w:pPr>
          </w:p>
        </w:tc>
        <w:tc>
          <w:tcPr>
            <w:tcW w:w="1220" w:type="dxa"/>
            <w:vAlign w:val="bottom"/>
            <w:shd w:val="clear" w:color="auto" w:fill="666666"/>
          </w:tcPr>
          <w:p>
            <w:pPr>
              <w:jc w:val="center"/>
              <w:ind w:right="58"/>
              <w:spacing w:after="0" w:line="124" w:lineRule="exact"/>
              <w:rPr>
                <w:sz w:val="20"/>
                <w:szCs w:val="20"/>
                <w:color w:val="auto"/>
              </w:rPr>
            </w:pPr>
            <w:r>
              <w:rPr>
                <w:rFonts w:ascii="Arial" w:cs="Arial" w:eastAsia="Arial" w:hAnsi="Arial"/>
                <w:sz w:val="12"/>
                <w:szCs w:val="12"/>
                <w:b w:val="1"/>
                <w:bCs w:val="1"/>
                <w:color w:val="FFFFFF"/>
              </w:rPr>
              <w:t>Number of</w:t>
            </w:r>
          </w:p>
        </w:tc>
        <w:tc>
          <w:tcPr>
            <w:tcW w:w="1480" w:type="dxa"/>
            <w:vAlign w:val="bottom"/>
            <w:shd w:val="clear" w:color="auto" w:fill="666666"/>
          </w:tcPr>
          <w:p>
            <w:pPr>
              <w:jc w:val="center"/>
              <w:spacing w:after="0" w:line="124" w:lineRule="exact"/>
              <w:rPr>
                <w:sz w:val="20"/>
                <w:szCs w:val="20"/>
                <w:color w:val="auto"/>
              </w:rPr>
            </w:pPr>
            <w:r>
              <w:rPr>
                <w:rFonts w:ascii="Arial" w:cs="Arial" w:eastAsia="Arial" w:hAnsi="Arial"/>
                <w:sz w:val="12"/>
                <w:szCs w:val="12"/>
                <w:b w:val="1"/>
                <w:bCs w:val="1"/>
                <w:color w:val="FFFFFF"/>
              </w:rPr>
              <w:t>Market or</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Awards—</w:t>
            </w:r>
          </w:p>
        </w:tc>
        <w:tc>
          <w:tcPr>
            <w:tcW w:w="1320" w:type="dxa"/>
            <w:vAlign w:val="bottom"/>
            <w:shd w:val="clear" w:color="auto" w:fill="666666"/>
          </w:tcPr>
          <w:p>
            <w:pPr>
              <w:jc w:val="center"/>
              <w:ind w:left="57"/>
              <w:spacing w:after="0" w:line="136" w:lineRule="exact"/>
              <w:rPr>
                <w:sz w:val="20"/>
                <w:szCs w:val="20"/>
                <w:color w:val="auto"/>
              </w:rPr>
            </w:pPr>
            <w:r>
              <w:rPr>
                <w:rFonts w:ascii="Arial" w:cs="Arial" w:eastAsia="Arial" w:hAnsi="Arial"/>
                <w:sz w:val="12"/>
                <w:szCs w:val="12"/>
                <w:b w:val="1"/>
                <w:bCs w:val="1"/>
                <w:color w:val="FFFFFF"/>
              </w:rPr>
              <w:t>Awards—</w:t>
            </w:r>
          </w:p>
        </w:tc>
        <w:tc>
          <w:tcPr>
            <w:tcW w:w="720" w:type="dxa"/>
            <w:vAlign w:val="bottom"/>
            <w:shd w:val="clear" w:color="auto" w:fill="666666"/>
          </w:tcPr>
          <w:p>
            <w:pPr>
              <w:spacing w:after="0"/>
              <w:rPr>
                <w:sz w:val="11"/>
                <w:szCs w:val="11"/>
                <w:color w:val="auto"/>
              </w:rPr>
            </w:pPr>
          </w:p>
        </w:tc>
        <w:tc>
          <w:tcPr>
            <w:tcW w:w="9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Shares or</w:t>
            </w:r>
          </w:p>
        </w:tc>
        <w:tc>
          <w:tcPr>
            <w:tcW w:w="800" w:type="dxa"/>
            <w:vAlign w:val="bottom"/>
            <w:shd w:val="clear" w:color="auto" w:fill="666666"/>
          </w:tcPr>
          <w:p>
            <w:pPr>
              <w:jc w:val="center"/>
              <w:ind w:right="17"/>
              <w:spacing w:after="0" w:line="136" w:lineRule="exact"/>
              <w:rPr>
                <w:sz w:val="20"/>
                <w:szCs w:val="20"/>
                <w:color w:val="auto"/>
              </w:rPr>
            </w:pPr>
            <w:r>
              <w:rPr>
                <w:rFonts w:ascii="Arial" w:cs="Arial" w:eastAsia="Arial" w:hAnsi="Arial"/>
                <w:sz w:val="12"/>
                <w:szCs w:val="12"/>
                <w:b w:val="1"/>
                <w:bCs w:val="1"/>
                <w:color w:val="FFFFFF"/>
              </w:rPr>
              <w:t>Value of</w:t>
            </w: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Unearned</w:t>
            </w:r>
          </w:p>
        </w:tc>
        <w:tc>
          <w:tcPr>
            <w:tcW w:w="148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Payout Value of</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Number of</w:t>
            </w:r>
          </w:p>
        </w:tc>
        <w:tc>
          <w:tcPr>
            <w:tcW w:w="1320" w:type="dxa"/>
            <w:vAlign w:val="bottom"/>
            <w:shd w:val="clear" w:color="auto" w:fill="666666"/>
          </w:tcPr>
          <w:p>
            <w:pPr>
              <w:jc w:val="center"/>
              <w:ind w:left="57"/>
              <w:spacing w:after="0" w:line="136" w:lineRule="exact"/>
              <w:rPr>
                <w:sz w:val="20"/>
                <w:szCs w:val="20"/>
                <w:color w:val="auto"/>
              </w:rPr>
            </w:pPr>
            <w:r>
              <w:rPr>
                <w:rFonts w:ascii="Arial" w:cs="Arial" w:eastAsia="Arial" w:hAnsi="Arial"/>
                <w:sz w:val="12"/>
                <w:szCs w:val="12"/>
                <w:b w:val="1"/>
                <w:bCs w:val="1"/>
                <w:color w:val="FFFFFF"/>
                <w:w w:val="99"/>
              </w:rPr>
              <w:t>Number of</w:t>
            </w:r>
          </w:p>
        </w:tc>
        <w:tc>
          <w:tcPr>
            <w:tcW w:w="720" w:type="dxa"/>
            <w:vAlign w:val="bottom"/>
            <w:shd w:val="clear" w:color="auto" w:fill="666666"/>
          </w:tcPr>
          <w:p>
            <w:pPr>
              <w:jc w:val="right"/>
              <w:ind w:right="77"/>
              <w:spacing w:after="0" w:line="136" w:lineRule="exact"/>
              <w:rPr>
                <w:sz w:val="20"/>
                <w:szCs w:val="20"/>
                <w:color w:val="auto"/>
              </w:rPr>
            </w:pPr>
            <w:r>
              <w:rPr>
                <w:rFonts w:ascii="Arial" w:cs="Arial" w:eastAsia="Arial" w:hAnsi="Arial"/>
                <w:sz w:val="12"/>
                <w:szCs w:val="12"/>
                <w:b w:val="1"/>
                <w:bCs w:val="1"/>
                <w:color w:val="FFFFFF"/>
              </w:rPr>
              <w:t>Option</w:t>
            </w:r>
          </w:p>
        </w:tc>
        <w:tc>
          <w:tcPr>
            <w:tcW w:w="9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Units of</w:t>
            </w:r>
          </w:p>
        </w:tc>
        <w:tc>
          <w:tcPr>
            <w:tcW w:w="800" w:type="dxa"/>
            <w:vAlign w:val="bottom"/>
            <w:shd w:val="clear" w:color="auto" w:fill="666666"/>
          </w:tcPr>
          <w:p>
            <w:pPr>
              <w:ind w:left="200"/>
              <w:spacing w:after="0" w:line="136" w:lineRule="exact"/>
              <w:rPr>
                <w:sz w:val="20"/>
                <w:szCs w:val="20"/>
                <w:color w:val="auto"/>
              </w:rPr>
            </w:pPr>
            <w:r>
              <w:rPr>
                <w:rFonts w:ascii="Arial" w:cs="Arial" w:eastAsia="Arial" w:hAnsi="Arial"/>
                <w:sz w:val="12"/>
                <w:szCs w:val="12"/>
                <w:b w:val="1"/>
                <w:bCs w:val="1"/>
                <w:color w:val="FFFFFF"/>
              </w:rPr>
              <w:t>Shares</w:t>
            </w: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Shares,</w:t>
            </w:r>
          </w:p>
        </w:tc>
        <w:tc>
          <w:tcPr>
            <w:tcW w:w="1480" w:type="dxa"/>
            <w:vAlign w:val="bottom"/>
            <w:shd w:val="clear" w:color="auto" w:fill="666666"/>
          </w:tcPr>
          <w:p>
            <w:pPr>
              <w:jc w:val="center"/>
              <w:ind w:left="38"/>
              <w:spacing w:after="0" w:line="136"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Securities</w:t>
            </w:r>
          </w:p>
        </w:tc>
        <w:tc>
          <w:tcPr>
            <w:tcW w:w="1320" w:type="dxa"/>
            <w:vAlign w:val="bottom"/>
            <w:shd w:val="clear" w:color="auto" w:fill="666666"/>
          </w:tcPr>
          <w:p>
            <w:pPr>
              <w:jc w:val="center"/>
              <w:ind w:left="57"/>
              <w:spacing w:after="0" w:line="136" w:lineRule="exact"/>
              <w:rPr>
                <w:sz w:val="20"/>
                <w:szCs w:val="20"/>
                <w:color w:val="auto"/>
              </w:rPr>
            </w:pPr>
            <w:r>
              <w:rPr>
                <w:rFonts w:ascii="Arial" w:cs="Arial" w:eastAsia="Arial" w:hAnsi="Arial"/>
                <w:sz w:val="12"/>
                <w:szCs w:val="12"/>
                <w:b w:val="1"/>
                <w:bCs w:val="1"/>
                <w:color w:val="FFFFFF"/>
              </w:rPr>
              <w:t>Securities</w:t>
            </w:r>
          </w:p>
        </w:tc>
        <w:tc>
          <w:tcPr>
            <w:tcW w:w="720" w:type="dxa"/>
            <w:vAlign w:val="bottom"/>
            <w:shd w:val="clear" w:color="auto" w:fill="666666"/>
          </w:tcPr>
          <w:p>
            <w:pPr>
              <w:jc w:val="right"/>
              <w:ind w:right="17"/>
              <w:spacing w:after="0" w:line="136" w:lineRule="exact"/>
              <w:rPr>
                <w:sz w:val="20"/>
                <w:szCs w:val="20"/>
                <w:color w:val="auto"/>
              </w:rPr>
            </w:pPr>
            <w:r>
              <w:rPr>
                <w:rFonts w:ascii="Arial" w:cs="Arial" w:eastAsia="Arial" w:hAnsi="Arial"/>
                <w:sz w:val="12"/>
                <w:szCs w:val="12"/>
                <w:b w:val="1"/>
                <w:bCs w:val="1"/>
                <w:color w:val="FFFFFF"/>
              </w:rPr>
              <w:t>Awards</w:t>
            </w:r>
          </w:p>
        </w:tc>
        <w:tc>
          <w:tcPr>
            <w:tcW w:w="9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666666"/>
          </w:tcPr>
          <w:p>
            <w:pPr>
              <w:jc w:val="right"/>
              <w:spacing w:after="0" w:line="136" w:lineRule="exact"/>
              <w:rPr>
                <w:sz w:val="20"/>
                <w:szCs w:val="20"/>
                <w:color w:val="auto"/>
              </w:rPr>
            </w:pPr>
            <w:r>
              <w:rPr>
                <w:rFonts w:ascii="Arial" w:cs="Arial" w:eastAsia="Arial" w:hAnsi="Arial"/>
                <w:sz w:val="12"/>
                <w:szCs w:val="12"/>
                <w:b w:val="1"/>
                <w:bCs w:val="1"/>
                <w:color w:val="FFFFFF"/>
              </w:rPr>
              <w:t>Stock That</w:t>
            </w:r>
          </w:p>
        </w:tc>
        <w:tc>
          <w:tcPr>
            <w:tcW w:w="8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or  Units</w:t>
            </w: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Units, or</w:t>
            </w:r>
          </w:p>
        </w:tc>
        <w:tc>
          <w:tcPr>
            <w:tcW w:w="148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Shares, Units,</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Underlying</w:t>
            </w:r>
          </w:p>
        </w:tc>
        <w:tc>
          <w:tcPr>
            <w:tcW w:w="1320" w:type="dxa"/>
            <w:vAlign w:val="bottom"/>
            <w:shd w:val="clear" w:color="auto" w:fill="666666"/>
          </w:tcPr>
          <w:p>
            <w:pPr>
              <w:jc w:val="center"/>
              <w:ind w:left="57"/>
              <w:spacing w:after="0" w:line="136" w:lineRule="exact"/>
              <w:rPr>
                <w:sz w:val="20"/>
                <w:szCs w:val="20"/>
                <w:color w:val="auto"/>
              </w:rPr>
            </w:pPr>
            <w:r>
              <w:rPr>
                <w:rFonts w:ascii="Arial" w:cs="Arial" w:eastAsia="Arial" w:hAnsi="Arial"/>
                <w:sz w:val="12"/>
                <w:szCs w:val="12"/>
                <w:b w:val="1"/>
                <w:bCs w:val="1"/>
                <w:color w:val="FFFFFF"/>
              </w:rPr>
              <w:t>Underlying</w:t>
            </w:r>
          </w:p>
        </w:tc>
        <w:tc>
          <w:tcPr>
            <w:tcW w:w="720" w:type="dxa"/>
            <w:vAlign w:val="bottom"/>
            <w:shd w:val="clear" w:color="auto" w:fill="666666"/>
          </w:tcPr>
          <w:p>
            <w:pPr>
              <w:jc w:val="right"/>
              <w:ind w:right="237"/>
              <w:spacing w:after="0" w:line="136" w:lineRule="exact"/>
              <w:rPr>
                <w:sz w:val="20"/>
                <w:szCs w:val="20"/>
                <w:color w:val="auto"/>
              </w:rPr>
            </w:pPr>
            <w:r>
              <w:rPr>
                <w:rFonts w:ascii="Arial" w:cs="Arial" w:eastAsia="Arial" w:hAnsi="Arial"/>
                <w:sz w:val="12"/>
                <w:szCs w:val="12"/>
                <w:b w:val="1"/>
                <w:bCs w:val="1"/>
                <w:color w:val="FFFFFF"/>
              </w:rPr>
              <w:t>—</w:t>
            </w:r>
          </w:p>
        </w:tc>
        <w:tc>
          <w:tcPr>
            <w:tcW w:w="9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Awards—</w:t>
            </w: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Have</w:t>
            </w:r>
          </w:p>
        </w:tc>
        <w:tc>
          <w:tcPr>
            <w:tcW w:w="800" w:type="dxa"/>
            <w:vAlign w:val="bottom"/>
            <w:shd w:val="clear" w:color="auto" w:fill="666666"/>
          </w:tcPr>
          <w:p>
            <w:pPr>
              <w:jc w:val="center"/>
              <w:ind w:right="17"/>
              <w:spacing w:after="0" w:line="136" w:lineRule="exact"/>
              <w:rPr>
                <w:sz w:val="20"/>
                <w:szCs w:val="20"/>
                <w:color w:val="auto"/>
              </w:rPr>
            </w:pPr>
            <w:r>
              <w:rPr>
                <w:rFonts w:ascii="Arial" w:cs="Arial" w:eastAsia="Arial" w:hAnsi="Arial"/>
                <w:sz w:val="12"/>
                <w:szCs w:val="12"/>
                <w:b w:val="1"/>
                <w:bCs w:val="1"/>
                <w:color w:val="FFFFFF"/>
              </w:rPr>
              <w:t>of Stock</w:t>
            </w: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Other Rights</w:t>
            </w:r>
          </w:p>
        </w:tc>
        <w:tc>
          <w:tcPr>
            <w:tcW w:w="1480" w:type="dxa"/>
            <w:vAlign w:val="bottom"/>
            <w:shd w:val="clear" w:color="auto" w:fill="666666"/>
          </w:tcPr>
          <w:p>
            <w:pPr>
              <w:jc w:val="center"/>
              <w:ind w:left="38"/>
              <w:spacing w:after="0" w:line="136" w:lineRule="exact"/>
              <w:rPr>
                <w:sz w:val="20"/>
                <w:szCs w:val="20"/>
                <w:color w:val="auto"/>
              </w:rPr>
            </w:pPr>
            <w:r>
              <w:rPr>
                <w:rFonts w:ascii="Arial" w:cs="Arial" w:eastAsia="Arial" w:hAnsi="Arial"/>
                <w:sz w:val="12"/>
                <w:szCs w:val="12"/>
                <w:b w:val="1"/>
                <w:bCs w:val="1"/>
                <w:color w:val="FFFFFF"/>
              </w:rPr>
              <w:t>Other Rights</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spacing w:after="0"/>
              <w:rPr>
                <w:sz w:val="11"/>
                <w:szCs w:val="11"/>
                <w:color w:val="auto"/>
              </w:rPr>
            </w:pPr>
          </w:p>
        </w:tc>
        <w:tc>
          <w:tcPr>
            <w:tcW w:w="13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Unexercised</w:t>
            </w:r>
          </w:p>
        </w:tc>
        <w:tc>
          <w:tcPr>
            <w:tcW w:w="1320" w:type="dxa"/>
            <w:vAlign w:val="bottom"/>
            <w:shd w:val="clear" w:color="auto" w:fill="666666"/>
          </w:tcPr>
          <w:p>
            <w:pPr>
              <w:jc w:val="center"/>
              <w:ind w:left="57"/>
              <w:spacing w:after="0" w:line="136" w:lineRule="exact"/>
              <w:rPr>
                <w:sz w:val="20"/>
                <w:szCs w:val="20"/>
                <w:color w:val="auto"/>
              </w:rPr>
            </w:pPr>
            <w:r>
              <w:rPr>
                <w:rFonts w:ascii="Arial" w:cs="Arial" w:eastAsia="Arial" w:hAnsi="Arial"/>
                <w:sz w:val="12"/>
                <w:szCs w:val="12"/>
                <w:b w:val="1"/>
                <w:bCs w:val="1"/>
                <w:color w:val="FFFFFF"/>
              </w:rPr>
              <w:t>Unexercised</w:t>
            </w:r>
          </w:p>
        </w:tc>
        <w:tc>
          <w:tcPr>
            <w:tcW w:w="720" w:type="dxa"/>
            <w:vAlign w:val="bottom"/>
            <w:shd w:val="clear" w:color="auto" w:fill="666666"/>
          </w:tcPr>
          <w:p>
            <w:pPr>
              <w:jc w:val="right"/>
              <w:ind w:right="17"/>
              <w:spacing w:after="0" w:line="136" w:lineRule="exact"/>
              <w:rPr>
                <w:sz w:val="20"/>
                <w:szCs w:val="20"/>
                <w:color w:val="auto"/>
              </w:rPr>
            </w:pPr>
            <w:r>
              <w:rPr>
                <w:rFonts w:ascii="Arial" w:cs="Arial" w:eastAsia="Arial" w:hAnsi="Arial"/>
                <w:sz w:val="12"/>
                <w:szCs w:val="12"/>
                <w:b w:val="1"/>
                <w:bCs w:val="1"/>
                <w:color w:val="FFFFFF"/>
              </w:rPr>
              <w:t>Option</w:t>
            </w:r>
          </w:p>
        </w:tc>
        <w:tc>
          <w:tcPr>
            <w:tcW w:w="9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Not</w:t>
            </w:r>
          </w:p>
        </w:tc>
        <w:tc>
          <w:tcPr>
            <w:tcW w:w="800" w:type="dxa"/>
            <w:vAlign w:val="bottom"/>
            <w:shd w:val="clear" w:color="auto" w:fill="666666"/>
          </w:tcPr>
          <w:p>
            <w:pPr>
              <w:jc w:val="center"/>
              <w:ind w:right="17"/>
              <w:spacing w:after="0" w:line="136" w:lineRule="exact"/>
              <w:rPr>
                <w:sz w:val="20"/>
                <w:szCs w:val="20"/>
                <w:color w:val="auto"/>
              </w:rPr>
            </w:pPr>
            <w:r>
              <w:rPr>
                <w:rFonts w:ascii="Arial" w:cs="Arial" w:eastAsia="Arial" w:hAnsi="Arial"/>
                <w:sz w:val="12"/>
                <w:szCs w:val="12"/>
                <w:b w:val="1"/>
                <w:bCs w:val="1"/>
                <w:color w:val="FFFFFF"/>
              </w:rPr>
              <w:t>That Have</w:t>
            </w: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That Have</w:t>
            </w:r>
          </w:p>
        </w:tc>
        <w:tc>
          <w:tcPr>
            <w:tcW w:w="148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That Have</w:t>
            </w:r>
          </w:p>
        </w:tc>
        <w:tc>
          <w:tcPr>
            <w:tcW w:w="0" w:type="dxa"/>
            <w:vAlign w:val="bottom"/>
          </w:tcPr>
          <w:p>
            <w:pPr>
              <w:spacing w:after="0"/>
              <w:rPr>
                <w:sz w:val="1"/>
                <w:szCs w:val="1"/>
                <w:color w:val="auto"/>
              </w:rPr>
            </w:pPr>
          </w:p>
        </w:tc>
      </w:tr>
      <w:tr>
        <w:trPr>
          <w:trHeight w:val="136"/>
        </w:trPr>
        <w:tc>
          <w:tcPr>
            <w:tcW w:w="740" w:type="dxa"/>
            <w:vAlign w:val="bottom"/>
            <w:shd w:val="clear" w:color="auto" w:fill="666666"/>
          </w:tcPr>
          <w:p>
            <w:pPr>
              <w:spacing w:after="0"/>
              <w:rPr>
                <w:sz w:val="11"/>
                <w:szCs w:val="11"/>
                <w:color w:val="auto"/>
              </w:rPr>
            </w:pPr>
          </w:p>
        </w:tc>
        <w:tc>
          <w:tcPr>
            <w:tcW w:w="1140" w:type="dxa"/>
            <w:vAlign w:val="bottom"/>
            <w:shd w:val="clear" w:color="auto" w:fill="666666"/>
          </w:tcPr>
          <w:p>
            <w:pPr>
              <w:jc w:val="right"/>
              <w:ind w:right="15"/>
              <w:spacing w:after="0" w:line="136" w:lineRule="exact"/>
              <w:rPr>
                <w:sz w:val="20"/>
                <w:szCs w:val="20"/>
                <w:color w:val="auto"/>
              </w:rPr>
            </w:pPr>
            <w:r>
              <w:rPr>
                <w:rFonts w:ascii="Arial" w:cs="Arial" w:eastAsia="Arial" w:hAnsi="Arial"/>
                <w:sz w:val="12"/>
                <w:szCs w:val="12"/>
                <w:b w:val="1"/>
                <w:bCs w:val="1"/>
                <w:color w:val="FFFFFF"/>
              </w:rPr>
              <w:t>Date of Grant of</w:t>
            </w:r>
          </w:p>
        </w:tc>
        <w:tc>
          <w:tcPr>
            <w:tcW w:w="130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Options (#)</w:t>
            </w:r>
          </w:p>
        </w:tc>
        <w:tc>
          <w:tcPr>
            <w:tcW w:w="1320" w:type="dxa"/>
            <w:vAlign w:val="bottom"/>
            <w:shd w:val="clear" w:color="auto" w:fill="666666"/>
          </w:tcPr>
          <w:p>
            <w:pPr>
              <w:jc w:val="center"/>
              <w:ind w:left="57"/>
              <w:spacing w:after="0" w:line="136" w:lineRule="exact"/>
              <w:rPr>
                <w:sz w:val="20"/>
                <w:szCs w:val="20"/>
                <w:color w:val="auto"/>
              </w:rPr>
            </w:pPr>
            <w:r>
              <w:rPr>
                <w:rFonts w:ascii="Arial" w:cs="Arial" w:eastAsia="Arial" w:hAnsi="Arial"/>
                <w:sz w:val="12"/>
                <w:szCs w:val="12"/>
                <w:b w:val="1"/>
                <w:bCs w:val="1"/>
                <w:color w:val="FFFFFF"/>
              </w:rPr>
              <w:t>Options (#)</w:t>
            </w:r>
          </w:p>
        </w:tc>
        <w:tc>
          <w:tcPr>
            <w:tcW w:w="720" w:type="dxa"/>
            <w:vAlign w:val="bottom"/>
            <w:shd w:val="clear" w:color="auto" w:fill="666666"/>
          </w:tcPr>
          <w:p>
            <w:pPr>
              <w:jc w:val="right"/>
              <w:ind w:right="17"/>
              <w:spacing w:after="0" w:line="136" w:lineRule="exact"/>
              <w:rPr>
                <w:sz w:val="20"/>
                <w:szCs w:val="20"/>
                <w:color w:val="auto"/>
              </w:rPr>
            </w:pPr>
            <w:r>
              <w:rPr>
                <w:rFonts w:ascii="Arial" w:cs="Arial" w:eastAsia="Arial" w:hAnsi="Arial"/>
                <w:sz w:val="12"/>
                <w:szCs w:val="12"/>
                <w:b w:val="1"/>
                <w:bCs w:val="1"/>
                <w:color w:val="FFFFFF"/>
              </w:rPr>
              <w:t>Exercise</w:t>
            </w:r>
          </w:p>
        </w:tc>
        <w:tc>
          <w:tcPr>
            <w:tcW w:w="92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rPr>
              <w:t>Expiration</w:t>
            </w:r>
          </w:p>
        </w:tc>
        <w:tc>
          <w:tcPr>
            <w:tcW w:w="760" w:type="dxa"/>
            <w:vAlign w:val="bottom"/>
            <w:shd w:val="clear" w:color="auto" w:fill="666666"/>
          </w:tcPr>
          <w:p>
            <w:pPr>
              <w:jc w:val="right"/>
              <w:ind w:right="78"/>
              <w:spacing w:after="0" w:line="136" w:lineRule="exact"/>
              <w:rPr>
                <w:sz w:val="20"/>
                <w:szCs w:val="20"/>
                <w:color w:val="auto"/>
              </w:rPr>
            </w:pPr>
            <w:r>
              <w:rPr>
                <w:rFonts w:ascii="Arial" w:cs="Arial" w:eastAsia="Arial" w:hAnsi="Arial"/>
                <w:sz w:val="12"/>
                <w:szCs w:val="12"/>
                <w:b w:val="1"/>
                <w:bCs w:val="1"/>
                <w:color w:val="FFFFFF"/>
              </w:rPr>
              <w:t>Vested</w:t>
            </w:r>
          </w:p>
        </w:tc>
        <w:tc>
          <w:tcPr>
            <w:tcW w:w="800" w:type="dxa"/>
            <w:vAlign w:val="bottom"/>
            <w:shd w:val="clear" w:color="auto" w:fill="666666"/>
          </w:tcPr>
          <w:p>
            <w:pPr>
              <w:jc w:val="center"/>
              <w:ind w:right="17"/>
              <w:spacing w:after="0" w:line="136" w:lineRule="exact"/>
              <w:rPr>
                <w:sz w:val="20"/>
                <w:szCs w:val="20"/>
                <w:color w:val="auto"/>
              </w:rPr>
            </w:pPr>
            <w:r>
              <w:rPr>
                <w:rFonts w:ascii="Arial" w:cs="Arial" w:eastAsia="Arial" w:hAnsi="Arial"/>
                <w:sz w:val="12"/>
                <w:szCs w:val="12"/>
                <w:b w:val="1"/>
                <w:bCs w:val="1"/>
                <w:color w:val="FFFFFF"/>
                <w:w w:val="99"/>
              </w:rPr>
              <w:t>Not</w:t>
            </w:r>
          </w:p>
        </w:tc>
        <w:tc>
          <w:tcPr>
            <w:tcW w:w="1220" w:type="dxa"/>
            <w:vAlign w:val="bottom"/>
            <w:shd w:val="clear" w:color="auto" w:fill="666666"/>
          </w:tcPr>
          <w:p>
            <w:pPr>
              <w:jc w:val="center"/>
              <w:ind w:right="58"/>
              <w:spacing w:after="0" w:line="136" w:lineRule="exact"/>
              <w:rPr>
                <w:sz w:val="20"/>
                <w:szCs w:val="20"/>
                <w:color w:val="auto"/>
              </w:rPr>
            </w:pPr>
            <w:r>
              <w:rPr>
                <w:rFonts w:ascii="Arial" w:cs="Arial" w:eastAsia="Arial" w:hAnsi="Arial"/>
                <w:sz w:val="12"/>
                <w:szCs w:val="12"/>
                <w:b w:val="1"/>
                <w:bCs w:val="1"/>
                <w:color w:val="FFFFFF"/>
              </w:rPr>
              <w:t>Not</w:t>
            </w:r>
          </w:p>
        </w:tc>
        <w:tc>
          <w:tcPr>
            <w:tcW w:w="1480" w:type="dxa"/>
            <w:vAlign w:val="bottom"/>
            <w:shd w:val="clear" w:color="auto" w:fill="666666"/>
          </w:tcPr>
          <w:p>
            <w:pPr>
              <w:jc w:val="center"/>
              <w:spacing w:after="0" w:line="136" w:lineRule="exact"/>
              <w:rPr>
                <w:sz w:val="20"/>
                <w:szCs w:val="20"/>
                <w:color w:val="auto"/>
              </w:rPr>
            </w:pPr>
            <w:r>
              <w:rPr>
                <w:rFonts w:ascii="Arial" w:cs="Arial" w:eastAsia="Arial" w:hAnsi="Arial"/>
                <w:sz w:val="12"/>
                <w:szCs w:val="12"/>
                <w:b w:val="1"/>
                <w:bCs w:val="1"/>
                <w:color w:val="FFFFFF"/>
                <w:w w:val="99"/>
              </w:rPr>
              <w:t>Not</w:t>
            </w:r>
          </w:p>
        </w:tc>
        <w:tc>
          <w:tcPr>
            <w:tcW w:w="0" w:type="dxa"/>
            <w:vAlign w:val="bottom"/>
          </w:tcPr>
          <w:p>
            <w:pPr>
              <w:spacing w:after="0"/>
              <w:rPr>
                <w:sz w:val="1"/>
                <w:szCs w:val="1"/>
                <w:color w:val="auto"/>
              </w:rPr>
            </w:pPr>
          </w:p>
        </w:tc>
      </w:tr>
      <w:tr>
        <w:trPr>
          <w:trHeight w:val="161"/>
        </w:trPr>
        <w:tc>
          <w:tcPr>
            <w:tcW w:w="740" w:type="dxa"/>
            <w:vAlign w:val="bottom"/>
            <w:shd w:val="clear" w:color="auto" w:fill="666666"/>
          </w:tcPr>
          <w:p>
            <w:pPr>
              <w:ind w:left="60"/>
              <w:spacing w:after="0"/>
              <w:rPr>
                <w:sz w:val="20"/>
                <w:szCs w:val="20"/>
                <w:color w:val="auto"/>
              </w:rPr>
            </w:pPr>
            <w:r>
              <w:rPr>
                <w:rFonts w:ascii="Arial" w:cs="Arial" w:eastAsia="Arial" w:hAnsi="Arial"/>
                <w:sz w:val="12"/>
                <w:szCs w:val="12"/>
                <w:b w:val="1"/>
                <w:bCs w:val="1"/>
                <w:color w:val="FFFFFF"/>
              </w:rPr>
              <w:t>Name</w:t>
            </w:r>
          </w:p>
        </w:tc>
        <w:tc>
          <w:tcPr>
            <w:tcW w:w="1140" w:type="dxa"/>
            <w:vAlign w:val="bottom"/>
            <w:shd w:val="clear" w:color="auto" w:fill="666666"/>
          </w:tcPr>
          <w:p>
            <w:pPr>
              <w:jc w:val="right"/>
              <w:ind w:right="95"/>
              <w:spacing w:after="0"/>
              <w:rPr>
                <w:sz w:val="20"/>
                <w:szCs w:val="20"/>
                <w:color w:val="auto"/>
              </w:rPr>
            </w:pPr>
            <w:r>
              <w:rPr>
                <w:rFonts w:ascii="Arial" w:cs="Arial" w:eastAsia="Arial" w:hAnsi="Arial"/>
                <w:sz w:val="12"/>
                <w:szCs w:val="12"/>
                <w:b w:val="1"/>
                <w:bCs w:val="1"/>
                <w:color w:val="FFFFFF"/>
              </w:rPr>
              <w:t>Equity Award</w:t>
            </w:r>
          </w:p>
        </w:tc>
        <w:tc>
          <w:tcPr>
            <w:tcW w:w="1300" w:type="dxa"/>
            <w:vAlign w:val="bottom"/>
            <w:shd w:val="clear" w:color="auto" w:fill="666666"/>
          </w:tcPr>
          <w:p>
            <w:pPr>
              <w:jc w:val="center"/>
              <w:spacing w:after="0" w:line="161" w:lineRule="exact"/>
              <w:rPr>
                <w:sz w:val="20"/>
                <w:szCs w:val="20"/>
                <w:color w:val="auto"/>
              </w:rPr>
            </w:pPr>
            <w:r>
              <w:rPr>
                <w:rFonts w:ascii="Arial" w:cs="Arial" w:eastAsia="Arial" w:hAnsi="Arial"/>
                <w:sz w:val="12"/>
                <w:szCs w:val="12"/>
                <w:b w:val="1"/>
                <w:bCs w:val="1"/>
                <w:color w:val="FFFFFF"/>
                <w:w w:val="98"/>
              </w:rPr>
              <w:t>Exercisable</w:t>
            </w:r>
            <w:r>
              <w:rPr>
                <w:rFonts w:ascii="Arial" w:cs="Arial" w:eastAsia="Arial" w:hAnsi="Arial"/>
                <w:sz w:val="18"/>
                <w:szCs w:val="18"/>
                <w:b w:val="1"/>
                <w:bCs w:val="1"/>
                <w:color w:val="FFFFFF"/>
                <w:w w:val="98"/>
                <w:vertAlign w:val="superscript"/>
              </w:rPr>
              <w:t>(1)</w:t>
            </w:r>
          </w:p>
        </w:tc>
        <w:tc>
          <w:tcPr>
            <w:tcW w:w="1320" w:type="dxa"/>
            <w:vAlign w:val="bottom"/>
            <w:shd w:val="clear" w:color="auto" w:fill="666666"/>
          </w:tcPr>
          <w:p>
            <w:pPr>
              <w:jc w:val="center"/>
              <w:ind w:left="57"/>
              <w:spacing w:after="0" w:line="161" w:lineRule="exact"/>
              <w:rPr>
                <w:sz w:val="20"/>
                <w:szCs w:val="20"/>
                <w:color w:val="auto"/>
              </w:rPr>
            </w:pPr>
            <w:r>
              <w:rPr>
                <w:rFonts w:ascii="Arial" w:cs="Arial" w:eastAsia="Arial" w:hAnsi="Arial"/>
                <w:sz w:val="12"/>
                <w:szCs w:val="12"/>
                <w:b w:val="1"/>
                <w:bCs w:val="1"/>
                <w:color w:val="FFFFFF"/>
                <w:w w:val="99"/>
              </w:rPr>
              <w:t>Unexercisable</w:t>
            </w:r>
            <w:r>
              <w:rPr>
                <w:rFonts w:ascii="Arial" w:cs="Arial" w:eastAsia="Arial" w:hAnsi="Arial"/>
                <w:sz w:val="18"/>
                <w:szCs w:val="18"/>
                <w:b w:val="1"/>
                <w:bCs w:val="1"/>
                <w:color w:val="FFFFFF"/>
                <w:w w:val="99"/>
                <w:vertAlign w:val="superscript"/>
              </w:rPr>
              <w:t>(1)</w:t>
            </w:r>
          </w:p>
        </w:tc>
        <w:tc>
          <w:tcPr>
            <w:tcW w:w="720" w:type="dxa"/>
            <w:vAlign w:val="bottom"/>
            <w:shd w:val="clear" w:color="auto" w:fill="666666"/>
          </w:tcPr>
          <w:p>
            <w:pPr>
              <w:jc w:val="right"/>
              <w:ind w:right="37"/>
              <w:spacing w:after="0"/>
              <w:rPr>
                <w:sz w:val="20"/>
                <w:szCs w:val="20"/>
                <w:color w:val="auto"/>
              </w:rPr>
            </w:pPr>
            <w:r>
              <w:rPr>
                <w:rFonts w:ascii="Arial" w:cs="Arial" w:eastAsia="Arial" w:hAnsi="Arial"/>
                <w:sz w:val="12"/>
                <w:szCs w:val="12"/>
                <w:b w:val="1"/>
                <w:bCs w:val="1"/>
                <w:color w:val="FFFFFF"/>
              </w:rPr>
              <w:t>Price ($)</w:t>
            </w:r>
          </w:p>
        </w:tc>
        <w:tc>
          <w:tcPr>
            <w:tcW w:w="920" w:type="dxa"/>
            <w:vAlign w:val="bottom"/>
            <w:shd w:val="clear" w:color="auto" w:fill="666666"/>
          </w:tcPr>
          <w:p>
            <w:pPr>
              <w:ind w:left="360"/>
              <w:spacing w:after="0"/>
              <w:rPr>
                <w:sz w:val="20"/>
                <w:szCs w:val="20"/>
                <w:color w:val="auto"/>
              </w:rPr>
            </w:pPr>
            <w:r>
              <w:rPr>
                <w:rFonts w:ascii="Arial" w:cs="Arial" w:eastAsia="Arial" w:hAnsi="Arial"/>
                <w:sz w:val="12"/>
                <w:szCs w:val="12"/>
                <w:b w:val="1"/>
                <w:bCs w:val="1"/>
                <w:color w:val="FFFFFF"/>
              </w:rPr>
              <w:t>Date</w:t>
            </w:r>
          </w:p>
        </w:tc>
        <w:tc>
          <w:tcPr>
            <w:tcW w:w="760" w:type="dxa"/>
            <w:vAlign w:val="bottom"/>
            <w:shd w:val="clear" w:color="auto" w:fill="666666"/>
          </w:tcPr>
          <w:p>
            <w:pPr>
              <w:jc w:val="right"/>
              <w:ind w:right="138"/>
              <w:spacing w:after="0" w:line="161"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(2)</w:t>
            </w:r>
          </w:p>
        </w:tc>
        <w:tc>
          <w:tcPr>
            <w:tcW w:w="800" w:type="dxa"/>
            <w:vAlign w:val="bottom"/>
            <w:shd w:val="clear" w:color="auto" w:fill="666666"/>
          </w:tcPr>
          <w:p>
            <w:pPr>
              <w:jc w:val="center"/>
              <w:spacing w:after="0"/>
              <w:rPr>
                <w:sz w:val="20"/>
                <w:szCs w:val="20"/>
                <w:color w:val="auto"/>
              </w:rPr>
            </w:pPr>
            <w:r>
              <w:rPr>
                <w:rFonts w:ascii="Arial" w:cs="Arial" w:eastAsia="Arial" w:hAnsi="Arial"/>
                <w:sz w:val="12"/>
                <w:szCs w:val="12"/>
                <w:b w:val="1"/>
                <w:bCs w:val="1"/>
                <w:color w:val="FFFFFF"/>
              </w:rPr>
              <w:t>Vested ($)</w:t>
            </w:r>
          </w:p>
        </w:tc>
        <w:tc>
          <w:tcPr>
            <w:tcW w:w="1220" w:type="dxa"/>
            <w:vAlign w:val="bottom"/>
            <w:shd w:val="clear" w:color="auto" w:fill="666666"/>
          </w:tcPr>
          <w:p>
            <w:pPr>
              <w:jc w:val="center"/>
              <w:ind w:right="58"/>
              <w:spacing w:after="0" w:line="161" w:lineRule="exact"/>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18"/>
                <w:szCs w:val="18"/>
                <w:b w:val="1"/>
                <w:bCs w:val="1"/>
                <w:color w:val="FFFFFF"/>
                <w:w w:val="97"/>
                <w:vertAlign w:val="superscript"/>
              </w:rPr>
              <w:t>(2)</w:t>
            </w:r>
          </w:p>
        </w:tc>
        <w:tc>
          <w:tcPr>
            <w:tcW w:w="1480" w:type="dxa"/>
            <w:vAlign w:val="bottom"/>
            <w:shd w:val="clear" w:color="auto" w:fill="666666"/>
          </w:tcPr>
          <w:p>
            <w:pPr>
              <w:jc w:val="center"/>
              <w:spacing w:after="0"/>
              <w:rPr>
                <w:sz w:val="20"/>
                <w:szCs w:val="20"/>
                <w:color w:val="auto"/>
              </w:rPr>
            </w:pPr>
            <w:r>
              <w:rPr>
                <w:rFonts w:ascii="Arial" w:cs="Arial" w:eastAsia="Arial" w:hAnsi="Arial"/>
                <w:sz w:val="12"/>
                <w:szCs w:val="12"/>
                <w:b w:val="1"/>
                <w:bCs w:val="1"/>
                <w:color w:val="FFFFFF"/>
              </w:rPr>
              <w:t>Vested ($)</w:t>
            </w:r>
          </w:p>
        </w:tc>
        <w:tc>
          <w:tcPr>
            <w:tcW w:w="0" w:type="dxa"/>
            <w:vAlign w:val="bottom"/>
          </w:tcPr>
          <w:p>
            <w:pPr>
              <w:spacing w:after="0"/>
              <w:rPr>
                <w:sz w:val="1"/>
                <w:szCs w:val="1"/>
                <w:color w:val="auto"/>
              </w:rPr>
            </w:pPr>
          </w:p>
        </w:tc>
      </w:tr>
      <w:tr>
        <w:trPr>
          <w:trHeight w:val="141"/>
        </w:trPr>
        <w:tc>
          <w:tcPr>
            <w:tcW w:w="740" w:type="dxa"/>
            <w:vAlign w:val="bottom"/>
            <w:shd w:val="clear" w:color="auto" w:fill="E5E5E5"/>
          </w:tcPr>
          <w:p>
            <w:pPr>
              <w:ind w:left="80"/>
              <w:spacing w:after="0" w:line="141" w:lineRule="exact"/>
              <w:rPr>
                <w:sz w:val="20"/>
                <w:szCs w:val="20"/>
                <w:color w:val="auto"/>
              </w:rPr>
            </w:pPr>
            <w:r>
              <w:rPr>
                <w:rFonts w:ascii="Arial" w:cs="Arial" w:eastAsia="Arial" w:hAnsi="Arial"/>
                <w:sz w:val="13"/>
                <w:szCs w:val="13"/>
                <w:b w:val="1"/>
                <w:bCs w:val="1"/>
                <w:color w:val="auto"/>
              </w:rPr>
              <w:t>Scott</w:t>
            </w: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09/15/2020</w:t>
            </w:r>
          </w:p>
        </w:tc>
        <w:tc>
          <w:tcPr>
            <w:tcW w:w="1300" w:type="dxa"/>
            <w:vAlign w:val="bottom"/>
            <w:vMerge w:val="restart"/>
            <w:shd w:val="clear" w:color="auto" w:fill="E5E5E5"/>
          </w:tcPr>
          <w:p>
            <w:pPr>
              <w:jc w:val="right"/>
              <w:ind w:right="177"/>
              <w:spacing w:after="0"/>
              <w:rPr>
                <w:sz w:val="20"/>
                <w:szCs w:val="20"/>
                <w:color w:val="auto"/>
              </w:rPr>
            </w:pPr>
            <w:r>
              <w:rPr>
                <w:rFonts w:ascii="Arial" w:cs="Arial" w:eastAsia="Arial" w:hAnsi="Arial"/>
                <w:sz w:val="13"/>
                <w:szCs w:val="13"/>
                <w:color w:val="auto"/>
              </w:rPr>
              <w:t>101,317</w:t>
            </w:r>
            <w:r>
              <w:rPr>
                <w:rFonts w:ascii="Arial" w:cs="Arial" w:eastAsia="Arial" w:hAnsi="Arial"/>
                <w:sz w:val="19"/>
                <w:szCs w:val="19"/>
                <w:color w:val="auto"/>
                <w:vertAlign w:val="superscript"/>
              </w:rPr>
              <w:t>(3)</w:t>
            </w:r>
          </w:p>
        </w:tc>
        <w:tc>
          <w:tcPr>
            <w:tcW w:w="1320" w:type="dxa"/>
            <w:vAlign w:val="bottom"/>
            <w:vMerge w:val="restart"/>
            <w:shd w:val="clear" w:color="auto" w:fill="E5E5E5"/>
          </w:tcPr>
          <w:p>
            <w:pPr>
              <w:jc w:val="right"/>
              <w:ind w:right="177"/>
              <w:spacing w:after="0"/>
              <w:rPr>
                <w:sz w:val="20"/>
                <w:szCs w:val="20"/>
                <w:color w:val="auto"/>
              </w:rPr>
            </w:pPr>
            <w:r>
              <w:rPr>
                <w:rFonts w:ascii="Arial" w:cs="Arial" w:eastAsia="Arial" w:hAnsi="Arial"/>
                <w:sz w:val="13"/>
                <w:szCs w:val="13"/>
                <w:color w:val="auto"/>
              </w:rPr>
              <w:t>50,659</w:t>
            </w:r>
            <w:r>
              <w:rPr>
                <w:rFonts w:ascii="Arial" w:cs="Arial" w:eastAsia="Arial" w:hAnsi="Arial"/>
                <w:sz w:val="19"/>
                <w:szCs w:val="19"/>
                <w:color w:val="auto"/>
                <w:vertAlign w:val="superscript"/>
              </w:rPr>
              <w:t>(3)</w:t>
            </w:r>
          </w:p>
        </w:tc>
        <w:tc>
          <w:tcPr>
            <w:tcW w:w="720" w:type="dxa"/>
            <w:vAlign w:val="bottom"/>
            <w:vMerge w:val="restart"/>
            <w:shd w:val="clear" w:color="auto" w:fill="E5E5E5"/>
          </w:tcPr>
          <w:p>
            <w:pPr>
              <w:jc w:val="right"/>
              <w:ind w:right="57"/>
              <w:spacing w:after="0"/>
              <w:rPr>
                <w:sz w:val="20"/>
                <w:szCs w:val="20"/>
                <w:color w:val="auto"/>
              </w:rPr>
            </w:pPr>
            <w:r>
              <w:rPr>
                <w:rFonts w:ascii="Arial" w:cs="Arial" w:eastAsia="Arial" w:hAnsi="Arial"/>
                <w:sz w:val="13"/>
                <w:szCs w:val="13"/>
                <w:color w:val="auto"/>
              </w:rPr>
              <w:t>$6.71</w:t>
            </w:r>
          </w:p>
        </w:tc>
        <w:tc>
          <w:tcPr>
            <w:tcW w:w="920" w:type="dxa"/>
            <w:vAlign w:val="bottom"/>
            <w:vMerge w:val="restart"/>
            <w:shd w:val="clear" w:color="auto" w:fill="E5E5E5"/>
          </w:tcPr>
          <w:p>
            <w:pPr>
              <w:ind w:left="60"/>
              <w:spacing w:after="0"/>
              <w:rPr>
                <w:sz w:val="20"/>
                <w:szCs w:val="20"/>
                <w:color w:val="auto"/>
              </w:rPr>
            </w:pPr>
            <w:r>
              <w:rPr>
                <w:rFonts w:ascii="Arial" w:cs="Arial" w:eastAsia="Arial" w:hAnsi="Arial"/>
                <w:sz w:val="13"/>
                <w:szCs w:val="13"/>
                <w:color w:val="auto"/>
              </w:rPr>
              <w:t>09/15/2030</w:t>
            </w:r>
          </w:p>
        </w:tc>
        <w:tc>
          <w:tcPr>
            <w:tcW w:w="76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1220" w:type="dxa"/>
            <w:vAlign w:val="bottom"/>
            <w:shd w:val="clear" w:color="auto" w:fill="E5E5E5"/>
          </w:tcPr>
          <w:p>
            <w:pPr>
              <w:spacing w:after="0"/>
              <w:rPr>
                <w:sz w:val="12"/>
                <w:szCs w:val="12"/>
                <w:color w:val="auto"/>
              </w:rPr>
            </w:pPr>
          </w:p>
        </w:tc>
        <w:tc>
          <w:tcPr>
            <w:tcW w:w="14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E5E5E5"/>
          </w:tcPr>
          <w:p>
            <w:pPr>
              <w:ind w:left="140"/>
              <w:spacing w:after="0"/>
              <w:rPr>
                <w:sz w:val="20"/>
                <w:szCs w:val="20"/>
                <w:color w:val="auto"/>
              </w:rPr>
            </w:pPr>
            <w:r>
              <w:rPr>
                <w:rFonts w:ascii="Arial" w:cs="Arial" w:eastAsia="Arial" w:hAnsi="Arial"/>
                <w:sz w:val="13"/>
                <w:szCs w:val="13"/>
                <w:b w:val="1"/>
                <w:bCs w:val="1"/>
                <w:color w:val="auto"/>
              </w:rPr>
              <w:t>Wilson</w:t>
            </w:r>
          </w:p>
        </w:tc>
        <w:tc>
          <w:tcPr>
            <w:tcW w:w="1140" w:type="dxa"/>
            <w:vAlign w:val="bottom"/>
            <w:vMerge w:val="continue"/>
            <w:shd w:val="clear" w:color="auto" w:fill="E5E5E5"/>
          </w:tcPr>
          <w:p>
            <w:pPr>
              <w:spacing w:after="0"/>
              <w:rPr>
                <w:sz w:val="13"/>
                <w:szCs w:val="13"/>
                <w:color w:val="auto"/>
              </w:rPr>
            </w:pPr>
          </w:p>
        </w:tc>
        <w:tc>
          <w:tcPr>
            <w:tcW w:w="1300" w:type="dxa"/>
            <w:vAlign w:val="bottom"/>
            <w:vMerge w:val="continue"/>
            <w:shd w:val="clear" w:color="auto" w:fill="E5E5E5"/>
          </w:tcPr>
          <w:p>
            <w:pPr>
              <w:spacing w:after="0"/>
              <w:rPr>
                <w:sz w:val="13"/>
                <w:szCs w:val="13"/>
                <w:color w:val="auto"/>
              </w:rPr>
            </w:pPr>
          </w:p>
        </w:tc>
        <w:tc>
          <w:tcPr>
            <w:tcW w:w="1320" w:type="dxa"/>
            <w:vAlign w:val="bottom"/>
            <w:vMerge w:val="continue"/>
            <w:shd w:val="clear" w:color="auto" w:fill="E5E5E5"/>
          </w:tcPr>
          <w:p>
            <w:pPr>
              <w:spacing w:after="0"/>
              <w:rPr>
                <w:sz w:val="13"/>
                <w:szCs w:val="13"/>
                <w:color w:val="auto"/>
              </w:rPr>
            </w:pPr>
          </w:p>
        </w:tc>
        <w:tc>
          <w:tcPr>
            <w:tcW w:w="720" w:type="dxa"/>
            <w:vAlign w:val="bottom"/>
            <w:vMerge w:val="continue"/>
            <w:shd w:val="clear" w:color="auto" w:fill="E5E5E5"/>
          </w:tcPr>
          <w:p>
            <w:pPr>
              <w:spacing w:after="0"/>
              <w:rPr>
                <w:sz w:val="13"/>
                <w:szCs w:val="13"/>
                <w:color w:val="auto"/>
              </w:rPr>
            </w:pPr>
          </w:p>
        </w:tc>
        <w:tc>
          <w:tcPr>
            <w:tcW w:w="920" w:type="dxa"/>
            <w:vAlign w:val="bottom"/>
            <w:vMerge w:val="continue"/>
            <w:shd w:val="clear" w:color="auto" w:fill="E5E5E5"/>
          </w:tcPr>
          <w:p>
            <w:pPr>
              <w:spacing w:after="0"/>
              <w:rPr>
                <w:sz w:val="13"/>
                <w:szCs w:val="13"/>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94,985</w:t>
            </w:r>
            <w:r>
              <w:rPr>
                <w:rFonts w:ascii="Arial" w:cs="Arial" w:eastAsia="Arial" w:hAnsi="Arial"/>
                <w:sz w:val="19"/>
                <w:szCs w:val="19"/>
                <w:color w:val="auto"/>
                <w:vertAlign w:val="superscript"/>
              </w:rPr>
              <w:t>(4)</w:t>
            </w:r>
          </w:p>
        </w:tc>
        <w:tc>
          <w:tcPr>
            <w:tcW w:w="800" w:type="dxa"/>
            <w:vAlign w:val="bottom"/>
            <w:shd w:val="clear" w:color="auto" w:fill="E5E5E5"/>
          </w:tcPr>
          <w:p>
            <w:pPr>
              <w:spacing w:after="0"/>
              <w:rPr>
                <w:sz w:val="13"/>
                <w:szCs w:val="13"/>
                <w:color w:val="auto"/>
              </w:rPr>
            </w:pPr>
          </w:p>
        </w:tc>
        <w:tc>
          <w:tcPr>
            <w:tcW w:w="1220" w:type="dxa"/>
            <w:vAlign w:val="bottom"/>
            <w:shd w:val="clear" w:color="auto" w:fill="E5E5E5"/>
          </w:tcPr>
          <w:p>
            <w:pPr>
              <w:spacing w:after="0"/>
              <w:rPr>
                <w:sz w:val="13"/>
                <w:szCs w:val="13"/>
                <w:color w:val="auto"/>
              </w:rPr>
            </w:pPr>
          </w:p>
        </w:tc>
        <w:tc>
          <w:tcPr>
            <w:tcW w:w="14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40" w:type="dxa"/>
            <w:vAlign w:val="bottom"/>
            <w:shd w:val="clear" w:color="auto" w:fill="E5E5E5"/>
          </w:tcPr>
          <w:p>
            <w:pPr>
              <w:spacing w:after="0"/>
              <w:rPr>
                <w:sz w:val="15"/>
                <w:szCs w:val="15"/>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09/15/2020</w:t>
            </w:r>
          </w:p>
        </w:tc>
        <w:tc>
          <w:tcPr>
            <w:tcW w:w="130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760" w:type="dxa"/>
            <w:vAlign w:val="bottom"/>
            <w:vMerge w:val="continue"/>
            <w:shd w:val="clear" w:color="auto" w:fill="E5E5E5"/>
          </w:tcPr>
          <w:p>
            <w:pPr>
              <w:spacing w:after="0"/>
              <w:rPr>
                <w:sz w:val="15"/>
                <w:szCs w:val="15"/>
                <w:color w:val="auto"/>
              </w:rPr>
            </w:pPr>
          </w:p>
        </w:tc>
        <w:tc>
          <w:tcPr>
            <w:tcW w:w="800" w:type="dxa"/>
            <w:vAlign w:val="bottom"/>
            <w:shd w:val="clear" w:color="auto" w:fill="E5E5E5"/>
          </w:tcPr>
          <w:p>
            <w:pPr>
              <w:jc w:val="center"/>
              <w:ind w:right="17"/>
              <w:spacing w:after="0"/>
              <w:rPr>
                <w:sz w:val="20"/>
                <w:szCs w:val="20"/>
                <w:color w:val="auto"/>
              </w:rPr>
            </w:pPr>
            <w:r>
              <w:rPr>
                <w:rFonts w:ascii="Arial" w:cs="Arial" w:eastAsia="Arial" w:hAnsi="Arial"/>
                <w:sz w:val="13"/>
                <w:szCs w:val="13"/>
                <w:color w:val="auto"/>
              </w:rPr>
              <w:t>$587,007</w:t>
            </w:r>
          </w:p>
        </w:tc>
        <w:tc>
          <w:tcPr>
            <w:tcW w:w="122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shd w:val="clear" w:color="auto" w:fill="E5E5E5"/>
          </w:tcPr>
          <w:p>
            <w:pPr>
              <w:spacing w:after="0"/>
              <w:rPr>
                <w:sz w:val="15"/>
                <w:szCs w:val="15"/>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03/15/2021</w:t>
            </w:r>
          </w:p>
        </w:tc>
        <w:tc>
          <w:tcPr>
            <w:tcW w:w="130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37,314</w:t>
            </w:r>
            <w:r>
              <w:rPr>
                <w:rFonts w:ascii="Arial" w:cs="Arial" w:eastAsia="Arial" w:hAnsi="Arial"/>
                <w:sz w:val="19"/>
                <w:szCs w:val="19"/>
                <w:color w:val="auto"/>
                <w:vertAlign w:val="superscript"/>
              </w:rPr>
              <w:t>(4)</w:t>
            </w:r>
          </w:p>
        </w:tc>
        <w:tc>
          <w:tcPr>
            <w:tcW w:w="800" w:type="dxa"/>
            <w:vAlign w:val="bottom"/>
            <w:shd w:val="clear" w:color="auto" w:fill="E5E5E5"/>
          </w:tcPr>
          <w:p>
            <w:pPr>
              <w:jc w:val="center"/>
              <w:ind w:right="17"/>
              <w:spacing w:after="0"/>
              <w:rPr>
                <w:sz w:val="20"/>
                <w:szCs w:val="20"/>
                <w:color w:val="auto"/>
              </w:rPr>
            </w:pPr>
            <w:r>
              <w:rPr>
                <w:rFonts w:ascii="Arial" w:cs="Arial" w:eastAsia="Arial" w:hAnsi="Arial"/>
                <w:sz w:val="13"/>
                <w:szCs w:val="13"/>
                <w:color w:val="auto"/>
              </w:rPr>
              <w:t>$230,601</w:t>
            </w:r>
          </w:p>
        </w:tc>
        <w:tc>
          <w:tcPr>
            <w:tcW w:w="122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shd w:val="clear" w:color="auto" w:fill="E5E5E5"/>
          </w:tcPr>
          <w:p>
            <w:pPr>
              <w:spacing w:after="0"/>
              <w:rPr>
                <w:sz w:val="15"/>
                <w:szCs w:val="15"/>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03/15/2021</w:t>
            </w:r>
          </w:p>
        </w:tc>
        <w:tc>
          <w:tcPr>
            <w:tcW w:w="130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55,970</w:t>
            </w:r>
            <w:r>
              <w:rPr>
                <w:rFonts w:ascii="Arial" w:cs="Arial" w:eastAsia="Arial" w:hAnsi="Arial"/>
                <w:sz w:val="19"/>
                <w:szCs w:val="19"/>
                <w:color w:val="auto"/>
                <w:vertAlign w:val="superscript"/>
              </w:rPr>
              <w:t>(4)</w:t>
            </w:r>
          </w:p>
        </w:tc>
        <w:tc>
          <w:tcPr>
            <w:tcW w:w="800" w:type="dxa"/>
            <w:vAlign w:val="bottom"/>
            <w:shd w:val="clear" w:color="auto" w:fill="E5E5E5"/>
          </w:tcPr>
          <w:p>
            <w:pPr>
              <w:jc w:val="center"/>
              <w:ind w:right="17"/>
              <w:spacing w:after="0"/>
              <w:rPr>
                <w:sz w:val="20"/>
                <w:szCs w:val="20"/>
                <w:color w:val="auto"/>
              </w:rPr>
            </w:pPr>
            <w:r>
              <w:rPr>
                <w:rFonts w:ascii="Arial" w:cs="Arial" w:eastAsia="Arial" w:hAnsi="Arial"/>
                <w:sz w:val="13"/>
                <w:szCs w:val="13"/>
                <w:color w:val="auto"/>
              </w:rPr>
              <w:t>$345,895</w:t>
            </w:r>
          </w:p>
        </w:tc>
        <w:tc>
          <w:tcPr>
            <w:tcW w:w="1220" w:type="dxa"/>
            <w:vAlign w:val="bottom"/>
            <w:vMerge w:val="restart"/>
            <w:shd w:val="clear" w:color="auto" w:fill="E5E5E5"/>
          </w:tcPr>
          <w:p>
            <w:pPr>
              <w:jc w:val="right"/>
              <w:ind w:right="258"/>
              <w:spacing w:after="0"/>
              <w:rPr>
                <w:sz w:val="20"/>
                <w:szCs w:val="20"/>
                <w:color w:val="auto"/>
              </w:rPr>
            </w:pPr>
            <w:r>
              <w:rPr>
                <w:rFonts w:ascii="Arial" w:cs="Arial" w:eastAsia="Arial" w:hAnsi="Arial"/>
                <w:sz w:val="13"/>
                <w:szCs w:val="13"/>
                <w:color w:val="auto"/>
              </w:rPr>
              <w:t>78,206</w:t>
            </w:r>
            <w:r>
              <w:rPr>
                <w:rFonts w:ascii="Arial" w:cs="Arial" w:eastAsia="Arial" w:hAnsi="Arial"/>
                <w:sz w:val="19"/>
                <w:szCs w:val="19"/>
                <w:color w:val="auto"/>
                <w:vertAlign w:val="superscript"/>
              </w:rPr>
              <w:t>(5)</w:t>
            </w:r>
          </w:p>
        </w:tc>
        <w:tc>
          <w:tcPr>
            <w:tcW w:w="14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shd w:val="clear" w:color="auto" w:fill="E5E5E5"/>
          </w:tcPr>
          <w:p>
            <w:pPr>
              <w:spacing w:after="0"/>
              <w:rPr>
                <w:sz w:val="15"/>
                <w:szCs w:val="15"/>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03/15/2022</w:t>
            </w:r>
          </w:p>
        </w:tc>
        <w:tc>
          <w:tcPr>
            <w:tcW w:w="130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25,330</w:t>
            </w:r>
            <w:r>
              <w:rPr>
                <w:rFonts w:ascii="Arial" w:cs="Arial" w:eastAsia="Arial" w:hAnsi="Arial"/>
                <w:sz w:val="19"/>
                <w:szCs w:val="19"/>
                <w:color w:val="auto"/>
                <w:vertAlign w:val="superscript"/>
              </w:rPr>
              <w:t>(6)</w:t>
            </w:r>
          </w:p>
        </w:tc>
        <w:tc>
          <w:tcPr>
            <w:tcW w:w="800" w:type="dxa"/>
            <w:vAlign w:val="bottom"/>
            <w:shd w:val="clear" w:color="auto" w:fill="E5E5E5"/>
          </w:tcPr>
          <w:p>
            <w:pPr>
              <w:spacing w:after="0"/>
              <w:rPr>
                <w:sz w:val="15"/>
                <w:szCs w:val="15"/>
                <w:color w:val="auto"/>
              </w:rPr>
            </w:pPr>
          </w:p>
        </w:tc>
        <w:tc>
          <w:tcPr>
            <w:tcW w:w="1220" w:type="dxa"/>
            <w:vAlign w:val="bottom"/>
            <w:vMerge w:val="continue"/>
            <w:shd w:val="clear" w:color="auto" w:fill="E5E5E5"/>
          </w:tcPr>
          <w:p>
            <w:pPr>
              <w:spacing w:after="0"/>
              <w:rPr>
                <w:sz w:val="15"/>
                <w:szCs w:val="15"/>
                <w:color w:val="auto"/>
              </w:rPr>
            </w:pPr>
          </w:p>
        </w:tc>
        <w:tc>
          <w:tcPr>
            <w:tcW w:w="14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$483,313</w:t>
            </w:r>
          </w:p>
        </w:tc>
        <w:tc>
          <w:tcPr>
            <w:tcW w:w="0" w:type="dxa"/>
            <w:vAlign w:val="bottom"/>
          </w:tcPr>
          <w:p>
            <w:pPr>
              <w:spacing w:after="0"/>
              <w:rPr>
                <w:sz w:val="1"/>
                <w:szCs w:val="1"/>
                <w:color w:val="auto"/>
              </w:rPr>
            </w:pPr>
          </w:p>
        </w:tc>
      </w:tr>
      <w:tr>
        <w:trPr>
          <w:trHeight w:val="173"/>
        </w:trPr>
        <w:tc>
          <w:tcPr>
            <w:tcW w:w="740" w:type="dxa"/>
            <w:vAlign w:val="bottom"/>
            <w:shd w:val="clear" w:color="auto" w:fill="E5E5E5"/>
          </w:tcPr>
          <w:p>
            <w:pPr>
              <w:spacing w:after="0"/>
              <w:rPr>
                <w:sz w:val="15"/>
                <w:szCs w:val="15"/>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09/15/2020</w:t>
            </w:r>
          </w:p>
        </w:tc>
        <w:tc>
          <w:tcPr>
            <w:tcW w:w="130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760" w:type="dxa"/>
            <w:vAlign w:val="bottom"/>
            <w:vMerge w:val="continue"/>
            <w:shd w:val="clear" w:color="auto" w:fill="E5E5E5"/>
          </w:tcPr>
          <w:p>
            <w:pPr>
              <w:spacing w:after="0"/>
              <w:rPr>
                <w:sz w:val="15"/>
                <w:szCs w:val="15"/>
                <w:color w:val="auto"/>
              </w:rPr>
            </w:pPr>
          </w:p>
        </w:tc>
        <w:tc>
          <w:tcPr>
            <w:tcW w:w="800" w:type="dxa"/>
            <w:vAlign w:val="bottom"/>
            <w:shd w:val="clear" w:color="auto" w:fill="E5E5E5"/>
          </w:tcPr>
          <w:p>
            <w:pPr>
              <w:jc w:val="center"/>
              <w:ind w:right="17"/>
              <w:spacing w:after="0"/>
              <w:rPr>
                <w:sz w:val="20"/>
                <w:szCs w:val="20"/>
                <w:color w:val="auto"/>
              </w:rPr>
            </w:pPr>
            <w:r>
              <w:rPr>
                <w:rFonts w:ascii="Arial" w:cs="Arial" w:eastAsia="Arial" w:hAnsi="Arial"/>
                <w:sz w:val="13"/>
                <w:szCs w:val="13"/>
                <w:color w:val="auto"/>
              </w:rPr>
              <w:t>$156,539</w:t>
            </w:r>
          </w:p>
        </w:tc>
        <w:tc>
          <w:tcPr>
            <w:tcW w:w="122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shd w:val="clear" w:color="auto" w:fill="E5E5E5"/>
          </w:tcPr>
          <w:p>
            <w:pPr>
              <w:spacing w:after="0"/>
              <w:rPr>
                <w:sz w:val="15"/>
                <w:szCs w:val="15"/>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03/15/2022</w:t>
            </w:r>
          </w:p>
        </w:tc>
        <w:tc>
          <w:tcPr>
            <w:tcW w:w="1300" w:type="dxa"/>
            <w:vAlign w:val="bottom"/>
            <w:shd w:val="clear" w:color="auto" w:fill="E5E5E5"/>
          </w:tcPr>
          <w:p>
            <w:pPr>
              <w:spacing w:after="0"/>
              <w:rPr>
                <w:sz w:val="15"/>
                <w:szCs w:val="15"/>
                <w:color w:val="auto"/>
              </w:rPr>
            </w:pPr>
          </w:p>
        </w:tc>
        <w:tc>
          <w:tcPr>
            <w:tcW w:w="1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760" w:type="dxa"/>
            <w:vAlign w:val="bottom"/>
            <w:shd w:val="clear" w:color="auto" w:fill="E5E5E5"/>
          </w:tcPr>
          <w:p>
            <w:pPr>
              <w:jc w:val="right"/>
              <w:spacing w:after="0" w:line="173" w:lineRule="exact"/>
              <w:rPr>
                <w:sz w:val="20"/>
                <w:szCs w:val="20"/>
                <w:color w:val="auto"/>
              </w:rPr>
            </w:pPr>
            <w:r>
              <w:rPr>
                <w:rFonts w:ascii="Arial" w:cs="Arial" w:eastAsia="Arial" w:hAnsi="Arial"/>
                <w:sz w:val="13"/>
                <w:szCs w:val="13"/>
                <w:color w:val="auto"/>
              </w:rPr>
              <w:t>78,206</w:t>
            </w:r>
            <w:r>
              <w:rPr>
                <w:rFonts w:ascii="Arial" w:cs="Arial" w:eastAsia="Arial" w:hAnsi="Arial"/>
                <w:sz w:val="19"/>
                <w:szCs w:val="19"/>
                <w:color w:val="auto"/>
                <w:vertAlign w:val="superscript"/>
              </w:rPr>
              <w:t>(6)</w:t>
            </w:r>
          </w:p>
        </w:tc>
        <w:tc>
          <w:tcPr>
            <w:tcW w:w="800" w:type="dxa"/>
            <w:vAlign w:val="bottom"/>
            <w:shd w:val="clear" w:color="auto" w:fill="E5E5E5"/>
          </w:tcPr>
          <w:p>
            <w:pPr>
              <w:jc w:val="center"/>
              <w:ind w:right="17"/>
              <w:spacing w:after="0"/>
              <w:rPr>
                <w:sz w:val="20"/>
                <w:szCs w:val="20"/>
                <w:color w:val="auto"/>
              </w:rPr>
            </w:pPr>
            <w:r>
              <w:rPr>
                <w:rFonts w:ascii="Arial" w:cs="Arial" w:eastAsia="Arial" w:hAnsi="Arial"/>
                <w:sz w:val="13"/>
                <w:szCs w:val="13"/>
                <w:color w:val="auto"/>
              </w:rPr>
              <w:t>$483,313</w:t>
            </w:r>
          </w:p>
        </w:tc>
        <w:tc>
          <w:tcPr>
            <w:tcW w:w="1220" w:type="dxa"/>
            <w:vAlign w:val="bottom"/>
            <w:shd w:val="clear" w:color="auto" w:fill="E5E5E5"/>
          </w:tcPr>
          <w:p>
            <w:pPr>
              <w:spacing w:after="0"/>
              <w:rPr>
                <w:sz w:val="15"/>
                <w:szCs w:val="15"/>
                <w:color w:val="auto"/>
              </w:rPr>
            </w:pPr>
          </w:p>
        </w:tc>
        <w:tc>
          <w:tcPr>
            <w:tcW w:w="14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40" w:type="dxa"/>
            <w:vAlign w:val="bottom"/>
          </w:tcPr>
          <w:p>
            <w:pPr>
              <w:ind w:left="80"/>
              <w:spacing w:after="0" w:line="141" w:lineRule="exact"/>
              <w:rPr>
                <w:sz w:val="20"/>
                <w:szCs w:val="20"/>
                <w:color w:val="auto"/>
              </w:rPr>
            </w:pPr>
            <w:r>
              <w:rPr>
                <w:rFonts w:ascii="Arial" w:cs="Arial" w:eastAsia="Arial" w:hAnsi="Arial"/>
                <w:sz w:val="13"/>
                <w:szCs w:val="13"/>
                <w:b w:val="1"/>
                <w:bCs w:val="1"/>
                <w:color w:val="auto"/>
              </w:rPr>
              <w:t>Douglas</w:t>
            </w:r>
          </w:p>
        </w:tc>
        <w:tc>
          <w:tcPr>
            <w:tcW w:w="1140" w:type="dxa"/>
            <w:vAlign w:val="bottom"/>
          </w:tcPr>
          <w:p>
            <w:pPr>
              <w:spacing w:after="0"/>
              <w:rPr>
                <w:sz w:val="12"/>
                <w:szCs w:val="12"/>
                <w:color w:val="auto"/>
              </w:rPr>
            </w:pPr>
          </w:p>
        </w:tc>
        <w:tc>
          <w:tcPr>
            <w:tcW w:w="1300" w:type="dxa"/>
            <w:vAlign w:val="bottom"/>
            <w:vMerge w:val="restart"/>
          </w:tcPr>
          <w:p>
            <w:pPr>
              <w:jc w:val="right"/>
              <w:ind w:right="177"/>
              <w:spacing w:after="0"/>
              <w:rPr>
                <w:sz w:val="20"/>
                <w:szCs w:val="20"/>
                <w:color w:val="auto"/>
              </w:rPr>
            </w:pPr>
            <w:r>
              <w:rPr>
                <w:rFonts w:ascii="Arial" w:cs="Arial" w:eastAsia="Arial" w:hAnsi="Arial"/>
                <w:sz w:val="13"/>
                <w:szCs w:val="13"/>
                <w:color w:val="auto"/>
              </w:rPr>
              <w:t>60,060</w:t>
            </w:r>
            <w:r>
              <w:rPr>
                <w:rFonts w:ascii="Arial" w:cs="Arial" w:eastAsia="Arial" w:hAnsi="Arial"/>
                <w:sz w:val="19"/>
                <w:szCs w:val="19"/>
                <w:color w:val="auto"/>
                <w:vertAlign w:val="superscript"/>
              </w:rPr>
              <w:t>(3)</w:t>
            </w: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03/13/2030</w:t>
            </w:r>
            <w:r>
              <w:rPr>
                <w:rFonts w:ascii="Arial" w:cs="Arial" w:eastAsia="Arial" w:hAnsi="Arial"/>
                <w:sz w:val="19"/>
                <w:szCs w:val="19"/>
                <w:color w:val="auto"/>
                <w:vertAlign w:val="superscript"/>
              </w:rPr>
              <w:t>(3)</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Barnett</w:t>
            </w:r>
          </w:p>
        </w:tc>
        <w:tc>
          <w:tcPr>
            <w:tcW w:w="1140" w:type="dxa"/>
            <w:vAlign w:val="bottom"/>
          </w:tcPr>
          <w:p>
            <w:pPr>
              <w:jc w:val="right"/>
              <w:spacing w:after="0"/>
              <w:rPr>
                <w:sz w:val="20"/>
                <w:szCs w:val="20"/>
                <w:color w:val="auto"/>
              </w:rPr>
            </w:pPr>
            <w:r>
              <w:rPr>
                <w:rFonts w:ascii="Arial" w:cs="Arial" w:eastAsia="Arial" w:hAnsi="Arial"/>
                <w:sz w:val="13"/>
                <w:szCs w:val="13"/>
                <w:color w:val="auto"/>
              </w:rPr>
              <w:t>03/13/2020</w:t>
            </w:r>
          </w:p>
        </w:tc>
        <w:tc>
          <w:tcPr>
            <w:tcW w:w="1300" w:type="dxa"/>
            <w:vAlign w:val="bottom"/>
            <w:vMerge w:val="continue"/>
          </w:tcPr>
          <w:p>
            <w:pPr>
              <w:spacing w:after="0"/>
              <w:rPr>
                <w:sz w:val="22"/>
                <w:szCs w:val="22"/>
                <w:color w:val="auto"/>
              </w:rPr>
            </w:pPr>
          </w:p>
        </w:tc>
        <w:tc>
          <w:tcPr>
            <w:tcW w:w="13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$8.33</w:t>
            </w:r>
          </w:p>
        </w:tc>
        <w:tc>
          <w:tcPr>
            <w:tcW w:w="92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-2051685</wp:posOffset>
            </wp:positionV>
            <wp:extent cx="6602095" cy="20802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602095" cy="2080260"/>
                    </a:xfrm>
                    <a:prstGeom prst="rect">
                      <a:avLst/>
                    </a:prstGeom>
                    <a:noFill/>
                  </pic:spPr>
                </pic:pic>
              </a:graphicData>
            </a:graphic>
          </wp:anchor>
        </w:drawing>
      </w:r>
    </w:p>
    <w:p>
      <w:pPr>
        <w:spacing w:after="0" w:line="123" w:lineRule="exact"/>
        <w:rPr>
          <w:sz w:val="20"/>
          <w:szCs w:val="20"/>
          <w:color w:val="auto"/>
        </w:rPr>
      </w:pPr>
    </w:p>
    <w:p>
      <w:pPr>
        <w:ind w:left="980" w:hanging="400"/>
        <w:spacing w:after="0"/>
        <w:tabs>
          <w:tab w:leader="none" w:pos="9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option to purchase shares of our common stock granted from April 2019 through April 2021 was pursuant to the 2019 Omnibus Plan.</w:t>
      </w:r>
    </w:p>
    <w:p>
      <w:pPr>
        <w:spacing w:after="0" w:line="74" w:lineRule="exact"/>
        <w:rPr>
          <w:rFonts w:ascii="Arial" w:cs="Arial" w:eastAsia="Arial" w:hAnsi="Arial"/>
          <w:sz w:val="15"/>
          <w:szCs w:val="15"/>
          <w:color w:val="auto"/>
        </w:rPr>
      </w:pPr>
    </w:p>
    <w:p>
      <w:pPr>
        <w:ind w:left="980" w:right="460" w:hanging="400"/>
        <w:spacing w:after="0" w:line="257" w:lineRule="auto"/>
        <w:tabs>
          <w:tab w:leader="none" w:pos="9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RSU award covering shares of our common stock (i) granted from May 2016 through April 2019 was pursuant to the 2016 Omnibus Plan, (ii) granted from May 2019 through April 2021 was pursuant to the 2019 Omnibus Plan, and (iii) granted after April 2021 was pursuant to the 2021 Omnibus Plan.</w:t>
      </w:r>
    </w:p>
    <w:p>
      <w:pPr>
        <w:spacing w:after="0" w:line="39" w:lineRule="exact"/>
        <w:rPr>
          <w:rFonts w:ascii="Arial" w:cs="Arial" w:eastAsia="Arial" w:hAnsi="Arial"/>
          <w:sz w:val="15"/>
          <w:szCs w:val="15"/>
          <w:color w:val="auto"/>
        </w:rPr>
      </w:pPr>
    </w:p>
    <w:p>
      <w:pPr>
        <w:ind w:left="980" w:right="360" w:hanging="400"/>
        <w:spacing w:after="0" w:line="257" w:lineRule="auto"/>
        <w:tabs>
          <w:tab w:leader="none" w:pos="9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These options to purchase shares of our common stock vest on each of the first three anniversaries of the date of grant, subject to the named executive officer’s continued employment through each vesting date. Mr. Barnett’s vested options expired 90 days after his last date of employment of October 31, 2022.</w:t>
      </w:r>
    </w:p>
    <w:p>
      <w:pPr>
        <w:spacing w:after="0" w:line="39" w:lineRule="exact"/>
        <w:rPr>
          <w:rFonts w:ascii="Arial" w:cs="Arial" w:eastAsia="Arial" w:hAnsi="Arial"/>
          <w:sz w:val="15"/>
          <w:szCs w:val="15"/>
          <w:color w:val="auto"/>
        </w:rPr>
      </w:pPr>
    </w:p>
    <w:p>
      <w:pPr>
        <w:ind w:left="980" w:right="320" w:hanging="400"/>
        <w:spacing w:after="0" w:line="242" w:lineRule="auto"/>
        <w:tabs>
          <w:tab w:leader="none" w:pos="9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PSU awards granted on March 15, 2019 under the 2016 Omnibus Plan vest annually as to 25% of the shares of our common stock subject to each such award on each March 15 following the date of grant, subject to each named executive officer’s continued employment through each such vesting date. The PSU awards granted on March 13, 2020 under the 2019 Omnibus Plan to our named executive officers consist of two tranches: the FCF PRSUs and the EBITDA PRSUs. Approximately 16.67% of the FCF PRSUs granted to each named executive officer in March 2020 have a one-year performance measurement period, approximately 33.33% have a two-year performance measurement period, and approximately 50% have a three-year performance measurement period. The EBITDA PRSUs vest 33% per year March 13 in each of the calendar years following the year of grant. The PSU awards granted under the 2016 Omnibus Plan effective September 15, 2020 to Mr. Wilson vest on March 15, 2023 based on our achieving the three-year Adjusted Free Cash Flow goal for 2020 through 2022, subject to Mr. Wilson’s continued employment through each vesting date, with the total number of units eligible to be earned for each tranche ranging from 0% to 150% of the number of units in that tranche. Given the impact of the COVID-19 pandemic on our financial results in 2020, in July 2020 the Compensation Committee amended outstanding PSUs with 2020 performance periods, replacing the financial performance metrics with metrics and weightings representing key areas of focus for management in 2020. The PSU awards granted on March 15, 2021 under the 2019 Omnibus Plan to our named executive officers consist of two tranches: one-half of the PSU awards vest in March 2024, and one-half vest annually in three equal tranches, beginning in March 2022, subject to the named executive officer’s continued employment through the applicable vesting date. The total number of units eligible to be earned could range from 0% to 150% of the number of units granted, depending on the degree to which we achieved expense reduction and Adjusted Free Cash Flow targets for 2021. If we did not achieve a minimum expense reduction threshold for 2021, none of the PSUs would have vested. If this threshold requirement was met, then 50% to 100% of the target award vested as specified above based on our expense reductions for 2021. Thereafter, 100% to 150% of the target award vested as specified above based on the extent to which we exceeded an Adjusted Free Cash Flow target for 2021. In addition, given the ongoing significant impact of the COVID-19 pandemic on our financial results in 2021, in March 2021, the Compensation Committee established performance metrics for PSUs with 2021 and/or 2022 performance periods that were awarded prior to or during 2021 and replaced performance metrics for</w:t>
      </w:r>
    </w:p>
    <w:p>
      <w:pPr>
        <w:spacing w:after="0" w:line="110"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80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980"/>
          </w:cols>
          <w:pgMar w:left="320" w:top="453"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194310</wp:posOffset>
            </wp:positionV>
            <wp:extent cx="1593850" cy="1492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93850" cy="149225"/>
                    </a:xfrm>
                    <a:prstGeom prst="rect">
                      <a:avLst/>
                    </a:prstGeom>
                    <a:noFill/>
                  </pic:spPr>
                </pic:pic>
              </a:graphicData>
            </a:graphic>
          </wp:anchor>
        </w:drawing>
      </w:r>
    </w:p>
    <w:p>
      <w:pPr>
        <w:spacing w:after="0" w:line="31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FFFFFF"/>
        </w:rPr>
        <w:t>EXECUTIVE COMPENSATION</w:t>
      </w:r>
    </w:p>
    <w:p>
      <w:pPr>
        <w:spacing w:after="0" w:line="248" w:lineRule="exact"/>
        <w:rPr>
          <w:sz w:val="20"/>
          <w:szCs w:val="20"/>
          <w:color w:val="auto"/>
        </w:rPr>
      </w:pPr>
    </w:p>
    <w:p>
      <w:pPr>
        <w:ind w:left="980" w:right="160"/>
        <w:spacing w:after="0" w:line="257" w:lineRule="auto"/>
        <w:rPr>
          <w:sz w:val="20"/>
          <w:szCs w:val="20"/>
          <w:color w:val="auto"/>
        </w:rPr>
      </w:pPr>
      <w:r>
        <w:rPr>
          <w:rFonts w:ascii="Arial" w:cs="Arial" w:eastAsia="Arial" w:hAnsi="Arial"/>
          <w:sz w:val="15"/>
          <w:szCs w:val="15"/>
          <w:color w:val="auto"/>
        </w:rPr>
        <w:t>PSUs with 2021 and/or 2022 performance periods that were granted prior to 2021, with performance metrics based on 2021 criteria; however, the vesting dates of these awards did not change. In March 2022, the Compensation Committee evaluated our achievements regarding the 2021 performance criteria, and the Committee reduced the payout for outstanding PSUs with 2021 performance periods to 125% of target.</w:t>
      </w:r>
    </w:p>
    <w:p>
      <w:pPr>
        <w:spacing w:after="0" w:line="39" w:lineRule="exact"/>
        <w:rPr>
          <w:sz w:val="20"/>
          <w:szCs w:val="20"/>
          <w:color w:val="auto"/>
        </w:rPr>
      </w:pPr>
    </w:p>
    <w:p>
      <w:pPr>
        <w:ind w:left="980" w:right="100" w:hanging="400"/>
        <w:spacing w:after="0" w:line="247" w:lineRule="auto"/>
        <w:tabs>
          <w:tab w:leader="none" w:pos="9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PSU awards granted on March 15, 2022 and to Mr. Randolfi on September 15, 2022 under the 2021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Adjusted Free Cash Flow target level measured for 2024, with a TSR modifier based on our common stock’s price relative performance to the S&amp;P Composite 1500 Information Technology index over the three-year measurement period from January 1, 2022 to December 31, 2024, which will increase or decrease the number of PSUs earned by 10%, subject to a maximum payout of 200%.</w:t>
      </w:r>
    </w:p>
    <w:p>
      <w:pPr>
        <w:spacing w:after="0" w:line="47" w:lineRule="exact"/>
        <w:rPr>
          <w:rFonts w:ascii="Arial" w:cs="Arial" w:eastAsia="Arial" w:hAnsi="Arial"/>
          <w:sz w:val="15"/>
          <w:szCs w:val="15"/>
          <w:color w:val="auto"/>
        </w:rPr>
      </w:pPr>
    </w:p>
    <w:p>
      <w:pPr>
        <w:ind w:left="980" w:right="200" w:hanging="400"/>
        <w:spacing w:after="0" w:line="273" w:lineRule="auto"/>
        <w:tabs>
          <w:tab w:leader="none" w:pos="9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These RSUs vest as to one-third of the shares of our common stock on each of the three anniversaries of the date of grant, subject to the named executive officer’s continued employment through each vesting date.</w:t>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2022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42" w:lineRule="auto"/>
        <w:rPr>
          <w:sz w:val="20"/>
          <w:szCs w:val="20"/>
          <w:color w:val="auto"/>
        </w:rPr>
      </w:pPr>
      <w:r>
        <w:rPr>
          <w:rFonts w:ascii="Arial" w:cs="Arial" w:eastAsia="Arial" w:hAnsi="Arial"/>
          <w:sz w:val="18"/>
          <w:szCs w:val="18"/>
          <w:color w:val="auto"/>
        </w:rPr>
        <w:t>The following table sets forth, for each of our named executive officers, the number of shares of our common stock acquired and the aggregate value realized upon the vesting of PSUs and RSUs during the year ended December 31, 2022. There were no options exercised by the named executive officers during the year ended December 31, 2022. For purposes of the table, the value realized is based upon the fair market value of our common stock on the various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127000</wp:posOffset>
            </wp:positionV>
            <wp:extent cx="1562100" cy="15386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562100" cy="1538605"/>
                    </a:xfrm>
                    <a:prstGeom prst="rect">
                      <a:avLst/>
                    </a:prstGeom>
                    <a:noFill/>
                  </pic:spPr>
                </pic:pic>
              </a:graphicData>
            </a:graphic>
          </wp:anchor>
        </w:drawing>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7640" w:type="dxa"/>
            <w:vAlign w:val="bottom"/>
            <w:shd w:val="clear" w:color="auto" w:fill="666666"/>
          </w:tcPr>
          <w:p>
            <w:pPr>
              <w:spacing w:after="0"/>
              <w:rPr>
                <w:sz w:val="19"/>
                <w:szCs w:val="19"/>
                <w:color w:val="auto"/>
              </w:rPr>
            </w:pPr>
          </w:p>
        </w:tc>
        <w:tc>
          <w:tcPr>
            <w:tcW w:w="2440" w:type="dxa"/>
            <w:vAlign w:val="bottom"/>
            <w:gridSpan w:val="3"/>
            <w:shd w:val="clear" w:color="auto" w:fill="666666"/>
          </w:tcPr>
          <w:p>
            <w:pPr>
              <w:jc w:val="right"/>
              <w:ind w:right="612"/>
              <w:spacing w:after="0"/>
              <w:rPr>
                <w:sz w:val="20"/>
                <w:szCs w:val="20"/>
                <w:color w:val="auto"/>
              </w:rPr>
            </w:pPr>
            <w:r>
              <w:rPr>
                <w:rFonts w:ascii="Arial" w:cs="Arial" w:eastAsia="Arial" w:hAnsi="Arial"/>
                <w:sz w:val="15"/>
                <w:szCs w:val="15"/>
                <w:b w:val="1"/>
                <w:bCs w:val="1"/>
                <w:color w:val="FFFFFF"/>
              </w:rPr>
              <w:t>Stock Awards</w:t>
            </w:r>
          </w:p>
        </w:tc>
      </w:tr>
      <w:tr>
        <w:trPr>
          <w:trHeight w:val="255"/>
        </w:trPr>
        <w:tc>
          <w:tcPr>
            <w:tcW w:w="7640" w:type="dxa"/>
            <w:vAlign w:val="bottom"/>
            <w:shd w:val="clear" w:color="auto" w:fill="666666"/>
          </w:tcPr>
          <w:p>
            <w:pPr>
              <w:spacing w:after="0"/>
              <w:rPr>
                <w:sz w:val="22"/>
                <w:szCs w:val="22"/>
                <w:color w:val="auto"/>
              </w:rPr>
            </w:pPr>
          </w:p>
        </w:tc>
        <w:tc>
          <w:tcPr>
            <w:tcW w:w="1160" w:type="dxa"/>
            <w:vAlign w:val="bottom"/>
            <w:shd w:val="clear" w:color="auto" w:fill="666666"/>
          </w:tcPr>
          <w:p>
            <w:pPr>
              <w:jc w:val="center"/>
              <w:ind w:right="31"/>
              <w:spacing w:after="0"/>
              <w:rPr>
                <w:sz w:val="20"/>
                <w:szCs w:val="20"/>
                <w:color w:val="auto"/>
              </w:rPr>
            </w:pPr>
            <w:r>
              <w:rPr>
                <w:rFonts w:ascii="Arial" w:cs="Arial" w:eastAsia="Arial" w:hAnsi="Arial"/>
                <w:sz w:val="15"/>
                <w:szCs w:val="15"/>
                <w:b w:val="1"/>
                <w:bCs w:val="1"/>
                <w:color w:val="FFFFFF"/>
                <w:w w:val="98"/>
              </w:rPr>
              <w:t>Number of</w:t>
            </w:r>
          </w:p>
        </w:tc>
        <w:tc>
          <w:tcPr>
            <w:tcW w:w="360" w:type="dxa"/>
            <w:vAlign w:val="bottom"/>
            <w:shd w:val="clear" w:color="auto" w:fill="666666"/>
          </w:tcPr>
          <w:p>
            <w:pPr>
              <w:spacing w:after="0"/>
              <w:rPr>
                <w:sz w:val="22"/>
                <w:szCs w:val="22"/>
                <w:color w:val="auto"/>
              </w:rPr>
            </w:pPr>
          </w:p>
        </w:tc>
        <w:tc>
          <w:tcPr>
            <w:tcW w:w="920" w:type="dxa"/>
            <w:vAlign w:val="bottom"/>
            <w:shd w:val="clear" w:color="auto" w:fill="666666"/>
          </w:tcPr>
          <w:p>
            <w:pPr>
              <w:spacing w:after="0"/>
              <w:rPr>
                <w:sz w:val="22"/>
                <w:szCs w:val="22"/>
                <w:color w:val="auto"/>
              </w:rPr>
            </w:pPr>
          </w:p>
        </w:tc>
      </w:tr>
      <w:tr>
        <w:trPr>
          <w:trHeight w:val="173"/>
        </w:trPr>
        <w:tc>
          <w:tcPr>
            <w:tcW w:w="7640" w:type="dxa"/>
            <w:vAlign w:val="bottom"/>
            <w:shd w:val="clear" w:color="auto" w:fill="666666"/>
          </w:tcPr>
          <w:p>
            <w:pPr>
              <w:spacing w:after="0"/>
              <w:rPr>
                <w:sz w:val="15"/>
                <w:szCs w:val="15"/>
                <w:color w:val="auto"/>
              </w:rPr>
            </w:pPr>
          </w:p>
        </w:tc>
        <w:tc>
          <w:tcPr>
            <w:tcW w:w="1160" w:type="dxa"/>
            <w:vAlign w:val="bottom"/>
            <w:shd w:val="clear" w:color="auto" w:fill="666666"/>
          </w:tcPr>
          <w:p>
            <w:pPr>
              <w:jc w:val="center"/>
              <w:ind w:right="11"/>
              <w:spacing w:after="0"/>
              <w:rPr>
                <w:sz w:val="20"/>
                <w:szCs w:val="20"/>
                <w:color w:val="auto"/>
              </w:rPr>
            </w:pPr>
            <w:r>
              <w:rPr>
                <w:rFonts w:ascii="Arial" w:cs="Arial" w:eastAsia="Arial" w:hAnsi="Arial"/>
                <w:sz w:val="15"/>
                <w:szCs w:val="15"/>
                <w:b w:val="1"/>
                <w:bCs w:val="1"/>
                <w:color w:val="FFFFFF"/>
                <w:w w:val="95"/>
              </w:rPr>
              <w:t>Shares</w:t>
            </w:r>
          </w:p>
        </w:tc>
        <w:tc>
          <w:tcPr>
            <w:tcW w:w="360" w:type="dxa"/>
            <w:vAlign w:val="bottom"/>
            <w:shd w:val="clear" w:color="auto" w:fill="666666"/>
          </w:tcPr>
          <w:p>
            <w:pPr>
              <w:spacing w:after="0"/>
              <w:rPr>
                <w:sz w:val="15"/>
                <w:szCs w:val="15"/>
                <w:color w:val="auto"/>
              </w:rPr>
            </w:pPr>
          </w:p>
        </w:tc>
        <w:tc>
          <w:tcPr>
            <w:tcW w:w="920" w:type="dxa"/>
            <w:vAlign w:val="bottom"/>
            <w:shd w:val="clear" w:color="auto" w:fill="666666"/>
          </w:tcPr>
          <w:p>
            <w:pPr>
              <w:jc w:val="center"/>
              <w:ind w:right="352"/>
              <w:spacing w:after="0"/>
              <w:rPr>
                <w:sz w:val="20"/>
                <w:szCs w:val="20"/>
                <w:color w:val="auto"/>
              </w:rPr>
            </w:pPr>
            <w:r>
              <w:rPr>
                <w:rFonts w:ascii="Arial" w:cs="Arial" w:eastAsia="Arial" w:hAnsi="Arial"/>
                <w:sz w:val="15"/>
                <w:szCs w:val="15"/>
                <w:b w:val="1"/>
                <w:bCs w:val="1"/>
                <w:color w:val="FFFFFF"/>
                <w:w w:val="94"/>
              </w:rPr>
              <w:t>Value</w:t>
            </w:r>
          </w:p>
        </w:tc>
      </w:tr>
      <w:tr>
        <w:trPr>
          <w:trHeight w:val="173"/>
        </w:trPr>
        <w:tc>
          <w:tcPr>
            <w:tcW w:w="7640" w:type="dxa"/>
            <w:vAlign w:val="bottom"/>
            <w:shd w:val="clear" w:color="auto" w:fill="666666"/>
          </w:tcPr>
          <w:p>
            <w:pPr>
              <w:spacing w:after="0"/>
              <w:rPr>
                <w:sz w:val="15"/>
                <w:szCs w:val="15"/>
                <w:color w:val="auto"/>
              </w:rPr>
            </w:pPr>
          </w:p>
        </w:tc>
        <w:tc>
          <w:tcPr>
            <w:tcW w:w="1160" w:type="dxa"/>
            <w:vAlign w:val="bottom"/>
            <w:shd w:val="clear" w:color="auto" w:fill="666666"/>
          </w:tcPr>
          <w:p>
            <w:pPr>
              <w:jc w:val="center"/>
              <w:ind w:right="11"/>
              <w:spacing w:after="0"/>
              <w:rPr>
                <w:sz w:val="20"/>
                <w:szCs w:val="20"/>
                <w:color w:val="auto"/>
              </w:rPr>
            </w:pPr>
            <w:r>
              <w:rPr>
                <w:rFonts w:ascii="Arial" w:cs="Arial" w:eastAsia="Arial" w:hAnsi="Arial"/>
                <w:sz w:val="15"/>
                <w:szCs w:val="15"/>
                <w:b w:val="1"/>
                <w:bCs w:val="1"/>
                <w:color w:val="FFFFFF"/>
              </w:rPr>
              <w:t>Acquired on</w:t>
            </w:r>
          </w:p>
        </w:tc>
        <w:tc>
          <w:tcPr>
            <w:tcW w:w="128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Realized on</w:t>
            </w:r>
          </w:p>
        </w:tc>
      </w:tr>
      <w:tr>
        <w:trPr>
          <w:trHeight w:val="173"/>
        </w:trPr>
        <w:tc>
          <w:tcPr>
            <w:tcW w:w="7640" w:type="dxa"/>
            <w:vAlign w:val="bottom"/>
            <w:shd w:val="clear" w:color="auto" w:fill="666666"/>
          </w:tcPr>
          <w:p>
            <w:pPr>
              <w:spacing w:after="0"/>
              <w:rPr>
                <w:sz w:val="15"/>
                <w:szCs w:val="15"/>
                <w:color w:val="auto"/>
              </w:rPr>
            </w:pPr>
          </w:p>
        </w:tc>
        <w:tc>
          <w:tcPr>
            <w:tcW w:w="1160" w:type="dxa"/>
            <w:vAlign w:val="bottom"/>
            <w:shd w:val="clear" w:color="auto" w:fill="666666"/>
          </w:tcPr>
          <w:p>
            <w:pPr>
              <w:jc w:val="center"/>
              <w:ind w:right="11"/>
              <w:spacing w:after="0"/>
              <w:rPr>
                <w:sz w:val="20"/>
                <w:szCs w:val="20"/>
                <w:color w:val="auto"/>
              </w:rPr>
            </w:pPr>
            <w:r>
              <w:rPr>
                <w:rFonts w:ascii="Arial" w:cs="Arial" w:eastAsia="Arial" w:hAnsi="Arial"/>
                <w:sz w:val="15"/>
                <w:szCs w:val="15"/>
                <w:b w:val="1"/>
                <w:bCs w:val="1"/>
                <w:color w:val="FFFFFF"/>
                <w:w w:val="95"/>
              </w:rPr>
              <w:t>Vesting</w:t>
            </w:r>
          </w:p>
        </w:tc>
        <w:tc>
          <w:tcPr>
            <w:tcW w:w="128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Vesting</w:t>
            </w:r>
          </w:p>
        </w:tc>
      </w:tr>
      <w:tr>
        <w:trPr>
          <w:trHeight w:val="215"/>
        </w:trPr>
        <w:tc>
          <w:tcPr>
            <w:tcW w:w="7640" w:type="dxa"/>
            <w:vAlign w:val="bottom"/>
            <w:tcBorders>
              <w:bottom w:val="single" w:sz="8" w:color="666666"/>
            </w:tcBorders>
            <w:shd w:val="clear" w:color="auto" w:fill="666666"/>
          </w:tcPr>
          <w:p>
            <w:pPr>
              <w:ind w:left="40"/>
              <w:spacing w:after="0"/>
              <w:rPr>
                <w:sz w:val="20"/>
                <w:szCs w:val="20"/>
                <w:color w:val="auto"/>
              </w:rPr>
            </w:pPr>
            <w:r>
              <w:rPr>
                <w:rFonts w:ascii="Arial" w:cs="Arial" w:eastAsia="Arial" w:hAnsi="Arial"/>
                <w:sz w:val="15"/>
                <w:szCs w:val="15"/>
                <w:b w:val="1"/>
                <w:bCs w:val="1"/>
                <w:color w:val="FFFFFF"/>
              </w:rPr>
              <w:t>Name</w:t>
            </w:r>
          </w:p>
        </w:tc>
        <w:tc>
          <w:tcPr>
            <w:tcW w:w="1160" w:type="dxa"/>
            <w:vAlign w:val="bottom"/>
            <w:tcBorders>
              <w:bottom w:val="single" w:sz="8" w:color="666666"/>
            </w:tcBorders>
            <w:shd w:val="clear" w:color="auto" w:fill="666666"/>
          </w:tcPr>
          <w:p>
            <w:pPr>
              <w:jc w:val="center"/>
              <w:ind w:right="31"/>
              <w:spacing w:after="0"/>
              <w:rPr>
                <w:sz w:val="20"/>
                <w:szCs w:val="20"/>
                <w:color w:val="auto"/>
              </w:rPr>
            </w:pPr>
            <w:r>
              <w:rPr>
                <w:rFonts w:ascii="Arial" w:cs="Arial" w:eastAsia="Arial" w:hAnsi="Arial"/>
                <w:sz w:val="15"/>
                <w:szCs w:val="15"/>
                <w:b w:val="1"/>
                <w:bCs w:val="1"/>
                <w:color w:val="FFFFFF"/>
                <w:w w:val="97"/>
              </w:rPr>
              <w:t>(#)</w:t>
            </w:r>
          </w:p>
        </w:tc>
        <w:tc>
          <w:tcPr>
            <w:tcW w:w="360" w:type="dxa"/>
            <w:vAlign w:val="bottom"/>
            <w:tcBorders>
              <w:bottom w:val="single" w:sz="8" w:color="666666"/>
            </w:tcBorders>
            <w:shd w:val="clear" w:color="auto" w:fill="666666"/>
          </w:tcPr>
          <w:p>
            <w:pPr>
              <w:spacing w:after="0"/>
              <w:rPr>
                <w:sz w:val="18"/>
                <w:szCs w:val="18"/>
                <w:color w:val="auto"/>
              </w:rPr>
            </w:pPr>
          </w:p>
        </w:tc>
        <w:tc>
          <w:tcPr>
            <w:tcW w:w="920" w:type="dxa"/>
            <w:vAlign w:val="bottom"/>
            <w:tcBorders>
              <w:bottom w:val="single" w:sz="8" w:color="666666"/>
            </w:tcBorders>
            <w:shd w:val="clear" w:color="auto" w:fill="666666"/>
          </w:tcPr>
          <w:p>
            <w:pPr>
              <w:jc w:val="center"/>
              <w:ind w:right="352"/>
              <w:spacing w:after="0"/>
              <w:rPr>
                <w:sz w:val="20"/>
                <w:szCs w:val="20"/>
                <w:color w:val="auto"/>
              </w:rPr>
            </w:pPr>
            <w:r>
              <w:rPr>
                <w:rFonts w:ascii="Arial" w:cs="Arial" w:eastAsia="Arial" w:hAnsi="Arial"/>
                <w:sz w:val="15"/>
                <w:szCs w:val="15"/>
                <w:b w:val="1"/>
                <w:bCs w:val="1"/>
                <w:color w:val="FFFFFF"/>
                <w:w w:val="97"/>
              </w:rPr>
              <w:t>($)</w:t>
            </w:r>
          </w:p>
        </w:tc>
      </w:tr>
      <w:tr>
        <w:trPr>
          <w:trHeight w:val="148"/>
        </w:trPr>
        <w:tc>
          <w:tcPr>
            <w:tcW w:w="764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Sean Menke</w:t>
            </w:r>
          </w:p>
        </w:tc>
        <w:tc>
          <w:tcPr>
            <w:tcW w:w="1160" w:type="dxa"/>
            <w:vAlign w:val="bottom"/>
            <w:shd w:val="clear" w:color="auto" w:fill="E5E5E5"/>
          </w:tcPr>
          <w:p>
            <w:pPr>
              <w:jc w:val="right"/>
              <w:ind w:right="171"/>
              <w:spacing w:after="0" w:line="149" w:lineRule="exact"/>
              <w:rPr>
                <w:sz w:val="20"/>
                <w:szCs w:val="20"/>
                <w:color w:val="auto"/>
              </w:rPr>
            </w:pPr>
            <w:r>
              <w:rPr>
                <w:rFonts w:ascii="Arial" w:cs="Arial" w:eastAsia="Arial" w:hAnsi="Arial"/>
                <w:sz w:val="13"/>
                <w:szCs w:val="13"/>
                <w:color w:val="auto"/>
              </w:rPr>
              <w:t>874,195</w:t>
            </w:r>
          </w:p>
        </w:tc>
        <w:tc>
          <w:tcPr>
            <w:tcW w:w="3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920" w:type="dxa"/>
            <w:vAlign w:val="bottom"/>
            <w:shd w:val="clear" w:color="auto" w:fill="E5E5E5"/>
          </w:tcPr>
          <w:p>
            <w:pPr>
              <w:jc w:val="right"/>
              <w:ind w:right="272"/>
              <w:spacing w:after="0" w:line="149" w:lineRule="exact"/>
              <w:rPr>
                <w:sz w:val="20"/>
                <w:szCs w:val="20"/>
                <w:color w:val="auto"/>
              </w:rPr>
            </w:pPr>
            <w:r>
              <w:rPr>
                <w:rFonts w:ascii="Arial" w:cs="Arial" w:eastAsia="Arial" w:hAnsi="Arial"/>
                <w:sz w:val="13"/>
                <w:szCs w:val="13"/>
                <w:color w:val="auto"/>
                <w:w w:val="96"/>
              </w:rPr>
              <w:t>7,433,019</w:t>
            </w:r>
          </w:p>
        </w:tc>
      </w:tr>
      <w:tr>
        <w:trPr>
          <w:trHeight w:val="148"/>
        </w:trPr>
        <w:tc>
          <w:tcPr>
            <w:tcW w:w="7640" w:type="dxa"/>
            <w:vAlign w:val="bottom"/>
          </w:tcPr>
          <w:p>
            <w:pPr>
              <w:ind w:left="40"/>
              <w:spacing w:after="0" w:line="149" w:lineRule="exact"/>
              <w:rPr>
                <w:sz w:val="20"/>
                <w:szCs w:val="20"/>
                <w:color w:val="auto"/>
              </w:rPr>
            </w:pPr>
            <w:r>
              <w:rPr>
                <w:rFonts w:ascii="Arial" w:cs="Arial" w:eastAsia="Arial" w:hAnsi="Arial"/>
                <w:sz w:val="13"/>
                <w:szCs w:val="13"/>
                <w:color w:val="auto"/>
              </w:rPr>
              <w:t>Michael Randolfi</w:t>
            </w:r>
          </w:p>
        </w:tc>
        <w:tc>
          <w:tcPr>
            <w:tcW w:w="1160" w:type="dxa"/>
            <w:vAlign w:val="bottom"/>
          </w:tcPr>
          <w:p>
            <w:pPr>
              <w:jc w:val="right"/>
              <w:ind w:right="171"/>
              <w:spacing w:after="0" w:line="14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20" w:type="dxa"/>
            <w:vAlign w:val="bottom"/>
          </w:tcPr>
          <w:p>
            <w:pPr>
              <w:jc w:val="right"/>
              <w:ind w:right="272"/>
              <w:spacing w:after="0" w:line="149" w:lineRule="exact"/>
              <w:rPr>
                <w:sz w:val="20"/>
                <w:szCs w:val="20"/>
                <w:color w:val="auto"/>
              </w:rPr>
            </w:pPr>
            <w:r>
              <w:rPr>
                <w:rFonts w:ascii="Arial" w:cs="Arial" w:eastAsia="Arial" w:hAnsi="Arial"/>
                <w:sz w:val="13"/>
                <w:szCs w:val="13"/>
                <w:color w:val="auto"/>
              </w:rPr>
              <w:t>—</w:t>
            </w:r>
          </w:p>
        </w:tc>
      </w:tr>
      <w:tr>
        <w:trPr>
          <w:trHeight w:val="148"/>
        </w:trPr>
        <w:tc>
          <w:tcPr>
            <w:tcW w:w="764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Kurt Ekert</w:t>
            </w:r>
          </w:p>
        </w:tc>
        <w:tc>
          <w:tcPr>
            <w:tcW w:w="1160" w:type="dxa"/>
            <w:vAlign w:val="bottom"/>
            <w:shd w:val="clear" w:color="auto" w:fill="E5E5E5"/>
          </w:tcPr>
          <w:p>
            <w:pPr>
              <w:jc w:val="right"/>
              <w:ind w:right="171"/>
              <w:spacing w:after="0" w:line="149" w:lineRule="exact"/>
              <w:rPr>
                <w:sz w:val="20"/>
                <w:szCs w:val="20"/>
                <w:color w:val="auto"/>
              </w:rPr>
            </w:pPr>
            <w:r>
              <w:rPr>
                <w:rFonts w:ascii="Arial" w:cs="Arial" w:eastAsia="Arial" w:hAnsi="Arial"/>
                <w:sz w:val="13"/>
                <w:szCs w:val="13"/>
                <w:color w:val="auto"/>
              </w:rPr>
              <w:t>—</w:t>
            </w:r>
          </w:p>
        </w:tc>
        <w:tc>
          <w:tcPr>
            <w:tcW w:w="3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272"/>
              <w:spacing w:after="0" w:line="149" w:lineRule="exact"/>
              <w:rPr>
                <w:sz w:val="20"/>
                <w:szCs w:val="20"/>
                <w:color w:val="auto"/>
              </w:rPr>
            </w:pPr>
            <w:r>
              <w:rPr>
                <w:rFonts w:ascii="Arial" w:cs="Arial" w:eastAsia="Arial" w:hAnsi="Arial"/>
                <w:sz w:val="13"/>
                <w:szCs w:val="13"/>
                <w:color w:val="auto"/>
              </w:rPr>
              <w:t>—</w:t>
            </w:r>
          </w:p>
        </w:tc>
      </w:tr>
      <w:tr>
        <w:trPr>
          <w:trHeight w:val="148"/>
        </w:trPr>
        <w:tc>
          <w:tcPr>
            <w:tcW w:w="7640" w:type="dxa"/>
            <w:vAlign w:val="bottom"/>
          </w:tcPr>
          <w:p>
            <w:pPr>
              <w:ind w:left="40"/>
              <w:spacing w:after="0" w:line="149" w:lineRule="exact"/>
              <w:rPr>
                <w:sz w:val="20"/>
                <w:szCs w:val="20"/>
                <w:color w:val="auto"/>
              </w:rPr>
            </w:pPr>
            <w:r>
              <w:rPr>
                <w:rFonts w:ascii="Arial" w:cs="Arial" w:eastAsia="Arial" w:hAnsi="Arial"/>
                <w:sz w:val="13"/>
                <w:szCs w:val="13"/>
                <w:color w:val="auto"/>
              </w:rPr>
              <w:t>David Moore</w:t>
            </w:r>
          </w:p>
        </w:tc>
        <w:tc>
          <w:tcPr>
            <w:tcW w:w="1160" w:type="dxa"/>
            <w:vAlign w:val="bottom"/>
          </w:tcPr>
          <w:p>
            <w:pPr>
              <w:jc w:val="right"/>
              <w:ind w:right="171"/>
              <w:spacing w:after="0" w:line="149" w:lineRule="exact"/>
              <w:rPr>
                <w:sz w:val="20"/>
                <w:szCs w:val="20"/>
                <w:color w:val="auto"/>
              </w:rPr>
            </w:pPr>
            <w:r>
              <w:rPr>
                <w:rFonts w:ascii="Arial" w:cs="Arial" w:eastAsia="Arial" w:hAnsi="Arial"/>
                <w:sz w:val="13"/>
                <w:szCs w:val="13"/>
                <w:color w:val="auto"/>
              </w:rPr>
              <w:t>178,486</w:t>
            </w:r>
          </w:p>
        </w:tc>
        <w:tc>
          <w:tcPr>
            <w:tcW w:w="3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272"/>
              <w:spacing w:after="0" w:line="149" w:lineRule="exact"/>
              <w:rPr>
                <w:sz w:val="20"/>
                <w:szCs w:val="20"/>
                <w:color w:val="auto"/>
              </w:rPr>
            </w:pPr>
            <w:r>
              <w:rPr>
                <w:rFonts w:ascii="Arial" w:cs="Arial" w:eastAsia="Arial" w:hAnsi="Arial"/>
                <w:sz w:val="13"/>
                <w:szCs w:val="13"/>
                <w:color w:val="auto"/>
                <w:w w:val="96"/>
              </w:rPr>
              <w:t>1,317,393</w:t>
            </w:r>
          </w:p>
        </w:tc>
      </w:tr>
      <w:tr>
        <w:trPr>
          <w:trHeight w:val="148"/>
        </w:trPr>
        <w:tc>
          <w:tcPr>
            <w:tcW w:w="764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Scott Wilson</w:t>
            </w:r>
          </w:p>
        </w:tc>
        <w:tc>
          <w:tcPr>
            <w:tcW w:w="1160" w:type="dxa"/>
            <w:vAlign w:val="bottom"/>
            <w:shd w:val="clear" w:color="auto" w:fill="E5E5E5"/>
          </w:tcPr>
          <w:p>
            <w:pPr>
              <w:jc w:val="right"/>
              <w:ind w:right="171"/>
              <w:spacing w:after="0" w:line="149" w:lineRule="exact"/>
              <w:rPr>
                <w:sz w:val="20"/>
                <w:szCs w:val="20"/>
                <w:color w:val="auto"/>
              </w:rPr>
            </w:pPr>
            <w:r>
              <w:rPr>
                <w:rFonts w:ascii="Arial" w:cs="Arial" w:eastAsia="Arial" w:hAnsi="Arial"/>
                <w:sz w:val="13"/>
                <w:szCs w:val="13"/>
                <w:color w:val="auto"/>
              </w:rPr>
              <w:t>43,985</w:t>
            </w:r>
          </w:p>
        </w:tc>
        <w:tc>
          <w:tcPr>
            <w:tcW w:w="3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920" w:type="dxa"/>
            <w:vAlign w:val="bottom"/>
            <w:shd w:val="clear" w:color="auto" w:fill="E5E5E5"/>
          </w:tcPr>
          <w:p>
            <w:pPr>
              <w:jc w:val="right"/>
              <w:ind w:right="272"/>
              <w:spacing w:after="0" w:line="149" w:lineRule="exact"/>
              <w:rPr>
                <w:sz w:val="20"/>
                <w:szCs w:val="20"/>
                <w:color w:val="auto"/>
              </w:rPr>
            </w:pPr>
            <w:r>
              <w:rPr>
                <w:rFonts w:ascii="Arial" w:cs="Arial" w:eastAsia="Arial" w:hAnsi="Arial"/>
                <w:sz w:val="13"/>
                <w:szCs w:val="13"/>
                <w:color w:val="auto"/>
              </w:rPr>
              <w:t>352,921</w:t>
            </w:r>
          </w:p>
        </w:tc>
      </w:tr>
      <w:tr>
        <w:trPr>
          <w:trHeight w:val="148"/>
        </w:trPr>
        <w:tc>
          <w:tcPr>
            <w:tcW w:w="7640" w:type="dxa"/>
            <w:vAlign w:val="bottom"/>
          </w:tcPr>
          <w:p>
            <w:pPr>
              <w:ind w:left="40"/>
              <w:spacing w:after="0" w:line="149" w:lineRule="exact"/>
              <w:rPr>
                <w:sz w:val="20"/>
                <w:szCs w:val="20"/>
                <w:color w:val="auto"/>
              </w:rPr>
            </w:pPr>
            <w:r>
              <w:rPr>
                <w:rFonts w:ascii="Arial" w:cs="Arial" w:eastAsia="Arial" w:hAnsi="Arial"/>
                <w:sz w:val="13"/>
                <w:szCs w:val="13"/>
                <w:color w:val="auto"/>
              </w:rPr>
              <w:t>Douglas Barnett</w:t>
            </w:r>
          </w:p>
        </w:tc>
        <w:tc>
          <w:tcPr>
            <w:tcW w:w="1160" w:type="dxa"/>
            <w:vAlign w:val="bottom"/>
          </w:tcPr>
          <w:p>
            <w:pPr>
              <w:jc w:val="right"/>
              <w:ind w:right="171"/>
              <w:spacing w:after="0" w:line="149" w:lineRule="exact"/>
              <w:rPr>
                <w:sz w:val="20"/>
                <w:szCs w:val="20"/>
                <w:color w:val="auto"/>
              </w:rPr>
            </w:pPr>
            <w:r>
              <w:rPr>
                <w:rFonts w:ascii="Arial" w:cs="Arial" w:eastAsia="Arial" w:hAnsi="Arial"/>
                <w:sz w:val="13"/>
                <w:szCs w:val="13"/>
                <w:color w:val="auto"/>
              </w:rPr>
              <w:t>224,199</w:t>
            </w:r>
          </w:p>
        </w:tc>
        <w:tc>
          <w:tcPr>
            <w:tcW w:w="3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272"/>
              <w:spacing w:after="0" w:line="149" w:lineRule="exact"/>
              <w:rPr>
                <w:sz w:val="20"/>
                <w:szCs w:val="20"/>
                <w:color w:val="auto"/>
              </w:rPr>
            </w:pPr>
            <w:r>
              <w:rPr>
                <w:rFonts w:ascii="Arial" w:cs="Arial" w:eastAsia="Arial" w:hAnsi="Arial"/>
                <w:sz w:val="13"/>
                <w:szCs w:val="13"/>
                <w:color w:val="auto"/>
                <w:w w:val="96"/>
              </w:rPr>
              <w:t>1,832,377</w:t>
            </w:r>
          </w:p>
        </w:tc>
      </w:tr>
      <w:tr>
        <w:trPr>
          <w:trHeight w:val="148"/>
        </w:trPr>
        <w:tc>
          <w:tcPr>
            <w:tcW w:w="7640" w:type="dxa"/>
            <w:vAlign w:val="bottom"/>
            <w:shd w:val="clear" w:color="auto" w:fill="E5E5E5"/>
          </w:tcPr>
          <w:p>
            <w:pPr>
              <w:ind w:left="40"/>
              <w:spacing w:after="0" w:line="149" w:lineRule="exact"/>
              <w:rPr>
                <w:sz w:val="20"/>
                <w:szCs w:val="20"/>
                <w:color w:val="auto"/>
              </w:rPr>
            </w:pPr>
            <w:r>
              <w:rPr>
                <w:rFonts w:ascii="Arial" w:cs="Arial" w:eastAsia="Arial" w:hAnsi="Arial"/>
                <w:sz w:val="13"/>
                <w:szCs w:val="13"/>
                <w:color w:val="auto"/>
              </w:rPr>
              <w:t>Wade Jones</w:t>
            </w:r>
          </w:p>
        </w:tc>
        <w:tc>
          <w:tcPr>
            <w:tcW w:w="1160" w:type="dxa"/>
            <w:vAlign w:val="bottom"/>
            <w:shd w:val="clear" w:color="auto" w:fill="E5E5E5"/>
          </w:tcPr>
          <w:p>
            <w:pPr>
              <w:jc w:val="right"/>
              <w:ind w:right="171"/>
              <w:spacing w:after="0" w:line="149" w:lineRule="exact"/>
              <w:rPr>
                <w:sz w:val="20"/>
                <w:szCs w:val="20"/>
                <w:color w:val="auto"/>
              </w:rPr>
            </w:pPr>
            <w:r>
              <w:rPr>
                <w:rFonts w:ascii="Arial" w:cs="Arial" w:eastAsia="Arial" w:hAnsi="Arial"/>
                <w:sz w:val="13"/>
                <w:szCs w:val="13"/>
                <w:color w:val="auto"/>
              </w:rPr>
              <w:t>178,370</w:t>
            </w:r>
          </w:p>
        </w:tc>
        <w:tc>
          <w:tcPr>
            <w:tcW w:w="360" w:type="dxa"/>
            <w:vAlign w:val="bottom"/>
            <w:shd w:val="clear" w:color="auto" w:fill="E5E5E5"/>
          </w:tcPr>
          <w:p>
            <w:pPr>
              <w:jc w:val="right"/>
              <w:spacing w:after="0" w:line="149" w:lineRule="exact"/>
              <w:rPr>
                <w:sz w:val="20"/>
                <w:szCs w:val="20"/>
                <w:color w:val="auto"/>
              </w:rPr>
            </w:pPr>
            <w:r>
              <w:rPr>
                <w:rFonts w:ascii="Arial" w:cs="Arial" w:eastAsia="Arial" w:hAnsi="Arial"/>
                <w:sz w:val="13"/>
                <w:szCs w:val="13"/>
                <w:color w:val="auto"/>
              </w:rPr>
              <w:t>$</w:t>
            </w:r>
          </w:p>
        </w:tc>
        <w:tc>
          <w:tcPr>
            <w:tcW w:w="920" w:type="dxa"/>
            <w:vAlign w:val="bottom"/>
            <w:shd w:val="clear" w:color="auto" w:fill="E5E5E5"/>
          </w:tcPr>
          <w:p>
            <w:pPr>
              <w:jc w:val="right"/>
              <w:ind w:right="272"/>
              <w:spacing w:after="0" w:line="149" w:lineRule="exact"/>
              <w:rPr>
                <w:sz w:val="20"/>
                <w:szCs w:val="20"/>
                <w:color w:val="auto"/>
              </w:rPr>
            </w:pPr>
            <w:r>
              <w:rPr>
                <w:rFonts w:ascii="Arial" w:cs="Arial" w:eastAsia="Arial" w:hAnsi="Arial"/>
                <w:sz w:val="13"/>
                <w:szCs w:val="13"/>
                <w:color w:val="auto"/>
                <w:w w:val="96"/>
              </w:rPr>
              <w:t>1,445,482</w:t>
            </w:r>
          </w:p>
        </w:tc>
      </w:tr>
      <w:tr>
        <w:trPr>
          <w:trHeight w:val="173"/>
        </w:trPr>
        <w:tc>
          <w:tcPr>
            <w:tcW w:w="7640" w:type="dxa"/>
            <w:vAlign w:val="bottom"/>
          </w:tcPr>
          <w:p>
            <w:pPr>
              <w:ind w:left="40"/>
              <w:spacing w:after="0"/>
              <w:rPr>
                <w:sz w:val="20"/>
                <w:szCs w:val="20"/>
                <w:color w:val="auto"/>
              </w:rPr>
            </w:pPr>
            <w:r>
              <w:rPr>
                <w:rFonts w:ascii="Arial" w:cs="Arial" w:eastAsia="Arial" w:hAnsi="Arial"/>
                <w:sz w:val="13"/>
                <w:szCs w:val="13"/>
                <w:color w:val="auto"/>
              </w:rPr>
              <w:t>Cem Tanyel</w:t>
            </w:r>
          </w:p>
        </w:tc>
        <w:tc>
          <w:tcPr>
            <w:tcW w:w="1160" w:type="dxa"/>
            <w:vAlign w:val="bottom"/>
          </w:tcPr>
          <w:p>
            <w:pPr>
              <w:jc w:val="right"/>
              <w:ind w:right="171"/>
              <w:spacing w:after="0"/>
              <w:rPr>
                <w:sz w:val="20"/>
                <w:szCs w:val="20"/>
                <w:color w:val="auto"/>
              </w:rPr>
            </w:pPr>
            <w:r>
              <w:rPr>
                <w:rFonts w:ascii="Arial" w:cs="Arial" w:eastAsia="Arial" w:hAnsi="Arial"/>
                <w:sz w:val="13"/>
                <w:szCs w:val="13"/>
                <w:color w:val="auto"/>
              </w:rPr>
              <w:t>113,279</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72"/>
              <w:spacing w:after="0"/>
              <w:rPr>
                <w:sz w:val="20"/>
                <w:szCs w:val="20"/>
                <w:color w:val="auto"/>
              </w:rPr>
            </w:pPr>
            <w:r>
              <w:rPr>
                <w:rFonts w:ascii="Arial" w:cs="Arial" w:eastAsia="Arial" w:hAnsi="Arial"/>
                <w:sz w:val="13"/>
                <w:szCs w:val="13"/>
                <w:color w:val="auto"/>
              </w:rPr>
              <w:t>911,229</w:t>
            </w:r>
          </w:p>
        </w:tc>
      </w:tr>
    </w:tbl>
    <w:p>
      <w:pPr>
        <w:spacing w:after="0" w:line="249"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Information on Employment Agreements and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Typically, the employment agreements provide for employment for a specified period of time (typically, two or three years), subject to automatic renewal for additional one-year terms unless either party provided written notice of non-renewal in accordance with the terms and conditions of the agreement. In addition, these agreements and offer letters included the named executive officer’s initial base salary or base salary at the time the agreement or offer letter was executed, an annual incentive opportunity under our EIP, and standard employee benefit plan and program participation. These agreements and offer letters also typically provided for a recommended equity award grant to be submitted to our Board of Directors or the Compensation Committee for approval, with an exercise price, in the case of an option to purchase shares of our common stock, equal to the fair market value of the shares of our common stock</w:t>
      </w:r>
    </w:p>
    <w:p>
      <w:pPr>
        <w:spacing w:after="0" w:line="101"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39" w:lineRule="exact"/>
        <w:rPr>
          <w:sz w:val="20"/>
          <w:szCs w:val="20"/>
          <w:color w:val="auto"/>
        </w:rPr>
      </w:pPr>
    </w:p>
    <w:p>
      <w:pPr>
        <w:jc w:val="both"/>
        <w:ind w:left="580" w:right="420"/>
        <w:spacing w:after="0" w:line="248" w:lineRule="auto"/>
        <w:rPr>
          <w:sz w:val="20"/>
          <w:szCs w:val="20"/>
          <w:color w:val="auto"/>
        </w:rPr>
      </w:pPr>
      <w:r>
        <w:rPr>
          <w:rFonts w:ascii="Arial" w:cs="Arial" w:eastAsia="Arial" w:hAnsi="Arial"/>
          <w:sz w:val="18"/>
          <w:szCs w:val="18"/>
          <w:color w:val="auto"/>
        </w:rPr>
        <w:t>on the date of grant and subject to our specified vesting requirements. These offers of employment were each subject to covenants during the period of employment and for a specified period thereafter involving non-solicitation of customers, suppliers, and employees, non-competition, and non-disclosure of confidential information and trade secrets.</w:t>
      </w:r>
    </w:p>
    <w:p>
      <w:pPr>
        <w:spacing w:after="0" w:line="150" w:lineRule="exact"/>
        <w:rPr>
          <w:sz w:val="20"/>
          <w:szCs w:val="20"/>
          <w:color w:val="auto"/>
        </w:rPr>
      </w:pPr>
    </w:p>
    <w:p>
      <w:pPr>
        <w:ind w:left="580"/>
        <w:spacing w:after="0" w:line="230" w:lineRule="auto"/>
        <w:rPr>
          <w:sz w:val="20"/>
          <w:szCs w:val="20"/>
          <w:color w:val="auto"/>
        </w:rPr>
      </w:pPr>
      <w:r>
        <w:rPr>
          <w:rFonts w:ascii="Arial" w:cs="Arial" w:eastAsia="Arial" w:hAnsi="Arial"/>
          <w:sz w:val="18"/>
          <w:szCs w:val="18"/>
          <w:color w:val="auto"/>
        </w:rPr>
        <w:t>As described above, Mr. Menke will transition his role as CEO to Mr. Ekert. Mr. Menke will continue in his role as Sabre’s Executive Chair of the Board, and Mr. Ekert will also retain his title of President. In connection with this transition, Mr. Menke and Sabre GLBL Inc. (the “Company”) have agreed to terminate his existing employment agreement effective as of April 27, 2023 and, to help ensure an orderly and efficient transition of his duties, have entered into an employment agreement, dated February 28, 2023 (the “New Agreement”), which will be effective as of April 27, 2023 (the “New Agreement Effective Date”). Pursuant to the New Agreement, during the period (the “Executive Transition Period”) effective on the New Agreement Effective Date through May 16, 2025 (the “Termination Date”), Mr. Menke will initially serve as Executive Chair of the Board and then, pursuant to notice as described below, as Special Advisor to the CEO and Board of Directors of Sabre (“Special Advisor”), with such reasonable duties and responsibilities as are assigned to Mr. Menke by both the Board of Directors of Sabre (as Executive Chair of the Board) and the Board of Directors of Sabre and the CEO (as Special Advisor). Under the New Agreement, Mr. Menke may elect to transition from Executive Chair of the Board to Special Advisor upon at least 30 days’ prior written notice to the Company. In addition, upon the approval of at least a majority of the independent members of the Board of Directors, the Company may elect to have Mr. Menke transition from Executive Chair of the Board to Special Advisor upon at least 30 days’ prior written notice to him. Upon the effective date of Mr. Menke’s transition to Special Advisor, Mr. Menke has agreed to retire or resign from the Board of Directors of Sabre. Under the New Agreement, Mr. Menke waives any claims for payments under the Executive Severance Plan or any other severance policy or contract term under his prior employment agreement and confirms that as of the New Agreement Effective Date, he is no longer eligible to participate in the Executive Severance Plan or any other severance programs offered by Sabre. During the Executive Transition Period, Mr. Menke’s annual base salary will be $750,000 when he is serving as Executive Chair of the Board and $25,000 a month when he is serving as Special Advisor, which will continue to be an employee position, with all payments subject to applicable withholdings and deductions. In connection with his continued service as Executive Chair of the Board at the beginning of the Executive Transition Period, Sabre has agreed to grant Mr. Menke on May 15, 2023 (the “Grant Date”) a one-time equity award under the Sabre Corporation Omnibus Incentive Compensation Plan (the “Plan”) with an aggregate grant date value of $2,000,000 (the “Executive Chair Award”), which will take the form of time-based restricted stock units. The Executive Chair Award will vest in two approximately equal annual installments on the first two anniversary dates of the Grant Date, subject to Mr. Menke’s remaining in his position of Executive Chair of the Board at least through the date of the 2024 Annual Meeting (currently anticipated to be held on April 24, 2024); provided, however, that in the event the 2024 Annual Meeting is postponed past April 30, 2024, he will only be required to remain in the Executive Chair of the Board position until April 24, 2024 (the date through which he must remain Executive Chair of the Board, the “2024 Date”). If Mr. Menke elects to leave the Executive Chair of the Board role on or before the 2024 Date, he will forfeit the Executive Chair Award in its entirety, except in the event of death or Change in Control (as defined in the Plan), as described below. If either (1) Mr. Menke remains in the Executive Chair of the Board role through the 2024 Date or (2) the Board of Directors changes Mr. Menke’s status to Special Advisor prior to the 2024 Date, then unless Mr. Menke is terminated for Cause (as defined under the Executive Severance Plan), he will continue to vest in the entirety of the Executive Chair Award during the remainder of the Executive Transition Period. The Executive Chair Award will become fully vested in the event of Mr. Menke’s termination of employment on account of death or in the event of a Change in</w:t>
      </w:r>
    </w:p>
    <w:p>
      <w:pPr>
        <w:spacing w:after="0" w:line="117"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82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20"/>
          </w:cols>
          <w:pgMar w:left="320" w:top="453" w:right="9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194310</wp:posOffset>
            </wp:positionV>
            <wp:extent cx="1593850" cy="1492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93850" cy="149225"/>
                    </a:xfrm>
                    <a:prstGeom prst="rect">
                      <a:avLst/>
                    </a:prstGeom>
                    <a:noFill/>
                  </pic:spPr>
                </pic:pic>
              </a:graphicData>
            </a:graphic>
          </wp:anchor>
        </w:drawing>
      </w:r>
    </w:p>
    <w:p>
      <w:pPr>
        <w:spacing w:after="0" w:line="31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FFFFFF"/>
        </w:rPr>
        <w:t>EXECUTIVE COMPENSATION</w:t>
      </w:r>
    </w:p>
    <w:p>
      <w:pPr>
        <w:spacing w:after="0" w:line="239" w:lineRule="exact"/>
        <w:rPr>
          <w:sz w:val="20"/>
          <w:szCs w:val="20"/>
          <w:color w:val="auto"/>
        </w:rPr>
      </w:pPr>
    </w:p>
    <w:p>
      <w:pPr>
        <w:ind w:left="580"/>
        <w:spacing w:after="0" w:line="232" w:lineRule="auto"/>
        <w:rPr>
          <w:sz w:val="20"/>
          <w:szCs w:val="20"/>
          <w:color w:val="auto"/>
        </w:rPr>
      </w:pPr>
      <w:r>
        <w:rPr>
          <w:rFonts w:ascii="Arial" w:cs="Arial" w:eastAsia="Arial" w:hAnsi="Arial"/>
          <w:sz w:val="18"/>
          <w:szCs w:val="18"/>
          <w:color w:val="auto"/>
        </w:rPr>
        <w:t>Control of Sabre. Mr. Menke will be eligible to receive a pro-rated annual incentive payment with respect to actual fiscal year 2023 performance, as determined by the Compensation Committee, for his service as CEO under his prior employment agreement. He will not otherwise be eligible to participate in any of Sabre’s or the Company’s bonus or incentive plans during the Executive Transition Period. His outstanding long-term incentive grants will continue to vest during the Executive Transition Period in accordance with their terms, but beginning on the New Agreement Effective Date, except as described above, he will not be entitled to receive any future grants pursuant to any long-term incentive plan or program of Sabre or the Company. During the Executive Transition Period, Mr. Menke will be eligible to participate in Sabre’s employee benefit plans, policies and other perquisite programs provided to other senior executives of Sabre and that he was eligible to receive under his prior employment agreement. The New Agreement confirms that he is subject to the post-employment obligations of non-competition, non-solicitation and non-disclosure for 24 months, which will begin to run at the commencement of the Executive Transition Period, in exchange for his waiver and release of any claims for payments under the Executive Severance Plan or his prior employment agreement. The Company has agreed that it will not terminate Mr. Menke’s employment during the Executive Transition Period unless and only if at least a majority of the independent members of the Board of Directors determine that there is Cause (as defined in the Executive Severance Plan). A termination for Cause would immediately end Mr. Menke’s right to receive payments as outlined under the New Agreement and would end his participation in any Sabre benefit programs.</w:t>
      </w:r>
    </w:p>
    <w:p>
      <w:pPr>
        <w:spacing w:after="0" w:line="161"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In connection with his election as CEO and President, Mr. Ekert received an offer letter (the “Offer Letter”), dated February 28, 2023 and which will be effective as of April 27, 2023. The Offer Letter provides that, in his role as CEO and President,</w:t>
      </w:r>
    </w:p>
    <w:p>
      <w:pPr>
        <w:ind w:left="580"/>
        <w:spacing w:after="0" w:line="230" w:lineRule="auto"/>
        <w:rPr>
          <w:sz w:val="20"/>
          <w:szCs w:val="20"/>
          <w:color w:val="auto"/>
        </w:rPr>
      </w:pPr>
      <w:r>
        <w:rPr>
          <w:rFonts w:ascii="Arial" w:cs="Arial" w:eastAsia="Arial" w:hAnsi="Arial"/>
          <w:sz w:val="18"/>
          <w:szCs w:val="18"/>
          <w:color w:val="auto"/>
        </w:rPr>
        <w:t>Mr. Ekert will report directly to the Board of Directors. Under the terms of the Offer Letter, Mr. Ekert’s initial base salary will be</w:t>
      </w:r>
    </w:p>
    <w:p>
      <w:pPr>
        <w:ind w:left="580"/>
        <w:spacing w:after="0" w:line="230" w:lineRule="auto"/>
        <w:rPr>
          <w:sz w:val="20"/>
          <w:szCs w:val="20"/>
          <w:color w:val="auto"/>
        </w:rPr>
      </w:pPr>
      <w:r>
        <w:rPr>
          <w:rFonts w:ascii="Arial" w:cs="Arial" w:eastAsia="Arial" w:hAnsi="Arial"/>
          <w:sz w:val="18"/>
          <w:szCs w:val="18"/>
          <w:color w:val="auto"/>
        </w:rPr>
        <w:t>$900,000 per year. As a participant in Sabre’s annual incentive plan, Mr. Ekert will be eligible for an annual bonus payment,</w:t>
      </w:r>
    </w:p>
    <w:p>
      <w:pPr>
        <w:ind w:left="580"/>
        <w:spacing w:after="0" w:line="229" w:lineRule="auto"/>
        <w:rPr>
          <w:sz w:val="20"/>
          <w:szCs w:val="20"/>
          <w:color w:val="auto"/>
        </w:rPr>
      </w:pPr>
      <w:r>
        <w:rPr>
          <w:rFonts w:ascii="Arial" w:cs="Arial" w:eastAsia="Arial" w:hAnsi="Arial"/>
          <w:sz w:val="18"/>
          <w:szCs w:val="18"/>
          <w:color w:val="auto"/>
        </w:rPr>
        <w:t>with an annual target of 135% of his base salary; provided that in respect of 2023 his annual target will be pro-rated such that</w:t>
      </w:r>
    </w:p>
    <w:p>
      <w:pPr>
        <w:ind w:left="580"/>
        <w:spacing w:after="0" w:line="230" w:lineRule="auto"/>
        <w:rPr>
          <w:sz w:val="20"/>
          <w:szCs w:val="20"/>
          <w:color w:val="auto"/>
        </w:rPr>
      </w:pPr>
      <w:r>
        <w:rPr>
          <w:rFonts w:ascii="Arial" w:cs="Arial" w:eastAsia="Arial" w:hAnsi="Arial"/>
          <w:sz w:val="18"/>
          <w:szCs w:val="18"/>
          <w:color w:val="auto"/>
        </w:rPr>
        <w:t>his former target percentage of his base salary will apply with respect to the first four months of the calendar year, and his</w:t>
      </w:r>
    </w:p>
    <w:p>
      <w:pPr>
        <w:ind w:left="580"/>
        <w:spacing w:after="0" w:line="229" w:lineRule="auto"/>
        <w:rPr>
          <w:sz w:val="20"/>
          <w:szCs w:val="20"/>
          <w:color w:val="auto"/>
        </w:rPr>
      </w:pPr>
      <w:r>
        <w:rPr>
          <w:rFonts w:ascii="Arial" w:cs="Arial" w:eastAsia="Arial" w:hAnsi="Arial"/>
          <w:sz w:val="18"/>
          <w:szCs w:val="18"/>
          <w:color w:val="auto"/>
        </w:rPr>
        <w:t>new and continuing target percentage will apply for the last eight months of the calendar year. Subject to Board of Directors or</w:t>
      </w:r>
    </w:p>
    <w:p>
      <w:pPr>
        <w:ind w:left="580"/>
        <w:spacing w:after="0" w:line="229" w:lineRule="auto"/>
        <w:rPr>
          <w:sz w:val="20"/>
          <w:szCs w:val="20"/>
          <w:color w:val="auto"/>
        </w:rPr>
      </w:pPr>
      <w:r>
        <w:rPr>
          <w:rFonts w:ascii="Arial" w:cs="Arial" w:eastAsia="Arial" w:hAnsi="Arial"/>
          <w:sz w:val="18"/>
          <w:szCs w:val="18"/>
          <w:color w:val="auto"/>
        </w:rPr>
        <w:t>Compensation Committee approval, he will also be eligible to receive an equity award with a grant-date value of up to</w:t>
      </w:r>
    </w:p>
    <w:p>
      <w:pPr>
        <w:ind w:left="580"/>
        <w:spacing w:after="0" w:line="230" w:lineRule="auto"/>
        <w:rPr>
          <w:sz w:val="20"/>
          <w:szCs w:val="20"/>
          <w:color w:val="auto"/>
        </w:rPr>
      </w:pPr>
      <w:r>
        <w:rPr>
          <w:rFonts w:ascii="Arial" w:cs="Arial" w:eastAsia="Arial" w:hAnsi="Arial"/>
          <w:sz w:val="18"/>
          <w:szCs w:val="18"/>
          <w:color w:val="auto"/>
        </w:rPr>
        <w:t>$5,500,000 to be granted on or about May 15, 2023. Mr. Ekert will continue to receive relocation assistance, and he will be</w:t>
      </w:r>
    </w:p>
    <w:p>
      <w:pPr>
        <w:ind w:left="580"/>
        <w:spacing w:after="0" w:line="229" w:lineRule="auto"/>
        <w:rPr>
          <w:sz w:val="20"/>
          <w:szCs w:val="20"/>
          <w:color w:val="auto"/>
        </w:rPr>
      </w:pPr>
      <w:r>
        <w:rPr>
          <w:rFonts w:ascii="Arial" w:cs="Arial" w:eastAsia="Arial" w:hAnsi="Arial"/>
          <w:sz w:val="18"/>
          <w:szCs w:val="18"/>
          <w:color w:val="auto"/>
        </w:rPr>
        <w:t>eligible to participate in Sabre’s employee benefit plans, policies and other compensation and perquisite programs as may be</w:t>
      </w:r>
    </w:p>
    <w:p>
      <w:pPr>
        <w:ind w:left="580"/>
        <w:spacing w:after="0" w:line="229" w:lineRule="auto"/>
        <w:rPr>
          <w:sz w:val="20"/>
          <w:szCs w:val="20"/>
          <w:color w:val="auto"/>
        </w:rPr>
      </w:pPr>
      <w:r>
        <w:rPr>
          <w:rFonts w:ascii="Arial" w:cs="Arial" w:eastAsia="Arial" w:hAnsi="Arial"/>
          <w:sz w:val="18"/>
          <w:szCs w:val="18"/>
          <w:color w:val="auto"/>
        </w:rPr>
        <w:t>in effect from time to time. Mr. Ekert will continue to be eligible to participate in the Executive Severance Plan as a Level 1</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Employee. Mr. Ekert is also subject to the terms of an Executive Confidentiality and Restrictive Covenants Agreement.</w:t>
      </w:r>
    </w:p>
    <w:p>
      <w:pPr>
        <w:spacing w:after="0" w:line="26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80"/>
        <w:spacing w:after="0" w:line="242" w:lineRule="auto"/>
        <w:rPr>
          <w:sz w:val="20"/>
          <w:szCs w:val="20"/>
          <w:color w:val="auto"/>
        </w:rPr>
      </w:pPr>
      <w:r>
        <w:rPr>
          <w:rFonts w:ascii="Arial" w:cs="Arial" w:eastAsia="Arial" w:hAnsi="Arial"/>
          <w:sz w:val="18"/>
          <w:szCs w:val="18"/>
          <w:color w:val="auto"/>
        </w:rPr>
        <w:t>Any termination of employment of our named executive officers is governed by the Executive Severance Plan. The Executive Severance Plan is designed to provide post-employment compensation payments and benefits that approximate the termination benefits that our executive officers with employment agreements were entitled to receive under their respective agreements. See “Compensation Discussion and Analysis—Post-Employment Compensation.”</w:t>
      </w:r>
    </w:p>
    <w:p>
      <w:pPr>
        <w:spacing w:after="0" w:line="154" w:lineRule="exact"/>
        <w:rPr>
          <w:sz w:val="20"/>
          <w:szCs w:val="20"/>
          <w:color w:val="auto"/>
        </w:rPr>
      </w:pPr>
    </w:p>
    <w:p>
      <w:pPr>
        <w:ind w:left="580" w:right="100"/>
        <w:spacing w:after="0" w:line="239" w:lineRule="auto"/>
        <w:rPr>
          <w:sz w:val="20"/>
          <w:szCs w:val="20"/>
          <w:color w:val="auto"/>
        </w:rPr>
      </w:pPr>
      <w:r>
        <w:rPr>
          <w:rFonts w:ascii="Arial" w:cs="Arial" w:eastAsia="Arial" w:hAnsi="Arial"/>
          <w:sz w:val="18"/>
          <w:szCs w:val="18"/>
          <w:color w:val="auto"/>
        </w:rPr>
        <w:t>The estimated potential payments and benefits payable to each of the named executive officers in the event of a termination of employment as of December 31, 2022 are described below. 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w:t>
      </w:r>
    </w:p>
    <w:p>
      <w:pPr>
        <w:spacing w:after="0" w:line="95"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39" w:lineRule="exact"/>
        <w:rPr>
          <w:sz w:val="20"/>
          <w:szCs w:val="20"/>
          <w:color w:val="auto"/>
        </w:rPr>
      </w:pPr>
    </w:p>
    <w:p>
      <w:pPr>
        <w:ind w:left="580"/>
        <w:spacing w:after="0" w:line="235" w:lineRule="auto"/>
        <w:rPr>
          <w:sz w:val="20"/>
          <w:szCs w:val="20"/>
          <w:color w:val="auto"/>
        </w:rPr>
      </w:pPr>
      <w:r>
        <w:rPr>
          <w:rFonts w:ascii="Arial" w:cs="Arial" w:eastAsia="Arial" w:hAnsi="Arial"/>
          <w:sz w:val="18"/>
          <w:szCs w:val="18"/>
          <w:color w:val="auto"/>
        </w:rPr>
        <w:t>factors that could affect the amounts payable include the named executive officer’s base salary and the market price of the shares of our common stock. Although we have entered into written arrangements to provide these payments and benefits to these named executive officers in connection with a termination of employment under particular circumstances, we, or an acquirer, may mutually agree with our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held. For more information about our named executive officers outstanding equity awards as of December 31, 2022, see “2022 Outstanding Equity Awards at Fiscal Year-End Table” above.</w:t>
      </w:r>
    </w:p>
    <w:p>
      <w:pPr>
        <w:spacing w:after="0" w:line="159" w:lineRule="exact"/>
        <w:rPr>
          <w:sz w:val="20"/>
          <w:szCs w:val="20"/>
          <w:color w:val="auto"/>
        </w:rPr>
      </w:pPr>
    </w:p>
    <w:p>
      <w:pPr>
        <w:jc w:val="both"/>
        <w:ind w:left="580" w:right="40"/>
        <w:spacing w:after="0" w:line="248" w:lineRule="auto"/>
        <w:rPr>
          <w:sz w:val="20"/>
          <w:szCs w:val="20"/>
          <w:color w:val="auto"/>
        </w:rPr>
      </w:pPr>
      <w:r>
        <w:rPr>
          <w:rFonts w:ascii="Arial" w:cs="Arial" w:eastAsia="Arial" w:hAnsi="Arial"/>
          <w:sz w:val="18"/>
          <w:szCs w:val="18"/>
          <w:color w:val="auto"/>
        </w:rPr>
        <w:t>Along with the payments and benefits described in these named executive officers’ individual post-employment compensation arrangements, these executive officers are eligible to receive any benefits accrued under our broad-based benefit plans, such as accrued vacation pay, in accordance with the terms of those plans and policies.</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Executive Severance Plan</w:t>
      </w:r>
    </w:p>
    <w:p>
      <w:pPr>
        <w:spacing w:after="0" w:line="88" w:lineRule="exact"/>
        <w:rPr>
          <w:sz w:val="20"/>
          <w:szCs w:val="20"/>
          <w:color w:val="auto"/>
        </w:rPr>
      </w:pPr>
    </w:p>
    <w:p>
      <w:pPr>
        <w:ind w:left="580" w:right="100"/>
        <w:spacing w:after="0" w:line="239" w:lineRule="auto"/>
        <w:rPr>
          <w:sz w:val="20"/>
          <w:szCs w:val="20"/>
          <w:color w:val="auto"/>
        </w:rPr>
      </w:pPr>
      <w:r>
        <w:rPr>
          <w:rFonts w:ascii="Arial" w:cs="Arial" w:eastAsia="Arial" w:hAnsi="Arial"/>
          <w:sz w:val="18"/>
          <w:szCs w:val="18"/>
          <w:color w:val="auto"/>
        </w:rPr>
        <w:t>Effective January 1, 2018, the Board of Directors adopted the Executive Severance Plan for key executives, including our named executive officers. Under the Executive Severance Plan, participants are eligible to receive certain payments and benefits in the event of a termination of their employment by Sabre without “cause” or a termination of employment by the participant for “good reason,” as well as upon “disability” (as each of these terms is defined in the Executive Severance Plan) and death.</w:t>
      </w:r>
    </w:p>
    <w:p>
      <w:pPr>
        <w:spacing w:after="0" w:line="156" w:lineRule="exact"/>
        <w:rPr>
          <w:sz w:val="20"/>
          <w:szCs w:val="20"/>
          <w:color w:val="auto"/>
        </w:rPr>
      </w:pPr>
    </w:p>
    <w:p>
      <w:pPr>
        <w:ind w:left="580" w:right="80"/>
        <w:spacing w:after="0" w:line="245" w:lineRule="auto"/>
        <w:rPr>
          <w:sz w:val="20"/>
          <w:szCs w:val="20"/>
          <w:color w:val="auto"/>
        </w:rPr>
      </w:pPr>
      <w:r>
        <w:rPr>
          <w:rFonts w:ascii="Arial" w:cs="Arial" w:eastAsia="Arial" w:hAnsi="Arial"/>
          <w:sz w:val="18"/>
          <w:szCs w:val="18"/>
          <w:color w:val="auto"/>
        </w:rPr>
        <w:t>In the event of a termination by Sabre without “cause” or by a participant for “good reason,” the participant, upon execution of a general release of liability against Sabre and subject to compliance with applicable post-termination restrictive covenants and other obligations, will generally be eligible to receive:</w:t>
      </w:r>
    </w:p>
    <w:p>
      <w:pPr>
        <w:spacing w:after="0" w:line="71" w:lineRule="exact"/>
        <w:rPr>
          <w:sz w:val="20"/>
          <w:szCs w:val="20"/>
          <w:color w:val="auto"/>
        </w:rPr>
      </w:pPr>
    </w:p>
    <w:p>
      <w:pPr>
        <w:ind w:left="780" w:right="20" w:hanging="200"/>
        <w:spacing w:after="0" w:line="182" w:lineRule="auto"/>
        <w:tabs>
          <w:tab w:leader="none" w:pos="780" w:val="left"/>
        </w:tabs>
        <w:numPr>
          <w:ilvl w:val="0"/>
          <w:numId w:val="69"/>
        </w:numPr>
        <w:rPr>
          <w:rFonts w:ascii="Arial" w:cs="Arial" w:eastAsia="Arial" w:hAnsi="Arial"/>
          <w:sz w:val="46"/>
          <w:szCs w:val="46"/>
          <w:color w:val="auto"/>
          <w:vertAlign w:val="subscript"/>
        </w:rPr>
      </w:pPr>
      <w:r>
        <w:rPr>
          <w:rFonts w:ascii="Arial" w:cs="Arial" w:eastAsia="Arial" w:hAnsi="Arial"/>
          <w:sz w:val="18"/>
          <w:szCs w:val="18"/>
          <w:color w:val="auto"/>
        </w:rPr>
        <w:t>for a participant designated as a Level 1 Employee, an amount equal to 200% of the sum of his or her then-current annual base salary and 110% of the participant’s target incentive opportunity for the prior year (paid in installments over a period of 24 months following the date of termination), and for a participant designated as a Level 2 Employee, an amount equal to 150% of the sum of his or her then-current annual base salary and 110% of the participant’s target incentive opportunity for the prior year (paid in installments over a period of 18 months following the date of termination), and</w:t>
      </w:r>
    </w:p>
    <w:p>
      <w:pPr>
        <w:spacing w:after="0" w:line="71" w:lineRule="exact"/>
        <w:rPr>
          <w:rFonts w:ascii="Arial" w:cs="Arial" w:eastAsia="Arial" w:hAnsi="Arial"/>
          <w:sz w:val="46"/>
          <w:szCs w:val="46"/>
          <w:color w:val="auto"/>
          <w:vertAlign w:val="subscript"/>
        </w:rPr>
      </w:pPr>
    </w:p>
    <w:p>
      <w:pPr>
        <w:ind w:left="780" w:right="160" w:hanging="200"/>
        <w:spacing w:after="0" w:line="182" w:lineRule="auto"/>
        <w:tabs>
          <w:tab w:leader="none" w:pos="780" w:val="left"/>
        </w:tabs>
        <w:numPr>
          <w:ilvl w:val="0"/>
          <w:numId w:val="69"/>
        </w:numPr>
        <w:rPr>
          <w:rFonts w:ascii="Arial" w:cs="Arial" w:eastAsia="Arial" w:hAnsi="Arial"/>
          <w:sz w:val="46"/>
          <w:szCs w:val="46"/>
          <w:color w:val="auto"/>
          <w:vertAlign w:val="subscript"/>
        </w:rPr>
      </w:pPr>
      <w:r>
        <w:rPr>
          <w:rFonts w:ascii="Arial" w:cs="Arial" w:eastAsia="Arial" w:hAnsi="Arial"/>
          <w:sz w:val="18"/>
          <w:szCs w:val="18"/>
          <w:color w:val="auto"/>
        </w:rPr>
        <w:t>continued medical, dental, and vision insurance coverage for the participant and his or her eligible dependents for the 24-month period (for a Level 1 Employee) or for the 18-month period (for a Level 2 Employee) following the date of termination, and senior executive level outplacement services for a period of one year; provided, however, that if the participant becomes re-employed and eligible to receive health insurance benefits under another employer-provided plan, the continued insurance coverage will terminate.</w:t>
      </w:r>
    </w:p>
    <w:p>
      <w:pPr>
        <w:spacing w:after="0" w:line="158" w:lineRule="exact"/>
        <w:rPr>
          <w:sz w:val="20"/>
          <w:szCs w:val="20"/>
          <w:color w:val="auto"/>
        </w:rPr>
      </w:pPr>
    </w:p>
    <w:p>
      <w:pPr>
        <w:ind w:left="580" w:right="20"/>
        <w:spacing w:after="0" w:line="237" w:lineRule="auto"/>
        <w:rPr>
          <w:sz w:val="20"/>
          <w:szCs w:val="20"/>
          <w:color w:val="auto"/>
        </w:rPr>
      </w:pPr>
      <w:r>
        <w:rPr>
          <w:rFonts w:ascii="Arial" w:cs="Arial" w:eastAsia="Arial" w:hAnsi="Arial"/>
          <w:sz w:val="18"/>
          <w:szCs w:val="18"/>
          <w:color w:val="auto"/>
        </w:rPr>
        <w:t>In the case of the participant’s death or disability (as well as in the event of a termination of employment by us without “cause” or by the participant for “good reason”), the participant will be eligible to receive (i) his or her base salary through the date of termination, (ii) reimbursement of any unreimbursed business expenses properly incurred prior to the date of termination that are subject to reimbursement, (iii) payment for vacation time accrued as of the date of termination but unused, in accordance with our vacation policy as in effect as of the date of termination, and (iv) an amount equal to any accrued but unpaid annual incentive for the immediately preceding year. The same amounts, except for the amount of</w:t>
      </w:r>
    </w:p>
    <w:p>
      <w:pPr>
        <w:spacing w:after="0" w:line="97"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84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194310</wp:posOffset>
            </wp:positionV>
            <wp:extent cx="1593850" cy="1492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93850" cy="149225"/>
                    </a:xfrm>
                    <a:prstGeom prst="rect">
                      <a:avLst/>
                    </a:prstGeom>
                    <a:noFill/>
                  </pic:spPr>
                </pic:pic>
              </a:graphicData>
            </a:graphic>
          </wp:anchor>
        </w:drawing>
      </w:r>
    </w:p>
    <w:p>
      <w:pPr>
        <w:spacing w:after="0" w:line="31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FFFFFF"/>
        </w:rPr>
        <w:t>EXECUTIVE COMPENSATION</w:t>
      </w:r>
    </w:p>
    <w:p>
      <w:pPr>
        <w:spacing w:after="0" w:line="239" w:lineRule="exact"/>
        <w:rPr>
          <w:sz w:val="20"/>
          <w:szCs w:val="20"/>
          <w:color w:val="auto"/>
        </w:rPr>
      </w:pPr>
    </w:p>
    <w:p>
      <w:pPr>
        <w:ind w:left="580" w:right="380"/>
        <w:spacing w:after="0" w:line="267" w:lineRule="auto"/>
        <w:rPr>
          <w:sz w:val="20"/>
          <w:szCs w:val="20"/>
          <w:color w:val="auto"/>
        </w:rPr>
      </w:pPr>
      <w:r>
        <w:rPr>
          <w:rFonts w:ascii="Arial" w:cs="Arial" w:eastAsia="Arial" w:hAnsi="Arial"/>
          <w:sz w:val="18"/>
          <w:szCs w:val="18"/>
          <w:color w:val="auto"/>
        </w:rPr>
        <w:t>any accrued but unpaid annual incentive for the immediately preceding year, are payable to the participant in the event of (A) a termination of employment by us for cause or (B) a voluntary termination of employment by the participant.</w:t>
      </w:r>
    </w:p>
    <w:p>
      <w:pPr>
        <w:spacing w:after="0" w:line="133" w:lineRule="exact"/>
        <w:rPr>
          <w:sz w:val="20"/>
          <w:szCs w:val="20"/>
          <w:color w:val="auto"/>
        </w:rPr>
      </w:pPr>
    </w:p>
    <w:p>
      <w:pPr>
        <w:ind w:left="580" w:right="660"/>
        <w:spacing w:after="0" w:line="267" w:lineRule="auto"/>
        <w:rPr>
          <w:sz w:val="20"/>
          <w:szCs w:val="20"/>
          <w:color w:val="auto"/>
        </w:rPr>
      </w:pPr>
      <w:r>
        <w:rPr>
          <w:rFonts w:ascii="Arial" w:cs="Arial" w:eastAsia="Arial" w:hAnsi="Arial"/>
          <w:sz w:val="18"/>
          <w:szCs w:val="18"/>
          <w:color w:val="auto"/>
        </w:rPr>
        <w:t>Our Chair of the Board and CEO and our President have been designated as Level 1 Employees and each of Sabre’s Executive Vice Presidents have been designated as Level 2 Employees under the Executive Severance Plan.</w:t>
      </w:r>
    </w:p>
    <w:p>
      <w:pPr>
        <w:spacing w:after="0" w:line="133" w:lineRule="exact"/>
        <w:rPr>
          <w:sz w:val="20"/>
          <w:szCs w:val="20"/>
          <w:color w:val="auto"/>
        </w:rPr>
      </w:pPr>
    </w:p>
    <w:p>
      <w:pPr>
        <w:ind w:left="580" w:right="420"/>
        <w:spacing w:after="0" w:line="267" w:lineRule="auto"/>
        <w:rPr>
          <w:sz w:val="20"/>
          <w:szCs w:val="20"/>
          <w:color w:val="auto"/>
        </w:rPr>
      </w:pPr>
      <w:r>
        <w:rPr>
          <w:rFonts w:ascii="Arial" w:cs="Arial" w:eastAsia="Arial" w:hAnsi="Arial"/>
          <w:sz w:val="18"/>
          <w:szCs w:val="18"/>
          <w:color w:val="auto"/>
        </w:rPr>
        <w:t>Mr. Ekert’s offer letter provides that the failure to appoint him as Chief Executive Officer if/when the next time the position becomes available, whenever that may be, will constitute “Good Reason” (as defined in the Executive Severance Plan).</w:t>
      </w:r>
    </w:p>
    <w:p>
      <w:pPr>
        <w:spacing w:after="0" w:line="133"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As discussed above, Mr. Menke and Mr. Ekert are eligible for certain severance payments and benefits; see “—Information on Employment Agreements and Offer Letters.”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Equity Awards</w:t>
      </w:r>
    </w:p>
    <w:p>
      <w:pPr>
        <w:spacing w:after="0" w:line="88" w:lineRule="exact"/>
        <w:rPr>
          <w:sz w:val="20"/>
          <w:szCs w:val="20"/>
          <w:color w:val="auto"/>
        </w:rPr>
      </w:pPr>
    </w:p>
    <w:p>
      <w:pPr>
        <w:ind w:left="580" w:right="200"/>
        <w:spacing w:after="0" w:line="253" w:lineRule="auto"/>
        <w:rPr>
          <w:sz w:val="20"/>
          <w:szCs w:val="20"/>
          <w:color w:val="auto"/>
        </w:rPr>
      </w:pPr>
      <w:r>
        <w:rPr>
          <w:rFonts w:ascii="Arial" w:cs="Arial" w:eastAsia="Arial" w:hAnsi="Arial"/>
          <w:sz w:val="18"/>
          <w:szCs w:val="18"/>
          <w:color w:val="auto"/>
        </w:rPr>
        <w:t>Generally, under our 2014 Omnibus Plan, our 2016 Omnibus Plan, our 2019 Omnibus Plan, and our 2021 Omnibus Plan, in the event of a termination of employment:</w:t>
      </w:r>
    </w:p>
    <w:p>
      <w:pPr>
        <w:spacing w:after="0" w:line="70" w:lineRule="exact"/>
        <w:rPr>
          <w:sz w:val="20"/>
          <w:szCs w:val="20"/>
          <w:color w:val="auto"/>
        </w:rPr>
      </w:pPr>
    </w:p>
    <w:p>
      <w:pPr>
        <w:ind w:left="780" w:right="480" w:hanging="200"/>
        <w:spacing w:after="0" w:line="186" w:lineRule="auto"/>
        <w:tabs>
          <w:tab w:leader="none" w:pos="780" w:val="left"/>
        </w:tabs>
        <w:numPr>
          <w:ilvl w:val="0"/>
          <w:numId w:val="70"/>
        </w:numPr>
        <w:rPr>
          <w:rFonts w:ascii="Arial" w:cs="Arial" w:eastAsia="Arial" w:hAnsi="Arial"/>
          <w:sz w:val="34"/>
          <w:szCs w:val="34"/>
          <w:color w:val="auto"/>
          <w:vertAlign w:val="subscript"/>
        </w:rPr>
      </w:pPr>
      <w:r>
        <w:rPr>
          <w:rFonts w:ascii="Arial" w:cs="Arial" w:eastAsia="Arial" w:hAnsi="Arial"/>
          <w:sz w:val="15"/>
          <w:szCs w:val="15"/>
          <w:color w:val="auto"/>
        </w:rPr>
        <w:t>all outstanding unvested time-based options to purchase shares of our common stock and other unvested time-based equity awards (and awards where all restrictions have not lapsed) expire, and</w:t>
      </w:r>
    </w:p>
    <w:p>
      <w:pPr>
        <w:spacing w:after="0" w:line="70" w:lineRule="exact"/>
        <w:rPr>
          <w:rFonts w:ascii="Arial" w:cs="Arial" w:eastAsia="Arial" w:hAnsi="Arial"/>
          <w:sz w:val="34"/>
          <w:szCs w:val="34"/>
          <w:color w:val="auto"/>
          <w:vertAlign w:val="subscript"/>
        </w:rPr>
      </w:pPr>
    </w:p>
    <w:p>
      <w:pPr>
        <w:ind w:left="780" w:right="380" w:hanging="200"/>
        <w:spacing w:after="0" w:line="181" w:lineRule="auto"/>
        <w:tabs>
          <w:tab w:leader="none" w:pos="780" w:val="left"/>
        </w:tabs>
        <w:numPr>
          <w:ilvl w:val="0"/>
          <w:numId w:val="70"/>
        </w:numPr>
        <w:rPr>
          <w:rFonts w:ascii="Arial" w:cs="Arial" w:eastAsia="Arial" w:hAnsi="Arial"/>
          <w:sz w:val="39"/>
          <w:szCs w:val="39"/>
          <w:color w:val="auto"/>
          <w:vertAlign w:val="subscript"/>
        </w:rPr>
      </w:pPr>
      <w:r>
        <w:rPr>
          <w:rFonts w:ascii="Arial" w:cs="Arial" w:eastAsia="Arial" w:hAnsi="Arial"/>
          <w:sz w:val="17"/>
          <w:szCs w:val="17"/>
          <w:color w:val="auto"/>
        </w:rPr>
        <w:t>all outstanding vested and unexercised options to purchase shares of our common stock may continue to be exercised within 90 days following the date of the termination of employment, other than a termination for cause (extended to a one-year period if the termination of employment is due to disability or death).</w:t>
      </w:r>
    </w:p>
    <w:p>
      <w:pPr>
        <w:spacing w:after="0" w:line="158" w:lineRule="exact"/>
        <w:rPr>
          <w:sz w:val="20"/>
          <w:szCs w:val="20"/>
          <w:color w:val="auto"/>
        </w:rPr>
      </w:pPr>
    </w:p>
    <w:p>
      <w:pPr>
        <w:ind w:left="580"/>
        <w:spacing w:after="0" w:line="236" w:lineRule="auto"/>
        <w:rPr>
          <w:sz w:val="20"/>
          <w:szCs w:val="20"/>
          <w:color w:val="auto"/>
        </w:rPr>
      </w:pPr>
      <w:r>
        <w:rPr>
          <w:rFonts w:ascii="Arial" w:cs="Arial" w:eastAsia="Arial" w:hAnsi="Arial"/>
          <w:sz w:val="18"/>
          <w:szCs w:val="18"/>
          <w:color w:val="auto"/>
        </w:rPr>
        <w:t>Further, under our 2014 Omnibus Plan, our 2016 Omnibus Plan, our 2019 Omnibus Plan, and our 2021 Omnibus Plan, except as otherwise provided in the award agreement, if following a change in control of Sabre, an executive officer’s employment is terminated by us for any reason other than “cause” or he or she terminates his or her employment for “good reason,” or if following a change in control of Sabre, the outstanding awards are not assumed, continued, or substituted by the surviving corporation, then all restrictions applicable to awards granted under the 2014 Omnibus Plan, our 2016 Omnibus Plan, our 2019 Omnibus Plan, and our 2021 Omnibus Plan will lapse as of the time of the change in control, and any unvested award will become fully exercisable and vested as of the time of the change in control.</w:t>
      </w:r>
    </w:p>
    <w:p>
      <w:pPr>
        <w:spacing w:after="0" w:line="158" w:lineRule="exact"/>
        <w:rPr>
          <w:sz w:val="20"/>
          <w:szCs w:val="20"/>
          <w:color w:val="auto"/>
        </w:rPr>
      </w:pPr>
    </w:p>
    <w:p>
      <w:pPr>
        <w:ind w:left="580" w:right="80"/>
        <w:spacing w:after="0" w:line="241" w:lineRule="auto"/>
        <w:rPr>
          <w:sz w:val="20"/>
          <w:szCs w:val="20"/>
          <w:color w:val="auto"/>
        </w:rPr>
      </w:pPr>
      <w:r>
        <w:rPr>
          <w:rFonts w:ascii="Arial" w:cs="Arial" w:eastAsia="Arial" w:hAnsi="Arial"/>
          <w:sz w:val="18"/>
          <w:szCs w:val="18"/>
          <w:color w:val="auto"/>
        </w:rPr>
        <w:t>The terms of the 2022 grant agreements under the 2021 Omnibus Plan provide that, except in the case of “retirement” of the executive officer, if awards and grants are assumed and if following a change in control of Sabre (for a one-year period under the terms of the 2022 grant agreements), an executive officer’s employment is terminated by us for any reason other than “cause” or he or she terminates his or her employment for “good reason”:</w:t>
      </w:r>
    </w:p>
    <w:p>
      <w:pPr>
        <w:spacing w:after="0" w:line="71" w:lineRule="exact"/>
        <w:rPr>
          <w:sz w:val="20"/>
          <w:szCs w:val="20"/>
          <w:color w:val="auto"/>
        </w:rPr>
      </w:pPr>
    </w:p>
    <w:p>
      <w:pPr>
        <w:ind w:left="780" w:right="480" w:hanging="200"/>
        <w:spacing w:after="0" w:line="186" w:lineRule="auto"/>
        <w:tabs>
          <w:tab w:leader="none" w:pos="780" w:val="left"/>
        </w:tabs>
        <w:numPr>
          <w:ilvl w:val="0"/>
          <w:numId w:val="71"/>
        </w:numPr>
        <w:rPr>
          <w:rFonts w:ascii="Arial" w:cs="Arial" w:eastAsia="Arial" w:hAnsi="Arial"/>
          <w:sz w:val="34"/>
          <w:szCs w:val="34"/>
          <w:color w:val="auto"/>
          <w:vertAlign w:val="subscript"/>
        </w:rPr>
      </w:pPr>
      <w:r>
        <w:rPr>
          <w:rFonts w:ascii="Arial" w:cs="Arial" w:eastAsia="Arial" w:hAnsi="Arial"/>
          <w:sz w:val="15"/>
          <w:szCs w:val="15"/>
          <w:color w:val="auto"/>
        </w:rPr>
        <w:t>any shares of our common stock subject to restricted stock unit awards will vest in full following the executive officer’s termination of employment and</w:t>
      </w:r>
    </w:p>
    <w:p>
      <w:pPr>
        <w:spacing w:after="0" w:line="70" w:lineRule="exact"/>
        <w:rPr>
          <w:rFonts w:ascii="Arial" w:cs="Arial" w:eastAsia="Arial" w:hAnsi="Arial"/>
          <w:sz w:val="34"/>
          <w:szCs w:val="34"/>
          <w:color w:val="auto"/>
          <w:vertAlign w:val="subscript"/>
        </w:rPr>
      </w:pPr>
    </w:p>
    <w:p>
      <w:pPr>
        <w:ind w:left="780" w:right="140" w:hanging="200"/>
        <w:spacing w:after="0" w:line="186" w:lineRule="auto"/>
        <w:tabs>
          <w:tab w:leader="none" w:pos="780" w:val="left"/>
        </w:tabs>
        <w:numPr>
          <w:ilvl w:val="0"/>
          <w:numId w:val="71"/>
        </w:numPr>
        <w:rPr>
          <w:rFonts w:ascii="Arial" w:cs="Arial" w:eastAsia="Arial" w:hAnsi="Arial"/>
          <w:sz w:val="34"/>
          <w:szCs w:val="34"/>
          <w:color w:val="auto"/>
          <w:vertAlign w:val="subscript"/>
        </w:rPr>
      </w:pPr>
      <w:r>
        <w:rPr>
          <w:rFonts w:ascii="Arial" w:cs="Arial" w:eastAsia="Arial" w:hAnsi="Arial"/>
          <w:sz w:val="15"/>
          <w:szCs w:val="15"/>
          <w:color w:val="auto"/>
        </w:rPr>
        <w:t>any shares of our common stock subject to restricted stock unit awards with performance metrics will vest on based on an assumed attainment level of 100% following the executive officer’s termination of employment.</w:t>
      </w:r>
    </w:p>
    <w:p>
      <w:pPr>
        <w:spacing w:after="0" w:line="157"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In the event of the “retirement” of the executive officer, the terms of the 2022 PSU grant agreements under the 2021 Omnibus Plan provide that any eligible RSU installments (as defined in the grant</w:t>
      </w:r>
    </w:p>
    <w:p>
      <w:pPr>
        <w:spacing w:after="0" w:line="72"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39" w:lineRule="exact"/>
        <w:rPr>
          <w:sz w:val="20"/>
          <w:szCs w:val="20"/>
          <w:color w:val="auto"/>
        </w:rPr>
      </w:pPr>
    </w:p>
    <w:p>
      <w:pPr>
        <w:ind w:left="580" w:right="280"/>
        <w:spacing w:after="0" w:line="239" w:lineRule="auto"/>
        <w:rPr>
          <w:sz w:val="20"/>
          <w:szCs w:val="20"/>
          <w:color w:val="auto"/>
        </w:rPr>
      </w:pPr>
      <w:r>
        <w:rPr>
          <w:rFonts w:ascii="Arial" w:cs="Arial" w:eastAsia="Arial" w:hAnsi="Arial"/>
          <w:sz w:val="18"/>
          <w:szCs w:val="18"/>
          <w:color w:val="auto"/>
        </w:rPr>
        <w:t>agreement) that would have vested on the first and second vesting dates immediately following such termination had the participant’s employment continued through such date will vest on the applicable vesting date. “Retirement” means a voluntary or involuntary termination of employment, not for “cause,” at a minimum age of 60 with no less than five years of continuous employment, and with the sum of the executive’s age and number of years of continuous employment being no less than 70.</w:t>
      </w:r>
    </w:p>
    <w:p>
      <w:pPr>
        <w:spacing w:after="0" w:line="156" w:lineRule="exact"/>
        <w:rPr>
          <w:sz w:val="20"/>
          <w:szCs w:val="20"/>
          <w:color w:val="auto"/>
        </w:rPr>
      </w:pPr>
    </w:p>
    <w:p>
      <w:pPr>
        <w:ind w:left="580" w:right="300"/>
        <w:spacing w:after="0" w:line="248" w:lineRule="auto"/>
        <w:rPr>
          <w:sz w:val="20"/>
          <w:szCs w:val="20"/>
          <w:color w:val="auto"/>
        </w:rPr>
      </w:pPr>
      <w:r>
        <w:rPr>
          <w:rFonts w:ascii="Arial" w:cs="Arial" w:eastAsia="Arial" w:hAnsi="Arial"/>
          <w:sz w:val="18"/>
          <w:szCs w:val="18"/>
          <w:color w:val="auto"/>
        </w:rPr>
        <w:t>In the event of the death of the executive officer, the terms of the 2022 grant agreements under the 2021 Omnibus Plan provide that any shares of our common stock subject to restricted stock unit awards will vest in full, including in the case of awards with performance metrics based on an assumed attainment level of 100%, immediately.</w:t>
      </w:r>
    </w:p>
    <w:p>
      <w:pPr>
        <w:spacing w:after="0" w:line="150" w:lineRule="exact"/>
        <w:rPr>
          <w:sz w:val="20"/>
          <w:szCs w:val="20"/>
          <w:color w:val="auto"/>
        </w:rPr>
      </w:pPr>
    </w:p>
    <w:p>
      <w:pPr>
        <w:ind w:left="580" w:right="620"/>
        <w:spacing w:after="0" w:line="267" w:lineRule="auto"/>
        <w:rPr>
          <w:sz w:val="20"/>
          <w:szCs w:val="20"/>
          <w:color w:val="auto"/>
        </w:rPr>
      </w:pPr>
      <w:r>
        <w:rPr>
          <w:rFonts w:ascii="Arial" w:cs="Arial" w:eastAsia="Arial" w:hAnsi="Arial"/>
          <w:sz w:val="18"/>
          <w:szCs w:val="18"/>
          <w:color w:val="auto"/>
        </w:rPr>
        <w:t>We have entered into certain non-competition agreements with the named executive officers that restrict their ability to compete with us during a specified post-employment period.</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Summary of Estimated Payments and Benefits</w:t>
      </w:r>
    </w:p>
    <w:p>
      <w:pPr>
        <w:spacing w:after="0" w:line="88" w:lineRule="exact"/>
        <w:rPr>
          <w:sz w:val="20"/>
          <w:szCs w:val="20"/>
          <w:color w:val="auto"/>
        </w:rPr>
      </w:pPr>
    </w:p>
    <w:p>
      <w:pPr>
        <w:ind w:left="580" w:right="80"/>
        <w:spacing w:after="0" w:line="237" w:lineRule="auto"/>
        <w:rPr>
          <w:sz w:val="20"/>
          <w:szCs w:val="20"/>
          <w:color w:val="auto"/>
        </w:rPr>
      </w:pPr>
      <w:r>
        <w:rPr>
          <w:rFonts w:ascii="Arial" w:cs="Arial" w:eastAsia="Arial" w:hAnsi="Arial"/>
          <w:sz w:val="18"/>
          <w:szCs w:val="18"/>
          <w:color w:val="auto"/>
        </w:rPr>
        <w:t>The following table summarizes estimated post-employment payments and benefits that would have been payable to the other named executive officers in the event that their employment had been terminated or a change in control of Sabre had occurred as of December 31, 2022. No post-employment compensation is payable to any named executive officer who voluntarily terminates his or her employment with us (other than a voluntary resignation for good reason). The information set forth in the table for the other named executive officers is based on the assumption, in each case, that termination of employment or the change in control of Sabre occurred on December 31, 2022.</w:t>
      </w:r>
    </w:p>
    <w:p>
      <w:pPr>
        <w:spacing w:after="0" w:line="158" w:lineRule="exact"/>
        <w:rPr>
          <w:sz w:val="20"/>
          <w:szCs w:val="20"/>
          <w:color w:val="auto"/>
        </w:rPr>
      </w:pPr>
    </w:p>
    <w:p>
      <w:pPr>
        <w:ind w:left="580" w:right="20"/>
        <w:spacing w:after="0" w:line="242" w:lineRule="auto"/>
        <w:rPr>
          <w:sz w:val="20"/>
          <w:szCs w:val="20"/>
          <w:color w:val="auto"/>
        </w:rPr>
      </w:pPr>
      <w:r>
        <w:rPr>
          <w:rFonts w:ascii="Arial" w:cs="Arial" w:eastAsia="Arial" w:hAnsi="Arial"/>
          <w:sz w:val="18"/>
          <w:szCs w:val="18"/>
          <w:color w:val="auto"/>
        </w:rPr>
        <w:t>The table below provides an estimate for the other named executive officers of the value of accelerated vesting of outstanding and unvested equity awards assuming that a change in control of Sabre and a qualifying termination of employment occurred on December 30, 2022 and assuming a stock price of $6.18 per share, the closing price of a share of our common stock on the Nasdaq Stock Market on December 31, 2022.</w:t>
      </w:r>
    </w:p>
    <w:p>
      <w:pPr>
        <w:spacing w:after="0" w:line="154" w:lineRule="exact"/>
        <w:rPr>
          <w:sz w:val="20"/>
          <w:szCs w:val="20"/>
          <w:color w:val="auto"/>
        </w:rPr>
      </w:pPr>
    </w:p>
    <w:p>
      <w:pPr>
        <w:ind w:left="580"/>
        <w:spacing w:after="0" w:line="231" w:lineRule="auto"/>
        <w:rPr>
          <w:sz w:val="20"/>
          <w:szCs w:val="20"/>
          <w:color w:val="auto"/>
        </w:rPr>
      </w:pPr>
      <w:r>
        <w:rPr>
          <w:rFonts w:ascii="Arial" w:cs="Arial" w:eastAsia="Arial" w:hAnsi="Arial"/>
          <w:sz w:val="18"/>
          <w:szCs w:val="18"/>
          <w:color w:val="auto"/>
        </w:rPr>
        <w:t>On July 27, 2022, the Board of Directors of Sabre also approved Douglas Barnett’s ceasing to be Executive Vice President and Chief Financial Officer of Sabre, Wade Jones’ ceasing to be Executive Vice President and Chief Product Officer, and Cem Tanyel’s ceasing to be Executive Vice President and Chief Services Officer, which were considered to be a qualifying termination (as defined under the Executive Severance Plan). Messrs. Barnett’s, Jones’, and Tanyel’s last days of employment with Sabre were October 31, 2022, September 30, 2022, and September 30, 2022, respectively. In connection with the termination of their employment, Messrs. Barnett, Jones, and Tanyel were each eligible to receive payments for a termination without “cause” (as defined in the Executive Severance Plan) under the terms of the Executive Severance Plan as Level 2 employees. As a result, each of Messrs. Barnett, Jones, and Tanyel were entitled to receive an amount equal to 150% of his annual base salary and 110% of his target incentive opportunity for 2022, or an aggregate of $2,296,197, $ 1,878,480, and $1,438,200, respectively, paid in installments over a period of 18 months following the date of termination. In addition, each is entitled to continued medical, dental, and vision insurance coverage for him and his eligible dependents</w:t>
      </w:r>
    </w:p>
    <w:p>
      <w:pPr>
        <w:spacing w:after="0" w:line="2" w:lineRule="exact"/>
        <w:rPr>
          <w:sz w:val="20"/>
          <w:szCs w:val="20"/>
          <w:color w:val="auto"/>
        </w:rPr>
      </w:pPr>
    </w:p>
    <w:p>
      <w:pPr>
        <w:ind w:left="580" w:right="20"/>
        <w:spacing w:after="0" w:line="234" w:lineRule="auto"/>
        <w:rPr>
          <w:sz w:val="20"/>
          <w:szCs w:val="20"/>
          <w:color w:val="auto"/>
        </w:rPr>
      </w:pPr>
      <w:r>
        <w:rPr>
          <w:rFonts w:ascii="Arial" w:cs="Arial" w:eastAsia="Arial" w:hAnsi="Arial"/>
          <w:sz w:val="18"/>
          <w:szCs w:val="18"/>
          <w:color w:val="auto"/>
        </w:rPr>
        <w:t>for the 18-month period following the date of termination, and senior executive level outplacement services for a period of one year; provided, however, that if he becomes re-employed and eligible to receive health insurance benefits under another employer-provided plan, the continued insurance coverage will terminate. The receipt of these items was subject to Messrs. Barnett’s, Jones’, and Tanyel’s execution of a general release of liability against Sabre and is subject to compliance with applicable post-termination restrictive covenants and other obligations.</w:t>
      </w:r>
    </w:p>
    <w:p>
      <w:pPr>
        <w:spacing w:after="0" w:line="99"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86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194310</wp:posOffset>
            </wp:positionV>
            <wp:extent cx="1593850" cy="1492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93850" cy="149225"/>
                    </a:xfrm>
                    <a:prstGeom prst="rect">
                      <a:avLst/>
                    </a:prstGeom>
                    <a:noFill/>
                  </pic:spPr>
                </pic:pic>
              </a:graphicData>
            </a:graphic>
          </wp:anchor>
        </w:drawing>
      </w:r>
    </w:p>
    <w:p>
      <w:pPr>
        <w:spacing w:after="0" w:line="311"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FFFFFF"/>
        </w:rPr>
        <w:t>EXECUTIVE COMPENSATION</w:t>
      </w:r>
    </w:p>
    <w:p>
      <w:pPr>
        <w:spacing w:after="0" w:line="238" w:lineRule="exact"/>
        <w:rPr>
          <w:sz w:val="20"/>
          <w:szCs w:val="20"/>
          <w:color w:val="auto"/>
        </w:rPr>
      </w:pPr>
    </w:p>
    <w:p>
      <w:pPr>
        <w:ind w:left="580" w:right="420"/>
        <w:spacing w:after="0" w:line="296" w:lineRule="auto"/>
        <w:rPr>
          <w:sz w:val="20"/>
          <w:szCs w:val="20"/>
          <w:color w:val="auto"/>
        </w:rPr>
      </w:pPr>
      <w:r>
        <w:rPr>
          <w:rFonts w:ascii="Arial" w:cs="Arial" w:eastAsia="Arial" w:hAnsi="Arial"/>
          <w:sz w:val="23"/>
          <w:szCs w:val="23"/>
          <w:b w:val="1"/>
          <w:bCs w:val="1"/>
          <w:color w:val="CF0A2C"/>
        </w:rPr>
        <w:t>Potential Payments and Benefits upon Termination of Employment or Change in Control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635</wp:posOffset>
            </wp:positionV>
            <wp:extent cx="6405880" cy="53066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405880" cy="5306695"/>
                    </a:xfrm>
                    <a:prstGeom prst="rect">
                      <a:avLst/>
                    </a:prstGeom>
                    <a:noFill/>
                  </pic:spPr>
                </pic:pic>
              </a:graphicData>
            </a:graphic>
          </wp:anchor>
        </w:drawing>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6240" w:type="dxa"/>
            <w:vAlign w:val="bottom"/>
            <w:shd w:val="clear" w:color="auto" w:fill="666666"/>
          </w:tcPr>
          <w:p>
            <w:pPr>
              <w:spacing w:after="0"/>
              <w:rPr>
                <w:sz w:val="15"/>
                <w:szCs w:val="15"/>
                <w:color w:val="auto"/>
              </w:rPr>
            </w:pPr>
          </w:p>
        </w:tc>
        <w:tc>
          <w:tcPr>
            <w:tcW w:w="940" w:type="dxa"/>
            <w:vAlign w:val="bottom"/>
            <w:shd w:val="clear" w:color="auto" w:fill="666666"/>
          </w:tcPr>
          <w:p>
            <w:pPr>
              <w:spacing w:after="0"/>
              <w:rPr>
                <w:sz w:val="15"/>
                <w:szCs w:val="15"/>
                <w:color w:val="auto"/>
              </w:rPr>
            </w:pPr>
          </w:p>
        </w:tc>
        <w:tc>
          <w:tcPr>
            <w:tcW w:w="1040" w:type="dxa"/>
            <w:vAlign w:val="bottom"/>
            <w:gridSpan w:val="2"/>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Valuation of</w:t>
            </w:r>
          </w:p>
        </w:tc>
        <w:tc>
          <w:tcPr>
            <w:tcW w:w="320" w:type="dxa"/>
            <w:vAlign w:val="bottom"/>
            <w:shd w:val="clear" w:color="auto" w:fill="666666"/>
          </w:tcPr>
          <w:p>
            <w:pPr>
              <w:spacing w:after="0"/>
              <w:rPr>
                <w:sz w:val="15"/>
                <w:szCs w:val="15"/>
                <w:color w:val="auto"/>
              </w:rPr>
            </w:pPr>
          </w:p>
        </w:tc>
        <w:tc>
          <w:tcPr>
            <w:tcW w:w="700" w:type="dxa"/>
            <w:vAlign w:val="bottom"/>
            <w:shd w:val="clear" w:color="auto" w:fill="666666"/>
          </w:tcPr>
          <w:p>
            <w:pPr>
              <w:spacing w:after="0"/>
              <w:rPr>
                <w:sz w:val="15"/>
                <w:szCs w:val="15"/>
                <w:color w:val="auto"/>
              </w:rPr>
            </w:pPr>
          </w:p>
        </w:tc>
        <w:tc>
          <w:tcPr>
            <w:tcW w:w="140" w:type="dxa"/>
            <w:vAlign w:val="bottom"/>
            <w:shd w:val="clear" w:color="auto" w:fill="666666"/>
          </w:tcPr>
          <w:p>
            <w:pPr>
              <w:spacing w:after="0"/>
              <w:rPr>
                <w:sz w:val="15"/>
                <w:szCs w:val="15"/>
                <w:color w:val="auto"/>
              </w:rPr>
            </w:pPr>
          </w:p>
        </w:tc>
        <w:tc>
          <w:tcPr>
            <w:tcW w:w="700" w:type="dxa"/>
            <w:vAlign w:val="bottom"/>
            <w:shd w:val="clear" w:color="auto" w:fill="666666"/>
          </w:tcPr>
          <w:p>
            <w:pPr>
              <w:spacing w:after="0"/>
              <w:rPr>
                <w:sz w:val="15"/>
                <w:szCs w:val="15"/>
                <w:color w:val="auto"/>
              </w:rPr>
            </w:pPr>
          </w:p>
        </w:tc>
      </w:tr>
      <w:tr>
        <w:trPr>
          <w:trHeight w:val="148"/>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spacing w:after="0"/>
              <w:rPr>
                <w:sz w:val="12"/>
                <w:szCs w:val="12"/>
                <w:color w:val="auto"/>
              </w:rPr>
            </w:pPr>
          </w:p>
        </w:tc>
        <w:tc>
          <w:tcPr>
            <w:tcW w:w="1040" w:type="dxa"/>
            <w:vAlign w:val="bottom"/>
            <w:gridSpan w:val="2"/>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Equity Vesting</w:t>
            </w:r>
          </w:p>
        </w:tc>
        <w:tc>
          <w:tcPr>
            <w:tcW w:w="32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48"/>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spacing w:after="0"/>
              <w:rPr>
                <w:sz w:val="12"/>
                <w:szCs w:val="12"/>
                <w:color w:val="auto"/>
              </w:rPr>
            </w:pPr>
          </w:p>
        </w:tc>
        <w:tc>
          <w:tcPr>
            <w:tcW w:w="1040" w:type="dxa"/>
            <w:vAlign w:val="bottom"/>
            <w:gridSpan w:val="2"/>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Acceleration</w:t>
            </w:r>
          </w:p>
        </w:tc>
        <w:tc>
          <w:tcPr>
            <w:tcW w:w="32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48"/>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spacing w:after="0"/>
              <w:rPr>
                <w:sz w:val="12"/>
                <w:szCs w:val="12"/>
                <w:color w:val="auto"/>
              </w:rPr>
            </w:pPr>
          </w:p>
        </w:tc>
        <w:tc>
          <w:tcPr>
            <w:tcW w:w="1040" w:type="dxa"/>
            <w:vAlign w:val="bottom"/>
            <w:gridSpan w:val="2"/>
            <w:shd w:val="clear" w:color="auto" w:fill="666666"/>
          </w:tcPr>
          <w:p>
            <w:pPr>
              <w:ind w:left="220"/>
              <w:spacing w:after="0" w:line="149" w:lineRule="exact"/>
              <w:rPr>
                <w:sz w:val="20"/>
                <w:szCs w:val="20"/>
                <w:color w:val="auto"/>
              </w:rPr>
            </w:pPr>
            <w:r>
              <w:rPr>
                <w:rFonts w:ascii="Arial" w:cs="Arial" w:eastAsia="Arial" w:hAnsi="Arial"/>
                <w:sz w:val="13"/>
                <w:szCs w:val="13"/>
                <w:b w:val="1"/>
                <w:bCs w:val="1"/>
                <w:color w:val="FFFFFF"/>
              </w:rPr>
              <w:t>Assuming</w:t>
            </w:r>
          </w:p>
        </w:tc>
        <w:tc>
          <w:tcPr>
            <w:tcW w:w="32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48"/>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spacing w:after="0"/>
              <w:rPr>
                <w:sz w:val="12"/>
                <w:szCs w:val="12"/>
                <w:color w:val="auto"/>
              </w:rPr>
            </w:pPr>
          </w:p>
        </w:tc>
        <w:tc>
          <w:tcPr>
            <w:tcW w:w="1040" w:type="dxa"/>
            <w:vAlign w:val="bottom"/>
            <w:gridSpan w:val="2"/>
            <w:shd w:val="clear" w:color="auto" w:fill="666666"/>
          </w:tcPr>
          <w:p>
            <w:pPr>
              <w:ind w:left="220"/>
              <w:spacing w:after="0" w:line="149" w:lineRule="exact"/>
              <w:rPr>
                <w:sz w:val="20"/>
                <w:szCs w:val="20"/>
                <w:color w:val="auto"/>
              </w:rPr>
            </w:pPr>
            <w:r>
              <w:rPr>
                <w:rFonts w:ascii="Arial" w:cs="Arial" w:eastAsia="Arial" w:hAnsi="Arial"/>
                <w:sz w:val="13"/>
                <w:szCs w:val="13"/>
                <w:b w:val="1"/>
                <w:bCs w:val="1"/>
                <w:color w:val="FFFFFF"/>
              </w:rPr>
              <w:t>Cash-Out/</w:t>
            </w:r>
          </w:p>
        </w:tc>
        <w:tc>
          <w:tcPr>
            <w:tcW w:w="32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48"/>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jc w:val="center"/>
              <w:ind w:left="14"/>
              <w:spacing w:after="0" w:line="149" w:lineRule="exact"/>
              <w:rPr>
                <w:sz w:val="20"/>
                <w:szCs w:val="20"/>
                <w:color w:val="auto"/>
              </w:rPr>
            </w:pPr>
            <w:r>
              <w:rPr>
                <w:rFonts w:ascii="Arial" w:cs="Arial" w:eastAsia="Arial" w:hAnsi="Arial"/>
                <w:sz w:val="13"/>
                <w:szCs w:val="13"/>
                <w:b w:val="1"/>
                <w:bCs w:val="1"/>
                <w:color w:val="FFFFFF"/>
              </w:rPr>
              <w:t>Severance or</w:t>
            </w:r>
          </w:p>
        </w:tc>
        <w:tc>
          <w:tcPr>
            <w:tcW w:w="1040" w:type="dxa"/>
            <w:vAlign w:val="bottom"/>
            <w:gridSpan w:val="2"/>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w w:val="99"/>
              </w:rPr>
              <w:t>Payment of</w:t>
            </w:r>
          </w:p>
        </w:tc>
        <w:tc>
          <w:tcPr>
            <w:tcW w:w="32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48"/>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jc w:val="center"/>
              <w:ind w:left="14"/>
              <w:spacing w:after="0" w:line="149" w:lineRule="exact"/>
              <w:rPr>
                <w:sz w:val="20"/>
                <w:szCs w:val="20"/>
                <w:color w:val="auto"/>
              </w:rPr>
            </w:pPr>
            <w:r>
              <w:rPr>
                <w:rFonts w:ascii="Arial" w:cs="Arial" w:eastAsia="Arial" w:hAnsi="Arial"/>
                <w:sz w:val="13"/>
                <w:szCs w:val="13"/>
                <w:b w:val="1"/>
                <w:bCs w:val="1"/>
                <w:color w:val="FFFFFF"/>
              </w:rPr>
              <w:t>Multiple of</w:t>
            </w:r>
          </w:p>
        </w:tc>
        <w:tc>
          <w:tcPr>
            <w:tcW w:w="1040" w:type="dxa"/>
            <w:vAlign w:val="bottom"/>
            <w:gridSpan w:val="2"/>
            <w:shd w:val="clear" w:color="auto" w:fill="666666"/>
          </w:tcPr>
          <w:p>
            <w:pPr>
              <w:jc w:val="center"/>
              <w:spacing w:after="0" w:line="149" w:lineRule="exact"/>
              <w:rPr>
                <w:sz w:val="20"/>
                <w:szCs w:val="20"/>
                <w:color w:val="auto"/>
              </w:rPr>
            </w:pPr>
            <w:r>
              <w:rPr>
                <w:rFonts w:ascii="Arial" w:cs="Arial" w:eastAsia="Arial" w:hAnsi="Arial"/>
                <w:sz w:val="13"/>
                <w:szCs w:val="13"/>
                <w:b w:val="1"/>
                <w:bCs w:val="1"/>
                <w:color w:val="FFFFFF"/>
              </w:rPr>
              <w:t>Long-Term</w:t>
            </w:r>
          </w:p>
        </w:tc>
        <w:tc>
          <w:tcPr>
            <w:tcW w:w="32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43"/>
        </w:trPr>
        <w:tc>
          <w:tcPr>
            <w:tcW w:w="6240" w:type="dxa"/>
            <w:vAlign w:val="bottom"/>
            <w:shd w:val="clear" w:color="auto" w:fill="666666"/>
          </w:tcPr>
          <w:p>
            <w:pPr>
              <w:spacing w:after="0"/>
              <w:rPr>
                <w:sz w:val="12"/>
                <w:szCs w:val="12"/>
                <w:color w:val="auto"/>
              </w:rPr>
            </w:pPr>
          </w:p>
        </w:tc>
        <w:tc>
          <w:tcPr>
            <w:tcW w:w="940" w:type="dxa"/>
            <w:vAlign w:val="bottom"/>
            <w:shd w:val="clear" w:color="auto" w:fill="666666"/>
          </w:tcPr>
          <w:p>
            <w:pPr>
              <w:jc w:val="center"/>
              <w:ind w:left="14"/>
              <w:spacing w:after="0" w:line="143" w:lineRule="exact"/>
              <w:rPr>
                <w:sz w:val="20"/>
                <w:szCs w:val="20"/>
                <w:color w:val="auto"/>
              </w:rPr>
            </w:pPr>
            <w:r>
              <w:rPr>
                <w:rFonts w:ascii="Arial" w:cs="Arial" w:eastAsia="Arial" w:hAnsi="Arial"/>
                <w:sz w:val="13"/>
                <w:szCs w:val="13"/>
                <w:b w:val="1"/>
                <w:bCs w:val="1"/>
                <w:color w:val="FFFFFF"/>
              </w:rPr>
              <w:t>Salary and</w:t>
            </w:r>
          </w:p>
        </w:tc>
        <w:tc>
          <w:tcPr>
            <w:tcW w:w="300" w:type="dxa"/>
            <w:vAlign w:val="bottom"/>
            <w:shd w:val="clear" w:color="auto" w:fill="666666"/>
          </w:tcPr>
          <w:p>
            <w:pPr>
              <w:spacing w:after="0"/>
              <w:rPr>
                <w:sz w:val="12"/>
                <w:szCs w:val="12"/>
                <w:color w:val="auto"/>
              </w:rPr>
            </w:pPr>
          </w:p>
        </w:tc>
        <w:tc>
          <w:tcPr>
            <w:tcW w:w="740" w:type="dxa"/>
            <w:vAlign w:val="bottom"/>
            <w:shd w:val="clear" w:color="auto" w:fill="666666"/>
          </w:tcPr>
          <w:p>
            <w:pPr>
              <w:jc w:val="center"/>
              <w:ind w:right="194"/>
              <w:spacing w:after="0" w:line="143" w:lineRule="exact"/>
              <w:rPr>
                <w:sz w:val="20"/>
                <w:szCs w:val="20"/>
                <w:color w:val="auto"/>
              </w:rPr>
            </w:pPr>
            <w:r>
              <w:rPr>
                <w:rFonts w:ascii="Arial" w:cs="Arial" w:eastAsia="Arial" w:hAnsi="Arial"/>
                <w:sz w:val="13"/>
                <w:szCs w:val="13"/>
                <w:b w:val="1"/>
                <w:bCs w:val="1"/>
                <w:color w:val="FFFFFF"/>
              </w:rPr>
              <w:t>Cash</w:t>
            </w:r>
          </w:p>
        </w:tc>
        <w:tc>
          <w:tcPr>
            <w:tcW w:w="1020" w:type="dxa"/>
            <w:vAlign w:val="bottom"/>
            <w:gridSpan w:val="2"/>
            <w:shd w:val="clear" w:color="auto" w:fill="666666"/>
          </w:tcPr>
          <w:p>
            <w:pPr>
              <w:jc w:val="right"/>
              <w:ind w:right="14"/>
              <w:spacing w:after="0" w:line="143" w:lineRule="exact"/>
              <w:rPr>
                <w:sz w:val="20"/>
                <w:szCs w:val="20"/>
                <w:color w:val="auto"/>
              </w:rPr>
            </w:pPr>
            <w:r>
              <w:rPr>
                <w:rFonts w:ascii="Arial" w:cs="Arial" w:eastAsia="Arial" w:hAnsi="Arial"/>
                <w:sz w:val="13"/>
                <w:szCs w:val="13"/>
                <w:b w:val="1"/>
                <w:bCs w:val="1"/>
                <w:color w:val="FFFFFF"/>
              </w:rPr>
              <w:t>Value of Other</w:t>
            </w:r>
          </w:p>
        </w:tc>
        <w:tc>
          <w:tcPr>
            <w:tcW w:w="140" w:type="dxa"/>
            <w:vAlign w:val="bottom"/>
            <w:shd w:val="clear" w:color="auto" w:fill="666666"/>
          </w:tcPr>
          <w:p>
            <w:pPr>
              <w:spacing w:after="0"/>
              <w:rPr>
                <w:sz w:val="12"/>
                <w:szCs w:val="12"/>
                <w:color w:val="auto"/>
              </w:rPr>
            </w:pPr>
          </w:p>
        </w:tc>
        <w:tc>
          <w:tcPr>
            <w:tcW w:w="700" w:type="dxa"/>
            <w:vAlign w:val="bottom"/>
            <w:shd w:val="clear" w:color="auto" w:fill="666666"/>
          </w:tcPr>
          <w:p>
            <w:pPr>
              <w:spacing w:after="0"/>
              <w:rPr>
                <w:sz w:val="12"/>
                <w:szCs w:val="12"/>
                <w:color w:val="auto"/>
              </w:rPr>
            </w:pPr>
          </w:p>
        </w:tc>
      </w:tr>
      <w:tr>
        <w:trPr>
          <w:trHeight w:val="186"/>
        </w:trPr>
        <w:tc>
          <w:tcPr>
            <w:tcW w:w="6240" w:type="dxa"/>
            <w:vAlign w:val="bottom"/>
            <w:shd w:val="clear" w:color="auto" w:fill="666666"/>
          </w:tcPr>
          <w:p>
            <w:pPr>
              <w:spacing w:after="0" w:line="186" w:lineRule="exact"/>
              <w:rPr>
                <w:sz w:val="20"/>
                <w:szCs w:val="20"/>
                <w:color w:val="auto"/>
              </w:rPr>
            </w:pPr>
            <w:r>
              <w:rPr>
                <w:rFonts w:ascii="Arial" w:cs="Arial" w:eastAsia="Arial" w:hAnsi="Arial"/>
                <w:sz w:val="13"/>
                <w:szCs w:val="13"/>
                <w:b w:val="1"/>
                <w:bCs w:val="1"/>
                <w:color w:val="FFFFFF"/>
              </w:rPr>
              <w:t>Name and Triggering Event</w:t>
            </w:r>
            <w:r>
              <w:rPr>
                <w:rFonts w:ascii="Arial" w:cs="Arial" w:eastAsia="Arial" w:hAnsi="Arial"/>
                <w:sz w:val="19"/>
                <w:szCs w:val="19"/>
                <w:b w:val="1"/>
                <w:bCs w:val="1"/>
                <w:color w:val="FFFFFF"/>
                <w:vertAlign w:val="superscript"/>
              </w:rPr>
              <w:t>(1)</w:t>
            </w:r>
          </w:p>
        </w:tc>
        <w:tc>
          <w:tcPr>
            <w:tcW w:w="940" w:type="dxa"/>
            <w:vAlign w:val="bottom"/>
            <w:shd w:val="clear" w:color="auto" w:fill="666666"/>
          </w:tcPr>
          <w:p>
            <w:pPr>
              <w:jc w:val="center"/>
              <w:spacing w:after="0" w:line="186" w:lineRule="exact"/>
              <w:rPr>
                <w:sz w:val="20"/>
                <w:szCs w:val="20"/>
                <w:color w:val="auto"/>
              </w:rPr>
            </w:pPr>
            <w:r>
              <w:rPr>
                <w:rFonts w:ascii="Arial" w:cs="Arial" w:eastAsia="Arial" w:hAnsi="Arial"/>
                <w:sz w:val="13"/>
                <w:szCs w:val="13"/>
                <w:b w:val="1"/>
                <w:bCs w:val="1"/>
                <w:color w:val="FFFFFF"/>
                <w:w w:val="92"/>
              </w:rPr>
              <w:t>Bonus</w:t>
            </w:r>
            <w:r>
              <w:rPr>
                <w:rFonts w:ascii="Arial" w:cs="Arial" w:eastAsia="Arial" w:hAnsi="Arial"/>
                <w:sz w:val="19"/>
                <w:szCs w:val="19"/>
                <w:b w:val="1"/>
                <w:bCs w:val="1"/>
                <w:color w:val="FFFFFF"/>
                <w:w w:val="92"/>
                <w:vertAlign w:val="superscript"/>
              </w:rPr>
              <w:t>(2)</w:t>
            </w:r>
          </w:p>
        </w:tc>
        <w:tc>
          <w:tcPr>
            <w:tcW w:w="1040" w:type="dxa"/>
            <w:vAlign w:val="bottom"/>
            <w:gridSpan w:val="2"/>
            <w:shd w:val="clear" w:color="auto" w:fill="666666"/>
          </w:tcPr>
          <w:p>
            <w:pPr>
              <w:jc w:val="center"/>
              <w:spacing w:after="0" w:line="186" w:lineRule="exact"/>
              <w:rPr>
                <w:sz w:val="20"/>
                <w:szCs w:val="20"/>
                <w:color w:val="auto"/>
              </w:rPr>
            </w:pPr>
            <w:r>
              <w:rPr>
                <w:rFonts w:ascii="Arial" w:cs="Arial" w:eastAsia="Arial" w:hAnsi="Arial"/>
                <w:sz w:val="13"/>
                <w:szCs w:val="13"/>
                <w:b w:val="1"/>
                <w:bCs w:val="1"/>
                <w:color w:val="FFFFFF"/>
                <w:w w:val="97"/>
              </w:rPr>
              <w:t>Incentive</w:t>
            </w:r>
            <w:r>
              <w:rPr>
                <w:rFonts w:ascii="Arial" w:cs="Arial" w:eastAsia="Arial" w:hAnsi="Arial"/>
                <w:sz w:val="19"/>
                <w:szCs w:val="19"/>
                <w:b w:val="1"/>
                <w:bCs w:val="1"/>
                <w:color w:val="FFFFFF"/>
                <w:w w:val="97"/>
                <w:vertAlign w:val="superscript"/>
              </w:rPr>
              <w:t>(3)</w:t>
            </w:r>
          </w:p>
        </w:tc>
        <w:tc>
          <w:tcPr>
            <w:tcW w:w="1020" w:type="dxa"/>
            <w:vAlign w:val="bottom"/>
            <w:gridSpan w:val="2"/>
            <w:shd w:val="clear" w:color="auto" w:fill="666666"/>
          </w:tcPr>
          <w:p>
            <w:pPr>
              <w:jc w:val="right"/>
              <w:ind w:right="134"/>
              <w:spacing w:after="0" w:line="186" w:lineRule="exact"/>
              <w:rPr>
                <w:sz w:val="20"/>
                <w:szCs w:val="20"/>
                <w:color w:val="auto"/>
              </w:rPr>
            </w:pPr>
            <w:r>
              <w:rPr>
                <w:rFonts w:ascii="Arial" w:cs="Arial" w:eastAsia="Arial" w:hAnsi="Arial"/>
                <w:sz w:val="13"/>
                <w:szCs w:val="13"/>
                <w:b w:val="1"/>
                <w:bCs w:val="1"/>
                <w:color w:val="FFFFFF"/>
              </w:rPr>
              <w:t>Benefits</w:t>
            </w:r>
            <w:r>
              <w:rPr>
                <w:rFonts w:ascii="Arial" w:cs="Arial" w:eastAsia="Arial" w:hAnsi="Arial"/>
                <w:sz w:val="19"/>
                <w:szCs w:val="19"/>
                <w:b w:val="1"/>
                <w:bCs w:val="1"/>
                <w:color w:val="FFFFFF"/>
                <w:vertAlign w:val="superscript"/>
              </w:rPr>
              <w:t>(4)</w:t>
            </w:r>
          </w:p>
        </w:tc>
        <w:tc>
          <w:tcPr>
            <w:tcW w:w="140" w:type="dxa"/>
            <w:vAlign w:val="bottom"/>
            <w:shd w:val="clear" w:color="auto" w:fill="666666"/>
          </w:tcPr>
          <w:p>
            <w:pPr>
              <w:spacing w:after="0"/>
              <w:rPr>
                <w:sz w:val="16"/>
                <w:szCs w:val="16"/>
                <w:color w:val="auto"/>
              </w:rPr>
            </w:pPr>
          </w:p>
        </w:tc>
        <w:tc>
          <w:tcPr>
            <w:tcW w:w="700" w:type="dxa"/>
            <w:vAlign w:val="bottom"/>
            <w:shd w:val="clear" w:color="auto" w:fill="666666"/>
          </w:tcPr>
          <w:p>
            <w:pPr>
              <w:jc w:val="right"/>
              <w:ind w:right="174"/>
              <w:spacing w:after="0"/>
              <w:rPr>
                <w:sz w:val="20"/>
                <w:szCs w:val="20"/>
                <w:color w:val="auto"/>
              </w:rPr>
            </w:pPr>
            <w:r>
              <w:rPr>
                <w:rFonts w:ascii="Arial" w:cs="Arial" w:eastAsia="Arial" w:hAnsi="Arial"/>
                <w:sz w:val="13"/>
                <w:szCs w:val="13"/>
                <w:b w:val="1"/>
                <w:bCs w:val="1"/>
                <w:color w:val="FFFFFF"/>
              </w:rPr>
              <w:t>Total</w:t>
            </w:r>
          </w:p>
        </w:tc>
      </w:tr>
      <w:tr>
        <w:trPr>
          <w:trHeight w:val="222"/>
        </w:trPr>
        <w:tc>
          <w:tcPr>
            <w:tcW w:w="6240" w:type="dxa"/>
            <w:vAlign w:val="bottom"/>
          </w:tcPr>
          <w:p>
            <w:pPr>
              <w:spacing w:after="0"/>
              <w:rPr>
                <w:sz w:val="20"/>
                <w:szCs w:val="20"/>
                <w:color w:val="auto"/>
              </w:rPr>
            </w:pPr>
            <w:r>
              <w:rPr>
                <w:rFonts w:ascii="Arial" w:cs="Arial" w:eastAsia="Arial" w:hAnsi="Arial"/>
                <w:sz w:val="13"/>
                <w:szCs w:val="13"/>
                <w:b w:val="1"/>
                <w:bCs w:val="1"/>
                <w:color w:val="auto"/>
              </w:rPr>
              <w:t>Sean Menke</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not in connection with change in control</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$5,300,000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39,338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5,339,338</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in connection with change in control</w:t>
            </w:r>
            <w:r>
              <w:rPr>
                <w:rFonts w:ascii="Arial" w:cs="Arial" w:eastAsia="Arial" w:hAnsi="Arial"/>
                <w:sz w:val="19"/>
                <w:szCs w:val="19"/>
                <w:color w:val="auto"/>
                <w:vertAlign w:val="superscript"/>
              </w:rPr>
              <w:t>(5)(6)</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$5,300,000</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w w:val="98"/>
              </w:rPr>
              <w:t>10,779,558</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39,338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16,118,896</w:t>
            </w:r>
          </w:p>
        </w:tc>
      </w:tr>
      <w:tr>
        <w:trPr>
          <w:trHeight w:val="215"/>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Retirement</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Death</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w w:val="98"/>
              </w:rPr>
              <w:t>10,257,595</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2,000,000</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12,257,595</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Disability</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1,206,706</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1,206,706</w:t>
            </w:r>
          </w:p>
        </w:tc>
      </w:tr>
      <w:tr>
        <w:trPr>
          <w:trHeight w:val="222"/>
        </w:trPr>
        <w:tc>
          <w:tcPr>
            <w:tcW w:w="6240" w:type="dxa"/>
            <w:vAlign w:val="bottom"/>
          </w:tcPr>
          <w:p>
            <w:pPr>
              <w:spacing w:after="0"/>
              <w:rPr>
                <w:sz w:val="20"/>
                <w:szCs w:val="20"/>
                <w:color w:val="auto"/>
              </w:rPr>
            </w:pPr>
            <w:r>
              <w:rPr>
                <w:rFonts w:ascii="Arial" w:cs="Arial" w:eastAsia="Arial" w:hAnsi="Arial"/>
                <w:sz w:val="13"/>
                <w:szCs w:val="13"/>
                <w:b w:val="1"/>
                <w:bCs w:val="1"/>
                <w:color w:val="auto"/>
              </w:rPr>
              <w:t>Michael Randolfi</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not in connection with change in control</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$1,940,250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39,742</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1,979,992</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in connection with change in control</w:t>
            </w:r>
            <w:r>
              <w:rPr>
                <w:rFonts w:ascii="Arial" w:cs="Arial" w:eastAsia="Arial" w:hAnsi="Arial"/>
                <w:sz w:val="19"/>
                <w:szCs w:val="19"/>
                <w:color w:val="auto"/>
                <w:vertAlign w:val="superscript"/>
              </w:rPr>
              <w:t>(5)(6)</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$1,940,250</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1,349,341</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39,742</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3,329,333</w:t>
            </w:r>
          </w:p>
        </w:tc>
      </w:tr>
      <w:tr>
        <w:trPr>
          <w:trHeight w:val="215"/>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Retirement</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Death</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1,349,341</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1,300,000</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2,649,341</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Disability</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500,000</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500,000</w:t>
            </w:r>
          </w:p>
        </w:tc>
      </w:tr>
      <w:tr>
        <w:trPr>
          <w:trHeight w:val="222"/>
        </w:trPr>
        <w:tc>
          <w:tcPr>
            <w:tcW w:w="6240" w:type="dxa"/>
            <w:vAlign w:val="bottom"/>
          </w:tcPr>
          <w:p>
            <w:pPr>
              <w:spacing w:after="0"/>
              <w:rPr>
                <w:sz w:val="20"/>
                <w:szCs w:val="20"/>
                <w:color w:val="auto"/>
              </w:rPr>
            </w:pPr>
            <w:r>
              <w:rPr>
                <w:rFonts w:ascii="Arial" w:cs="Arial" w:eastAsia="Arial" w:hAnsi="Arial"/>
                <w:sz w:val="13"/>
                <w:szCs w:val="13"/>
                <w:b w:val="1"/>
                <w:bCs w:val="1"/>
                <w:color w:val="auto"/>
              </w:rPr>
              <w:t>Kurt Ekert</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not in connection with change in control</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$3,562,501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39,742</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3,602,243</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in connection with change in control</w:t>
            </w:r>
            <w:r>
              <w:rPr>
                <w:rFonts w:ascii="Arial" w:cs="Arial" w:eastAsia="Arial" w:hAnsi="Arial"/>
                <w:sz w:val="19"/>
                <w:szCs w:val="19"/>
                <w:color w:val="auto"/>
                <w:vertAlign w:val="superscript"/>
              </w:rPr>
              <w:t>(5)(6)</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$3,562,501</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2,572,357</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39,742</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6,174,600</w:t>
            </w:r>
          </w:p>
        </w:tc>
      </w:tr>
      <w:tr>
        <w:trPr>
          <w:trHeight w:val="215"/>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Retirement</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Death</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2,572,357</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1,501,000</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4,073,357</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Disability</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539,988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539,988</w:t>
            </w:r>
          </w:p>
        </w:tc>
      </w:tr>
      <w:tr>
        <w:trPr>
          <w:trHeight w:val="222"/>
        </w:trPr>
        <w:tc>
          <w:tcPr>
            <w:tcW w:w="6240" w:type="dxa"/>
            <w:vAlign w:val="bottom"/>
          </w:tcPr>
          <w:p>
            <w:pPr>
              <w:spacing w:after="0"/>
              <w:rPr>
                <w:sz w:val="20"/>
                <w:szCs w:val="20"/>
                <w:color w:val="auto"/>
              </w:rPr>
            </w:pPr>
            <w:r>
              <w:rPr>
                <w:rFonts w:ascii="Arial" w:cs="Arial" w:eastAsia="Arial" w:hAnsi="Arial"/>
                <w:sz w:val="13"/>
                <w:szCs w:val="13"/>
                <w:b w:val="1"/>
                <w:bCs w:val="1"/>
                <w:color w:val="auto"/>
              </w:rPr>
              <w:t>David Moore</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not in connection with change in control</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$1,616,204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37,068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1,653,272</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in connection with change in control</w:t>
            </w:r>
            <w:r>
              <w:rPr>
                <w:rFonts w:ascii="Arial" w:cs="Arial" w:eastAsia="Arial" w:hAnsi="Arial"/>
                <w:sz w:val="19"/>
                <w:szCs w:val="19"/>
                <w:color w:val="auto"/>
                <w:vertAlign w:val="superscript"/>
              </w:rPr>
              <w:t>(5)(6)</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$1,616,204</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1,671,906</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37,068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3,325,178</w:t>
            </w:r>
          </w:p>
        </w:tc>
      </w:tr>
      <w:tr>
        <w:trPr>
          <w:trHeight w:val="215"/>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Retirement</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Death</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1,627,163</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1,087,000</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2,714,163</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Disability</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457,308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457,308</w:t>
            </w:r>
          </w:p>
        </w:tc>
      </w:tr>
      <w:tr>
        <w:trPr>
          <w:trHeight w:val="222"/>
        </w:trPr>
        <w:tc>
          <w:tcPr>
            <w:tcW w:w="6240" w:type="dxa"/>
            <w:vAlign w:val="bottom"/>
          </w:tcPr>
          <w:p>
            <w:pPr>
              <w:spacing w:after="0"/>
              <w:rPr>
                <w:sz w:val="20"/>
                <w:szCs w:val="20"/>
                <w:color w:val="auto"/>
              </w:rPr>
            </w:pPr>
            <w:r>
              <w:rPr>
                <w:rFonts w:ascii="Arial" w:cs="Arial" w:eastAsia="Arial" w:hAnsi="Arial"/>
                <w:sz w:val="13"/>
                <w:szCs w:val="13"/>
                <w:b w:val="1"/>
                <w:bCs w:val="1"/>
                <w:color w:val="auto"/>
              </w:rPr>
              <w:t>Scott Wilson</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not in connection with change in control</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$1,677,192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39,742</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1,716,934</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Involuntary termination in connection with change in control</w:t>
            </w:r>
            <w:r>
              <w:rPr>
                <w:rFonts w:ascii="Arial" w:cs="Arial" w:eastAsia="Arial" w:hAnsi="Arial"/>
                <w:sz w:val="19"/>
                <w:szCs w:val="19"/>
                <w:color w:val="auto"/>
                <w:vertAlign w:val="superscript"/>
              </w:rPr>
              <w:t>(5)(6)</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$1,677,192</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2,286,668</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39,742</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4,003,602</w:t>
            </w:r>
          </w:p>
        </w:tc>
      </w:tr>
      <w:tr>
        <w:trPr>
          <w:trHeight w:val="215"/>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Retirement</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3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Death</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2,286,668</w:t>
            </w: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1,128,000</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3,414,668</w:t>
            </w:r>
          </w:p>
        </w:tc>
      </w:tr>
      <w:tr>
        <w:trPr>
          <w:trHeight w:val="230"/>
        </w:trPr>
        <w:tc>
          <w:tcPr>
            <w:tcW w:w="6240" w:type="dxa"/>
            <w:vAlign w:val="bottom"/>
            <w:shd w:val="clear" w:color="auto" w:fill="E5E5E5"/>
          </w:tcPr>
          <w:p>
            <w:pPr>
              <w:ind w:left="140"/>
              <w:spacing w:after="0"/>
              <w:rPr>
                <w:sz w:val="20"/>
                <w:szCs w:val="20"/>
                <w:color w:val="auto"/>
              </w:rPr>
            </w:pPr>
            <w:r>
              <w:rPr>
                <w:rFonts w:ascii="Arial" w:cs="Arial" w:eastAsia="Arial" w:hAnsi="Arial"/>
                <w:sz w:val="13"/>
                <w:szCs w:val="13"/>
                <w:color w:val="auto"/>
              </w:rPr>
              <w:t>Disability</w:t>
            </w:r>
          </w:p>
        </w:tc>
        <w:tc>
          <w:tcPr>
            <w:tcW w:w="9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1,365,498</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1,365,498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86360</wp:posOffset>
            </wp:positionV>
            <wp:extent cx="70675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06755" cy="7620"/>
                    </a:xfrm>
                    <a:prstGeom prst="rect">
                      <a:avLst/>
                    </a:prstGeom>
                    <a:noFill/>
                  </pic:spPr>
                </pic:pic>
              </a:graphicData>
            </a:graphic>
          </wp:anchor>
        </w:drawing>
      </w:r>
    </w:p>
    <w:p>
      <w:pPr>
        <w:spacing w:after="0" w:line="158" w:lineRule="exact"/>
        <w:rPr>
          <w:sz w:val="20"/>
          <w:szCs w:val="20"/>
          <w:color w:val="auto"/>
        </w:rPr>
      </w:pPr>
    </w:p>
    <w:p>
      <w:pPr>
        <w:ind w:left="980" w:right="60" w:hanging="400"/>
        <w:spacing w:after="0" w:line="250" w:lineRule="auto"/>
        <w:tabs>
          <w:tab w:leader="none" w:pos="9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calculations presented in this table illustrate the estimated payments and benefits that would have been paid to each of the named executive officers had their employment been terminated on December 31, 2022 for each of the following reasons: a termination of employment without cause or a termination of employment by a named executive officer for good reason (including following a change in control of Sabre), retirement, death, or disability. The calculations are based on the closing price of our common stock on December 30, 2022 of $6.18 per share.</w:t>
      </w:r>
    </w:p>
    <w:p>
      <w:pPr>
        <w:spacing w:after="0" w:line="44" w:lineRule="exact"/>
        <w:rPr>
          <w:rFonts w:ascii="Arial" w:cs="Arial" w:eastAsia="Arial" w:hAnsi="Arial"/>
          <w:sz w:val="13"/>
          <w:szCs w:val="13"/>
          <w:color w:val="auto"/>
        </w:rPr>
      </w:pPr>
    </w:p>
    <w:p>
      <w:pPr>
        <w:ind w:left="980" w:right="160" w:hanging="400"/>
        <w:spacing w:after="0" w:line="276" w:lineRule="auto"/>
        <w:tabs>
          <w:tab w:leader="none" w:pos="9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Termination benefits calculated in accordance with the Executive Severance Plan. For purposes of calculating the annual incentive, reflects the base salary in effect as of December 31, 2022.</w:t>
      </w:r>
    </w:p>
    <w:p>
      <w:pPr>
        <w:spacing w:after="0" w:line="27" w:lineRule="exact"/>
        <w:rPr>
          <w:rFonts w:ascii="Arial" w:cs="Arial" w:eastAsia="Arial" w:hAnsi="Arial"/>
          <w:sz w:val="13"/>
          <w:szCs w:val="13"/>
          <w:color w:val="auto"/>
        </w:rPr>
      </w:pPr>
    </w:p>
    <w:p>
      <w:pPr>
        <w:ind w:left="980" w:hanging="400"/>
        <w:spacing w:after="0"/>
        <w:tabs>
          <w:tab w:leader="none" w:pos="9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For purposes of this analysis, assumes the following award information:</w:t>
      </w:r>
    </w:p>
    <w:p>
      <w:pPr>
        <w:spacing w:after="0" w:line="73" w:lineRule="exact"/>
        <w:rPr>
          <w:rFonts w:ascii="Arial" w:cs="Arial" w:eastAsia="Arial" w:hAnsi="Arial"/>
          <w:sz w:val="13"/>
          <w:szCs w:val="13"/>
          <w:color w:val="auto"/>
        </w:rPr>
      </w:pPr>
    </w:p>
    <w:p>
      <w:pPr>
        <w:ind w:left="1180" w:right="60" w:hanging="204"/>
        <w:spacing w:after="0" w:line="181" w:lineRule="auto"/>
        <w:tabs>
          <w:tab w:leader="none" w:pos="1180" w:val="left"/>
        </w:tabs>
        <w:numPr>
          <w:ilvl w:val="1"/>
          <w:numId w:val="72"/>
        </w:numPr>
        <w:rPr>
          <w:rFonts w:ascii="Arial" w:cs="Arial" w:eastAsia="Arial" w:hAnsi="Arial"/>
          <w:sz w:val="32"/>
          <w:szCs w:val="32"/>
          <w:color w:val="CF0A2C"/>
          <w:vertAlign w:val="subscript"/>
        </w:rPr>
      </w:pPr>
      <w:r>
        <w:rPr>
          <w:rFonts w:ascii="Arial" w:cs="Arial" w:eastAsia="Arial" w:hAnsi="Arial"/>
          <w:sz w:val="11"/>
          <w:szCs w:val="11"/>
          <w:color w:val="auto"/>
        </w:rPr>
        <w:t>For Mr. Menke, amount includes the value of (1) outstanding unvested options to purchase 140,140 shares of our common stock, the vesting of which would accelerate, (2) outstanding unvested RSU awards covering 640,548 shares of our common stock, the vesting of which would accelerate, (3) outstanding unvested PSU awards covering 1,103,717 shares of our common stock, the vesting of which would</w:t>
      </w:r>
    </w:p>
    <w:p>
      <w:pPr>
        <w:spacing w:after="0" w:line="100"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530985" cy="1492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30985"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EXECUTIVE COMPENSATION</w:t>
      </w:r>
    </w:p>
    <w:p>
      <w:pPr>
        <w:spacing w:after="0" w:line="252" w:lineRule="exact"/>
        <w:rPr>
          <w:sz w:val="20"/>
          <w:szCs w:val="20"/>
          <w:color w:val="auto"/>
        </w:rPr>
      </w:pPr>
    </w:p>
    <w:p>
      <w:pPr>
        <w:ind w:left="1080" w:right="20"/>
        <w:spacing w:after="0" w:line="276" w:lineRule="auto"/>
        <w:rPr>
          <w:sz w:val="20"/>
          <w:szCs w:val="20"/>
          <w:color w:val="auto"/>
        </w:rPr>
      </w:pPr>
      <w:r>
        <w:rPr>
          <w:rFonts w:ascii="Arial" w:cs="Arial" w:eastAsia="Arial" w:hAnsi="Arial"/>
          <w:sz w:val="13"/>
          <w:szCs w:val="13"/>
          <w:color w:val="auto"/>
        </w:rPr>
        <w:t>accelerate in the event of change in control, and (4) outstanding unvested PSU awards covering 1,019,257 shares of our common stock, the vesting of which would accelerate in the event of death.</w:t>
      </w:r>
    </w:p>
    <w:p>
      <w:pPr>
        <w:sectPr>
          <w:pgSz w:w="11900" w:h="16838" w:orient="portrait"/>
          <w:cols w:equalWidth="0" w:num="1">
            <w:col w:w="10620"/>
          </w:cols>
          <w:pgMar w:left="320" w:top="453" w:right="959" w:bottom="1440" w:gutter="0" w:footer="0" w:header="0"/>
        </w:sectPr>
      </w:pPr>
    </w:p>
    <w:p>
      <w:pPr>
        <w:spacing w:after="0" w:line="9" w:lineRule="exact"/>
        <w:rPr>
          <w:sz w:val="20"/>
          <w:szCs w:val="20"/>
          <w:color w:val="auto"/>
        </w:rPr>
      </w:pPr>
    </w:p>
    <w:p>
      <w:pPr>
        <w:ind w:left="980"/>
        <w:spacing w:after="0"/>
        <w:rPr>
          <w:sz w:val="20"/>
          <w:szCs w:val="20"/>
          <w:color w:val="auto"/>
        </w:rPr>
      </w:pPr>
      <w:r>
        <w:rPr>
          <w:rFonts w:ascii="Arial" w:cs="Arial" w:eastAsia="Arial" w:hAnsi="Arial"/>
          <w:sz w:val="22"/>
          <w:szCs w:val="22"/>
          <w:color w:val="CF0A2C"/>
        </w:rPr>
        <w:t>•</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22"/>
          <w:szCs w:val="22"/>
          <w:color w:val="CF0A2C"/>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For Mr. Randolfi, amount includes the value of (1) outstanding unvested RSU awards covering 109,170 shares of our common stock, the vesting of which would accelerate and (2) outstanding unvested PSU awards covering 109,170 shares of our common stock, the vesting of which would accelerate in the event of change in control and death.</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For Mr. Ekert, amount includes the value of (1) outstanding unvested RSU awards covering 259,826 shares of our common stock, the vesting of which would accelerate and (2) outstanding unvested PSU awards covering 156,413 shares of our common stock, the vesting of which would accelerate in the event of change in control and death.</w:t>
      </w:r>
    </w:p>
    <w:p>
      <w:pPr>
        <w:spacing w:after="0" w:line="50" w:lineRule="exact"/>
        <w:rPr>
          <w:sz w:val="20"/>
          <w:szCs w:val="20"/>
          <w:color w:val="auto"/>
        </w:rPr>
      </w:pPr>
    </w:p>
    <w:p>
      <w:pPr>
        <w:sectPr>
          <w:pgSz w:w="11900" w:h="16838" w:orient="portrait"/>
          <w:cols w:equalWidth="0" w:num="2">
            <w:col w:w="1060" w:space="120"/>
            <w:col w:w="9440"/>
          </w:cols>
          <w:pgMar w:left="320" w:top="453" w:right="959" w:bottom="1440" w:gutter="0" w:footer="0" w:header="0"/>
          <w:type w:val="continuous"/>
        </w:sectPr>
      </w:pPr>
    </w:p>
    <w:p>
      <w:pPr>
        <w:ind w:left="1180" w:right="100" w:hanging="204"/>
        <w:spacing w:after="0" w:line="181" w:lineRule="auto"/>
        <w:tabs>
          <w:tab w:leader="none" w:pos="1180" w:val="left"/>
        </w:tabs>
        <w:numPr>
          <w:ilvl w:val="1"/>
          <w:numId w:val="73"/>
        </w:numPr>
        <w:rPr>
          <w:rFonts w:ascii="Arial" w:cs="Arial" w:eastAsia="Arial" w:hAnsi="Arial"/>
          <w:sz w:val="35"/>
          <w:szCs w:val="35"/>
          <w:color w:val="CF0A2C"/>
          <w:vertAlign w:val="subscript"/>
        </w:rPr>
      </w:pPr>
      <w:r>
        <w:rPr>
          <w:rFonts w:ascii="Arial" w:cs="Arial" w:eastAsia="Arial" w:hAnsi="Arial"/>
          <w:sz w:val="12"/>
          <w:szCs w:val="12"/>
          <w:color w:val="auto"/>
        </w:rPr>
        <w:t>For Mr. Moore, amount includes the value of (1) outstanding unvested options to purchase 26,892 shares of our common stock, the vesting of which would accelerate, (2) outstanding unvested RSU awards covering 85,437 shares of our common stock, the vesting of which would accelerate, (3) outstanding unvested PSU awards covering 85,446 shares of our common stock, the vesting of which would accelerate in the event of change in control, and (4) outstanding unvested PSU awards covering 78,206 shares of our common stock, the vesting of which would accelerate in the event of death.</w:t>
      </w:r>
    </w:p>
    <w:p>
      <w:pPr>
        <w:spacing w:after="0" w:line="51" w:lineRule="exact"/>
        <w:rPr>
          <w:rFonts w:ascii="Arial" w:cs="Arial" w:eastAsia="Arial" w:hAnsi="Arial"/>
          <w:sz w:val="35"/>
          <w:szCs w:val="35"/>
          <w:color w:val="CF0A2C"/>
          <w:vertAlign w:val="subscript"/>
        </w:rPr>
      </w:pPr>
    </w:p>
    <w:p>
      <w:pPr>
        <w:ind w:left="1180" w:right="340" w:hanging="204"/>
        <w:spacing w:after="0" w:line="181" w:lineRule="auto"/>
        <w:tabs>
          <w:tab w:leader="none" w:pos="1180" w:val="left"/>
        </w:tabs>
        <w:numPr>
          <w:ilvl w:val="1"/>
          <w:numId w:val="73"/>
        </w:numPr>
        <w:rPr>
          <w:rFonts w:ascii="Arial" w:cs="Arial" w:eastAsia="Arial" w:hAnsi="Arial"/>
          <w:sz w:val="32"/>
          <w:szCs w:val="32"/>
          <w:color w:val="CF0A2C"/>
          <w:vertAlign w:val="subscript"/>
        </w:rPr>
      </w:pPr>
      <w:r>
        <w:rPr>
          <w:rFonts w:ascii="Arial" w:cs="Arial" w:eastAsia="Arial" w:hAnsi="Arial"/>
          <w:sz w:val="11"/>
          <w:szCs w:val="11"/>
          <w:color w:val="auto"/>
        </w:rPr>
        <w:t>For Mr. Wilson, amount includes the value of (1) outstanding unvested options to purchase 50,659 shares of our common stock, the vesting of which would accelerate, (2) outstanding unvested RSU awards covering 103,536 shares of our common stock, the vesting of which would accelerate, and (3) outstanding unvested PSU awards covering 266,475 shares of our common stock, the vesting of which would accelerate in the event of change in control and death.</w:t>
      </w:r>
    </w:p>
    <w:p>
      <w:pPr>
        <w:spacing w:after="0" w:line="50" w:lineRule="exact"/>
        <w:rPr>
          <w:rFonts w:ascii="Arial" w:cs="Arial" w:eastAsia="Arial" w:hAnsi="Arial"/>
          <w:sz w:val="32"/>
          <w:szCs w:val="32"/>
          <w:color w:val="CF0A2C"/>
          <w:vertAlign w:val="subscript"/>
        </w:rPr>
      </w:pPr>
    </w:p>
    <w:p>
      <w:pPr>
        <w:ind w:left="980" w:right="20" w:hanging="400"/>
        <w:spacing w:after="0" w:line="257" w:lineRule="auto"/>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For an involuntary termination of employment, amount includes the value of COBRA benefits and a $15,000 value for outplacement services. For death and disability, amount represents the payment of benefits under Sabre’s group life insurance plan, accidental death and disability plan, or long-term disability plan, as applicable (which are available to all U.S. salaried employees).</w:t>
      </w:r>
    </w:p>
    <w:p>
      <w:pPr>
        <w:spacing w:after="0" w:line="38" w:lineRule="exact"/>
        <w:rPr>
          <w:rFonts w:ascii="Arial" w:cs="Arial" w:eastAsia="Arial" w:hAnsi="Arial"/>
          <w:sz w:val="13"/>
          <w:szCs w:val="13"/>
          <w:color w:val="auto"/>
        </w:rPr>
      </w:pPr>
    </w:p>
    <w:p>
      <w:pPr>
        <w:ind w:left="980" w:right="380" w:hanging="400"/>
        <w:spacing w:after="0" w:line="276" w:lineRule="auto"/>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change-in-control calculations assume that on December 31, 2022 (1) a change in control of Sabre occurred and (2) the employment of each of the named executive officers was terminated without “cause.”</w:t>
      </w:r>
    </w:p>
    <w:p>
      <w:pPr>
        <w:spacing w:after="0" w:line="27" w:lineRule="exact"/>
        <w:rPr>
          <w:rFonts w:ascii="Arial" w:cs="Arial" w:eastAsia="Arial" w:hAnsi="Arial"/>
          <w:sz w:val="13"/>
          <w:szCs w:val="13"/>
          <w:color w:val="auto"/>
        </w:rPr>
      </w:pPr>
    </w:p>
    <w:p>
      <w:pPr>
        <w:ind w:left="980" w:right="240" w:hanging="400"/>
        <w:spacing w:after="0" w:line="250" w:lineRule="auto"/>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potential payments and benefits reflect the maximum amounts that may be paid. Should the actual payments and benefits trigger an excise tax under Section 4999 of the Code, pursuant to such named executive officer’s employment agreement, each will either (1) have his or her payments reduced to the extent necessary to avoid the excise tax or (2) receive the full payment and be subject to the excise tax, whichever results in a better net after-tax benefit to such named executive officer.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340"/>
        <w:spacing w:after="0" w:line="245" w:lineRule="auto"/>
        <w:rPr>
          <w:sz w:val="20"/>
          <w:szCs w:val="20"/>
          <w:color w:val="auto"/>
        </w:rPr>
      </w:pPr>
      <w:r>
        <w:rPr>
          <w:rFonts w:ascii="Arial" w:cs="Arial" w:eastAsia="Arial" w:hAnsi="Arial"/>
          <w:sz w:val="18"/>
          <w:szCs w:val="18"/>
          <w:color w:val="auto"/>
        </w:rPr>
        <w:t>Pursuant to Section 953(b) of the Dodd-Frank Act, we are providing the following information about the relationship of the annual total compensation of our employees (other than our CEO) and the annual total compensation of our CEO, Sean Menke. For 2022:</w:t>
      </w:r>
    </w:p>
    <w:p>
      <w:pPr>
        <w:ind w:left="780" w:hanging="200"/>
        <w:spacing w:after="0" w:line="180" w:lineRule="auto"/>
        <w:tabs>
          <w:tab w:leader="none" w:pos="780" w:val="left"/>
        </w:tabs>
        <w:numPr>
          <w:ilvl w:val="0"/>
          <w:numId w:val="74"/>
        </w:numPr>
        <w:rPr>
          <w:rFonts w:ascii="Arial" w:cs="Arial" w:eastAsia="Arial" w:hAnsi="Arial"/>
          <w:sz w:val="36"/>
          <w:szCs w:val="36"/>
          <w:color w:val="auto"/>
          <w:vertAlign w:val="subscript"/>
        </w:rPr>
      </w:pPr>
      <w:r>
        <w:rPr>
          <w:rFonts w:ascii="Arial" w:cs="Arial" w:eastAsia="Arial" w:hAnsi="Arial"/>
          <w:sz w:val="16"/>
          <w:szCs w:val="16"/>
          <w:color w:val="auto"/>
        </w:rPr>
        <w:t>the annual total compensation of our median employee was $79,199, and</w:t>
      </w:r>
    </w:p>
    <w:p>
      <w:pPr>
        <w:spacing w:after="0" w:line="143" w:lineRule="exact"/>
        <w:rPr>
          <w:rFonts w:ascii="Arial" w:cs="Arial" w:eastAsia="Arial" w:hAnsi="Arial"/>
          <w:sz w:val="36"/>
          <w:szCs w:val="36"/>
          <w:color w:val="auto"/>
          <w:vertAlign w:val="subscript"/>
        </w:rPr>
      </w:pPr>
    </w:p>
    <w:p>
      <w:pPr>
        <w:ind w:left="780" w:right="640" w:hanging="200"/>
        <w:spacing w:after="0" w:line="186" w:lineRule="auto"/>
        <w:tabs>
          <w:tab w:leader="none" w:pos="780" w:val="left"/>
        </w:tabs>
        <w:numPr>
          <w:ilvl w:val="0"/>
          <w:numId w:val="74"/>
        </w:numPr>
        <w:rPr>
          <w:rFonts w:ascii="Arial" w:cs="Arial" w:eastAsia="Arial" w:hAnsi="Arial"/>
          <w:sz w:val="34"/>
          <w:szCs w:val="34"/>
          <w:color w:val="auto"/>
          <w:vertAlign w:val="subscript"/>
        </w:rPr>
      </w:pPr>
      <w:r>
        <w:rPr>
          <w:rFonts w:ascii="Arial" w:cs="Arial" w:eastAsia="Arial" w:hAnsi="Arial"/>
          <w:sz w:val="15"/>
          <w:szCs w:val="15"/>
          <w:color w:val="auto"/>
        </w:rPr>
        <w:t>the annual total compensation of our CEO, as reported in the 2022 Summary Compensation Table and adjusted as described below, was $9,771,335.</w:t>
      </w:r>
    </w:p>
    <w:p>
      <w:pPr>
        <w:spacing w:after="0" w:line="157" w:lineRule="exact"/>
        <w:rPr>
          <w:sz w:val="20"/>
          <w:szCs w:val="20"/>
          <w:color w:val="auto"/>
        </w:rPr>
      </w:pPr>
    </w:p>
    <w:p>
      <w:pPr>
        <w:ind w:left="580" w:right="60"/>
        <w:spacing w:after="0" w:line="239" w:lineRule="auto"/>
        <w:rPr>
          <w:sz w:val="20"/>
          <w:szCs w:val="20"/>
          <w:color w:val="auto"/>
        </w:rPr>
      </w:pPr>
      <w:r>
        <w:rPr>
          <w:rFonts w:ascii="Arial" w:cs="Arial" w:eastAsia="Arial" w:hAnsi="Arial"/>
          <w:sz w:val="18"/>
          <w:szCs w:val="18"/>
          <w:color w:val="auto"/>
        </w:rPr>
        <w:t>Based on this information, for 2022 we estimate the ratio of the annual total compensation of our CEO to the annual total compensation of our median employee was 123 to 1. This ratio is a reasonable estimate calculated in a manner consistent with Item 402(u) of Regulation S-K. As explained by the SEC when it adopted Item 402(u), the rule was designed to allow stockholders to better understand and assess our compensation practices and pay ratio disclosures rather than to facilitate a comparison of this information from one company to another.</w:t>
      </w:r>
    </w:p>
    <w:p>
      <w:pPr>
        <w:spacing w:after="0" w:line="156" w:lineRule="exact"/>
        <w:rPr>
          <w:sz w:val="20"/>
          <w:szCs w:val="20"/>
          <w:color w:val="auto"/>
        </w:rPr>
      </w:pPr>
    </w:p>
    <w:p>
      <w:pPr>
        <w:ind w:left="580"/>
        <w:spacing w:after="0" w:line="233" w:lineRule="auto"/>
        <w:rPr>
          <w:sz w:val="20"/>
          <w:szCs w:val="20"/>
          <w:color w:val="auto"/>
        </w:rPr>
      </w:pPr>
      <w:r>
        <w:rPr>
          <w:rFonts w:ascii="Arial" w:cs="Arial" w:eastAsia="Arial" w:hAnsi="Arial"/>
          <w:sz w:val="18"/>
          <w:szCs w:val="18"/>
          <w:color w:val="auto"/>
        </w:rPr>
        <w:t>In accordance with Item 402(u), we are using the same “median employee” identified in 2020 in our 2022 pay ratio calculation, as we believe that there has been no change in our employee population or employee compensation arrangements that we believe would result in a significant change to our pay ratio disclosure for 2022. See our 2020 proxy statement for information regarding the process we utilized to identify our “median employee.” We then identified and calculated the elements of this employee’s total compensation for 2022 in accordance with the requirements of Item 402(c)(2)</w:t>
      </w:r>
    </w:p>
    <w:p>
      <w:pPr>
        <w:spacing w:after="0" w:line="2" w:lineRule="exact"/>
        <w:rPr>
          <w:sz w:val="20"/>
          <w:szCs w:val="20"/>
          <w:color w:val="auto"/>
        </w:rPr>
      </w:pPr>
    </w:p>
    <w:p>
      <w:pPr>
        <w:ind w:left="580" w:right="20"/>
        <w:spacing w:after="0" w:line="246" w:lineRule="auto"/>
        <w:tabs>
          <w:tab w:leader="none" w:pos="8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 Regulation S-K, resulting in annual total compensation of $79,199. With respect to the annual total compensation of our CEO, we used the amount reported in the “Total” column of our 2022 Summary Compensation Table.</w:t>
      </w:r>
    </w:p>
    <w:p>
      <w:pPr>
        <w:spacing w:after="0" w:line="90"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88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20"/>
          </w:cols>
          <w:pgMar w:left="320" w:top="453" w:right="9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194310</wp:posOffset>
            </wp:positionV>
            <wp:extent cx="1915795" cy="1492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915795" cy="149225"/>
                    </a:xfrm>
                    <a:prstGeom prst="rect">
                      <a:avLst/>
                    </a:prstGeom>
                    <a:noFill/>
                  </pic:spPr>
                </pic:pic>
              </a:graphicData>
            </a:graphic>
          </wp:anchor>
        </w:drawing>
      </w:r>
    </w:p>
    <w:p>
      <w:pPr>
        <w:spacing w:after="0" w:line="311" w:lineRule="exact"/>
        <w:rPr>
          <w:sz w:val="20"/>
          <w:szCs w:val="20"/>
          <w:color w:val="auto"/>
        </w:rPr>
      </w:pPr>
    </w:p>
    <w:p>
      <w:pPr>
        <w:ind w:left="7880"/>
        <w:spacing w:after="0"/>
        <w:rPr>
          <w:sz w:val="20"/>
          <w:szCs w:val="20"/>
          <w:color w:val="auto"/>
        </w:rPr>
      </w:pPr>
      <w:r>
        <w:rPr>
          <w:rFonts w:ascii="Arial" w:cs="Arial" w:eastAsia="Arial" w:hAnsi="Arial"/>
          <w:sz w:val="15"/>
          <w:szCs w:val="15"/>
          <w:b w:val="1"/>
          <w:bCs w:val="1"/>
          <w:color w:val="FFFFFF"/>
        </w:rPr>
        <w:t>PAY-VERSUS-PERFORMANCE TABLE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PAY-VERSUS-PERFORMANCE TABLE</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certain pay-versus-performance information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149225</wp:posOffset>
            </wp:positionV>
            <wp:extent cx="15875" cy="1671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875" cy="16719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149225</wp:posOffset>
            </wp:positionV>
            <wp:extent cx="1562100" cy="1671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62100" cy="167195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149225</wp:posOffset>
            </wp:positionV>
            <wp:extent cx="15875" cy="1671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875" cy="1671955"/>
                    </a:xfrm>
                    <a:prstGeom prst="rect">
                      <a:avLst/>
                    </a:prstGeom>
                    <a:noFill/>
                  </pic:spPr>
                </pic:pic>
              </a:graphicData>
            </a:graphic>
          </wp:anchor>
        </w:drawing>
        <w:drawing>
          <wp:anchor simplePos="0" relativeHeight="251657728" behindDoc="1" locked="0" layoutInCell="0" allowOverlap="1">
            <wp:simplePos x="0" y="0"/>
            <wp:positionH relativeFrom="column">
              <wp:posOffset>2048510</wp:posOffset>
            </wp:positionH>
            <wp:positionV relativeFrom="paragraph">
              <wp:posOffset>149225</wp:posOffset>
            </wp:positionV>
            <wp:extent cx="15875" cy="1671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875" cy="16719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149225</wp:posOffset>
            </wp:positionV>
            <wp:extent cx="15875" cy="1671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875" cy="1671955"/>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149225</wp:posOffset>
            </wp:positionV>
            <wp:extent cx="15875" cy="1671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875" cy="1671955"/>
                    </a:xfrm>
                    <a:prstGeom prst="rect">
                      <a:avLst/>
                    </a:prstGeom>
                    <a:noFill/>
                  </pic:spPr>
                </pic:pic>
              </a:graphicData>
            </a:graphic>
          </wp:anchor>
        </w:drawing>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460" w:type="dxa"/>
            <w:vAlign w:val="bottom"/>
            <w:shd w:val="clear" w:color="auto" w:fill="666666"/>
          </w:tcPr>
          <w:p>
            <w:pPr>
              <w:spacing w:after="0"/>
              <w:rPr>
                <w:sz w:val="14"/>
                <w:szCs w:val="14"/>
                <w:color w:val="auto"/>
              </w:rPr>
            </w:pPr>
          </w:p>
        </w:tc>
        <w:tc>
          <w:tcPr>
            <w:tcW w:w="660" w:type="dxa"/>
            <w:vAlign w:val="bottom"/>
            <w:shd w:val="clear" w:color="auto" w:fill="666666"/>
          </w:tcPr>
          <w:p>
            <w:pPr>
              <w:spacing w:after="0"/>
              <w:rPr>
                <w:sz w:val="14"/>
                <w:szCs w:val="14"/>
                <w:color w:val="auto"/>
              </w:rPr>
            </w:pPr>
          </w:p>
        </w:tc>
        <w:tc>
          <w:tcPr>
            <w:tcW w:w="500" w:type="dxa"/>
            <w:vAlign w:val="bottom"/>
            <w:shd w:val="clear" w:color="auto" w:fill="666666"/>
          </w:tcPr>
          <w:p>
            <w:pPr>
              <w:spacing w:after="0"/>
              <w:rPr>
                <w:sz w:val="14"/>
                <w:szCs w:val="14"/>
                <w:color w:val="auto"/>
              </w:rPr>
            </w:pPr>
          </w:p>
        </w:tc>
        <w:tc>
          <w:tcPr>
            <w:tcW w:w="1060" w:type="dxa"/>
            <w:vAlign w:val="bottom"/>
            <w:shd w:val="clear" w:color="auto" w:fill="666666"/>
          </w:tcPr>
          <w:p>
            <w:pPr>
              <w:spacing w:after="0"/>
              <w:rPr>
                <w:sz w:val="14"/>
                <w:szCs w:val="14"/>
                <w:color w:val="auto"/>
              </w:rPr>
            </w:pP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Average</w:t>
            </w:r>
          </w:p>
        </w:tc>
        <w:tc>
          <w:tcPr>
            <w:tcW w:w="980" w:type="dxa"/>
            <w:vAlign w:val="bottom"/>
            <w:shd w:val="clear" w:color="auto" w:fill="666666"/>
          </w:tcPr>
          <w:p>
            <w:pPr>
              <w:spacing w:after="0"/>
              <w:rPr>
                <w:sz w:val="14"/>
                <w:szCs w:val="14"/>
                <w:color w:val="auto"/>
              </w:rPr>
            </w:pPr>
          </w:p>
        </w:tc>
        <w:tc>
          <w:tcPr>
            <w:tcW w:w="100" w:type="dxa"/>
            <w:vAlign w:val="bottom"/>
            <w:shd w:val="clear" w:color="auto" w:fill="666666"/>
          </w:tcPr>
          <w:p>
            <w:pPr>
              <w:spacing w:after="0"/>
              <w:rPr>
                <w:sz w:val="14"/>
                <w:szCs w:val="14"/>
                <w:color w:val="auto"/>
              </w:rPr>
            </w:pPr>
          </w:p>
        </w:tc>
        <w:tc>
          <w:tcPr>
            <w:tcW w:w="1160" w:type="dxa"/>
            <w:vAlign w:val="bottom"/>
            <w:shd w:val="clear" w:color="auto" w:fill="666666"/>
          </w:tcPr>
          <w:p>
            <w:pPr>
              <w:spacing w:after="0"/>
              <w:rPr>
                <w:sz w:val="14"/>
                <w:szCs w:val="14"/>
                <w:color w:val="auto"/>
              </w:rPr>
            </w:pPr>
          </w:p>
        </w:tc>
        <w:tc>
          <w:tcPr>
            <w:tcW w:w="1180" w:type="dxa"/>
            <w:vAlign w:val="bottom"/>
            <w:shd w:val="clear" w:color="auto" w:fill="666666"/>
          </w:tcPr>
          <w:p>
            <w:pPr>
              <w:spacing w:after="0"/>
              <w:rPr>
                <w:sz w:val="14"/>
                <w:szCs w:val="14"/>
                <w:color w:val="auto"/>
              </w:rPr>
            </w:pPr>
          </w:p>
        </w:tc>
        <w:tc>
          <w:tcPr>
            <w:tcW w:w="740" w:type="dxa"/>
            <w:vAlign w:val="bottom"/>
            <w:shd w:val="clear" w:color="auto" w:fill="666666"/>
          </w:tcPr>
          <w:p>
            <w:pPr>
              <w:spacing w:after="0"/>
              <w:rPr>
                <w:sz w:val="14"/>
                <w:szCs w:val="14"/>
                <w:color w:val="auto"/>
              </w:rPr>
            </w:pPr>
          </w:p>
        </w:tc>
        <w:tc>
          <w:tcPr>
            <w:tcW w:w="740" w:type="dxa"/>
            <w:vAlign w:val="bottom"/>
            <w:shd w:val="clear" w:color="auto" w:fill="666666"/>
          </w:tcPr>
          <w:p>
            <w:pPr>
              <w:spacing w:after="0"/>
              <w:rPr>
                <w:sz w:val="14"/>
                <w:szCs w:val="14"/>
                <w:color w:val="auto"/>
              </w:rPr>
            </w:pPr>
          </w:p>
        </w:tc>
        <w:tc>
          <w:tcPr>
            <w:tcW w:w="1480" w:type="dxa"/>
            <w:vAlign w:val="bottom"/>
            <w:shd w:val="clear" w:color="auto" w:fill="666666"/>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660" w:type="dxa"/>
            <w:vAlign w:val="bottom"/>
            <w:shd w:val="clear" w:color="auto" w:fill="666666"/>
          </w:tcPr>
          <w:p>
            <w:pPr>
              <w:spacing w:after="0"/>
              <w:rPr>
                <w:sz w:val="15"/>
                <w:szCs w:val="15"/>
                <w:color w:val="auto"/>
              </w:rPr>
            </w:pPr>
          </w:p>
        </w:tc>
        <w:tc>
          <w:tcPr>
            <w:tcW w:w="500" w:type="dxa"/>
            <w:vAlign w:val="bottom"/>
            <w:shd w:val="clear" w:color="auto" w:fill="666666"/>
          </w:tcPr>
          <w:p>
            <w:pPr>
              <w:spacing w:after="0"/>
              <w:rPr>
                <w:sz w:val="15"/>
                <w:szCs w:val="15"/>
                <w:color w:val="auto"/>
              </w:rPr>
            </w:pPr>
          </w:p>
        </w:tc>
        <w:tc>
          <w:tcPr>
            <w:tcW w:w="1060" w:type="dxa"/>
            <w:vAlign w:val="bottom"/>
            <w:shd w:val="clear" w:color="auto" w:fill="666666"/>
          </w:tcPr>
          <w:p>
            <w:pPr>
              <w:spacing w:after="0"/>
              <w:rPr>
                <w:sz w:val="15"/>
                <w:szCs w:val="15"/>
                <w:color w:val="auto"/>
              </w:rPr>
            </w:pP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Summary</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Average</w:t>
            </w:r>
          </w:p>
        </w:tc>
        <w:tc>
          <w:tcPr>
            <w:tcW w:w="100" w:type="dxa"/>
            <w:vAlign w:val="bottom"/>
            <w:shd w:val="clear" w:color="auto" w:fill="666666"/>
          </w:tcPr>
          <w:p>
            <w:pPr>
              <w:spacing w:after="0"/>
              <w:rPr>
                <w:sz w:val="15"/>
                <w:szCs w:val="15"/>
                <w:color w:val="auto"/>
              </w:rPr>
            </w:pPr>
          </w:p>
        </w:tc>
        <w:tc>
          <w:tcPr>
            <w:tcW w:w="2340" w:type="dxa"/>
            <w:vAlign w:val="bottom"/>
            <w:gridSpan w:val="2"/>
            <w:vMerge w:val="restart"/>
            <w:shd w:val="clear" w:color="auto" w:fill="666666"/>
          </w:tcPr>
          <w:p>
            <w:pPr>
              <w:jc w:val="right"/>
              <w:ind w:right="249"/>
              <w:spacing w:after="0"/>
              <w:rPr>
                <w:sz w:val="20"/>
                <w:szCs w:val="20"/>
                <w:color w:val="auto"/>
              </w:rPr>
            </w:pPr>
            <w:r>
              <w:rPr>
                <w:rFonts w:ascii="Arial" w:cs="Arial" w:eastAsia="Arial" w:hAnsi="Arial"/>
                <w:sz w:val="15"/>
                <w:szCs w:val="15"/>
                <w:b w:val="1"/>
                <w:bCs w:val="1"/>
                <w:color w:val="FFFFFF"/>
              </w:rPr>
              <w:t>Value of Initial Fixed $100</w:t>
            </w:r>
          </w:p>
        </w:tc>
        <w:tc>
          <w:tcPr>
            <w:tcW w:w="74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1480" w:type="dxa"/>
            <w:vAlign w:val="bottom"/>
            <w:shd w:val="clear" w:color="auto" w:fill="666666"/>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60" w:type="dxa"/>
            <w:vAlign w:val="bottom"/>
            <w:shd w:val="clear" w:color="auto" w:fill="666666"/>
          </w:tcPr>
          <w:p>
            <w:pPr>
              <w:spacing w:after="0"/>
              <w:rPr>
                <w:sz w:val="9"/>
                <w:szCs w:val="9"/>
                <w:color w:val="auto"/>
              </w:rPr>
            </w:pPr>
          </w:p>
        </w:tc>
        <w:tc>
          <w:tcPr>
            <w:tcW w:w="660" w:type="dxa"/>
            <w:vAlign w:val="bottom"/>
            <w:shd w:val="clear" w:color="auto" w:fill="666666"/>
          </w:tcPr>
          <w:p>
            <w:pPr>
              <w:spacing w:after="0"/>
              <w:rPr>
                <w:sz w:val="9"/>
                <w:szCs w:val="9"/>
                <w:color w:val="auto"/>
              </w:rPr>
            </w:pPr>
          </w:p>
        </w:tc>
        <w:tc>
          <w:tcPr>
            <w:tcW w:w="500" w:type="dxa"/>
            <w:vAlign w:val="bottom"/>
            <w:shd w:val="clear" w:color="auto" w:fill="666666"/>
          </w:tcPr>
          <w:p>
            <w:pPr>
              <w:spacing w:after="0"/>
              <w:rPr>
                <w:sz w:val="9"/>
                <w:szCs w:val="9"/>
                <w:color w:val="auto"/>
              </w:rPr>
            </w:pPr>
          </w:p>
        </w:tc>
        <w:tc>
          <w:tcPr>
            <w:tcW w:w="1060" w:type="dxa"/>
            <w:vAlign w:val="bottom"/>
            <w:shd w:val="clear" w:color="auto" w:fill="666666"/>
          </w:tcPr>
          <w:p>
            <w:pPr>
              <w:spacing w:after="0"/>
              <w:rPr>
                <w:sz w:val="9"/>
                <w:szCs w:val="9"/>
                <w:color w:val="auto"/>
              </w:rPr>
            </w:pPr>
          </w:p>
        </w:tc>
        <w:tc>
          <w:tcPr>
            <w:tcW w:w="1020" w:type="dxa"/>
            <w:vAlign w:val="bottom"/>
            <w:vMerge w:val="restart"/>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Compen-</w:t>
            </w:r>
          </w:p>
        </w:tc>
        <w:tc>
          <w:tcPr>
            <w:tcW w:w="980" w:type="dxa"/>
            <w:vAlign w:val="bottom"/>
            <w:vMerge w:val="restart"/>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Compen-</w:t>
            </w:r>
          </w:p>
        </w:tc>
        <w:tc>
          <w:tcPr>
            <w:tcW w:w="100" w:type="dxa"/>
            <w:vAlign w:val="bottom"/>
            <w:shd w:val="clear" w:color="auto" w:fill="666666"/>
          </w:tcPr>
          <w:p>
            <w:pPr>
              <w:spacing w:after="0"/>
              <w:rPr>
                <w:sz w:val="9"/>
                <w:szCs w:val="9"/>
                <w:color w:val="auto"/>
              </w:rPr>
            </w:pPr>
          </w:p>
        </w:tc>
        <w:tc>
          <w:tcPr>
            <w:tcW w:w="2340" w:type="dxa"/>
            <w:vAlign w:val="bottom"/>
            <w:gridSpan w:val="2"/>
            <w:vMerge w:val="continue"/>
            <w:shd w:val="clear" w:color="auto" w:fill="666666"/>
          </w:tcPr>
          <w:p>
            <w:pPr>
              <w:spacing w:after="0"/>
              <w:rPr>
                <w:sz w:val="9"/>
                <w:szCs w:val="9"/>
                <w:color w:val="auto"/>
              </w:rPr>
            </w:pPr>
          </w:p>
        </w:tc>
        <w:tc>
          <w:tcPr>
            <w:tcW w:w="740" w:type="dxa"/>
            <w:vAlign w:val="bottom"/>
            <w:shd w:val="clear" w:color="auto" w:fill="666666"/>
          </w:tcPr>
          <w:p>
            <w:pPr>
              <w:spacing w:after="0"/>
              <w:rPr>
                <w:sz w:val="9"/>
                <w:szCs w:val="9"/>
                <w:color w:val="auto"/>
              </w:rPr>
            </w:pPr>
          </w:p>
        </w:tc>
        <w:tc>
          <w:tcPr>
            <w:tcW w:w="740" w:type="dxa"/>
            <w:vAlign w:val="bottom"/>
            <w:shd w:val="clear" w:color="auto" w:fill="666666"/>
          </w:tcPr>
          <w:p>
            <w:pPr>
              <w:spacing w:after="0"/>
              <w:rPr>
                <w:sz w:val="9"/>
                <w:szCs w:val="9"/>
                <w:color w:val="auto"/>
              </w:rPr>
            </w:pPr>
          </w:p>
        </w:tc>
        <w:tc>
          <w:tcPr>
            <w:tcW w:w="1480" w:type="dxa"/>
            <w:vAlign w:val="bottom"/>
            <w:shd w:val="clear" w:color="auto" w:fill="666666"/>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60" w:type="dxa"/>
            <w:vAlign w:val="bottom"/>
            <w:shd w:val="clear" w:color="auto" w:fill="666666"/>
          </w:tcPr>
          <w:p>
            <w:pPr>
              <w:spacing w:after="0"/>
              <w:rPr>
                <w:sz w:val="5"/>
                <w:szCs w:val="5"/>
                <w:color w:val="auto"/>
              </w:rPr>
            </w:pPr>
          </w:p>
        </w:tc>
        <w:tc>
          <w:tcPr>
            <w:tcW w:w="660" w:type="dxa"/>
            <w:vAlign w:val="bottom"/>
            <w:shd w:val="clear" w:color="auto" w:fill="666666"/>
          </w:tcPr>
          <w:p>
            <w:pPr>
              <w:spacing w:after="0"/>
              <w:rPr>
                <w:sz w:val="5"/>
                <w:szCs w:val="5"/>
                <w:color w:val="auto"/>
              </w:rPr>
            </w:pPr>
          </w:p>
        </w:tc>
        <w:tc>
          <w:tcPr>
            <w:tcW w:w="500" w:type="dxa"/>
            <w:vAlign w:val="bottom"/>
            <w:shd w:val="clear" w:color="auto" w:fill="666666"/>
          </w:tcPr>
          <w:p>
            <w:pPr>
              <w:spacing w:after="0"/>
              <w:rPr>
                <w:sz w:val="5"/>
                <w:szCs w:val="5"/>
                <w:color w:val="auto"/>
              </w:rPr>
            </w:pPr>
          </w:p>
        </w:tc>
        <w:tc>
          <w:tcPr>
            <w:tcW w:w="1060" w:type="dxa"/>
            <w:vAlign w:val="bottom"/>
            <w:shd w:val="clear" w:color="auto" w:fill="666666"/>
          </w:tcPr>
          <w:p>
            <w:pPr>
              <w:spacing w:after="0"/>
              <w:rPr>
                <w:sz w:val="5"/>
                <w:szCs w:val="5"/>
                <w:color w:val="auto"/>
              </w:rPr>
            </w:pPr>
          </w:p>
        </w:tc>
        <w:tc>
          <w:tcPr>
            <w:tcW w:w="1020" w:type="dxa"/>
            <w:vAlign w:val="bottom"/>
            <w:vMerge w:val="continue"/>
            <w:shd w:val="clear" w:color="auto" w:fill="666666"/>
          </w:tcPr>
          <w:p>
            <w:pPr>
              <w:spacing w:after="0"/>
              <w:rPr>
                <w:sz w:val="5"/>
                <w:szCs w:val="5"/>
                <w:color w:val="auto"/>
              </w:rPr>
            </w:pPr>
          </w:p>
        </w:tc>
        <w:tc>
          <w:tcPr>
            <w:tcW w:w="980" w:type="dxa"/>
            <w:vAlign w:val="bottom"/>
            <w:vMerge w:val="continue"/>
            <w:shd w:val="clear" w:color="auto" w:fill="666666"/>
          </w:tcPr>
          <w:p>
            <w:pPr>
              <w:spacing w:after="0"/>
              <w:rPr>
                <w:sz w:val="5"/>
                <w:szCs w:val="5"/>
                <w:color w:val="auto"/>
              </w:rPr>
            </w:pPr>
          </w:p>
        </w:tc>
        <w:tc>
          <w:tcPr>
            <w:tcW w:w="100" w:type="dxa"/>
            <w:vAlign w:val="bottom"/>
            <w:shd w:val="clear" w:color="auto" w:fill="666666"/>
          </w:tcPr>
          <w:p>
            <w:pPr>
              <w:spacing w:after="0"/>
              <w:rPr>
                <w:sz w:val="5"/>
                <w:szCs w:val="5"/>
                <w:color w:val="auto"/>
              </w:rPr>
            </w:pPr>
          </w:p>
        </w:tc>
        <w:tc>
          <w:tcPr>
            <w:tcW w:w="2340" w:type="dxa"/>
            <w:vAlign w:val="bottom"/>
            <w:gridSpan w:val="2"/>
            <w:vMerge w:val="restart"/>
            <w:shd w:val="clear" w:color="auto" w:fill="666666"/>
          </w:tcPr>
          <w:p>
            <w:pPr>
              <w:jc w:val="right"/>
              <w:ind w:right="369"/>
              <w:spacing w:after="0"/>
              <w:rPr>
                <w:sz w:val="20"/>
                <w:szCs w:val="20"/>
                <w:color w:val="auto"/>
              </w:rPr>
            </w:pPr>
            <w:r>
              <w:rPr>
                <w:rFonts w:ascii="Arial" w:cs="Arial" w:eastAsia="Arial" w:hAnsi="Arial"/>
                <w:sz w:val="15"/>
                <w:szCs w:val="15"/>
                <w:b w:val="1"/>
                <w:bCs w:val="1"/>
                <w:color w:val="FFFFFF"/>
              </w:rPr>
              <w:t>Investment Based on:</w:t>
            </w:r>
          </w:p>
        </w:tc>
        <w:tc>
          <w:tcPr>
            <w:tcW w:w="740" w:type="dxa"/>
            <w:vAlign w:val="bottom"/>
            <w:shd w:val="clear" w:color="auto" w:fill="666666"/>
          </w:tcPr>
          <w:p>
            <w:pPr>
              <w:spacing w:after="0"/>
              <w:rPr>
                <w:sz w:val="5"/>
                <w:szCs w:val="5"/>
                <w:color w:val="auto"/>
              </w:rPr>
            </w:pPr>
          </w:p>
        </w:tc>
        <w:tc>
          <w:tcPr>
            <w:tcW w:w="740" w:type="dxa"/>
            <w:vAlign w:val="bottom"/>
            <w:shd w:val="clear" w:color="auto" w:fill="666666"/>
          </w:tcPr>
          <w:p>
            <w:pPr>
              <w:spacing w:after="0"/>
              <w:rPr>
                <w:sz w:val="5"/>
                <w:szCs w:val="5"/>
                <w:color w:val="auto"/>
              </w:rPr>
            </w:pPr>
          </w:p>
        </w:tc>
        <w:tc>
          <w:tcPr>
            <w:tcW w:w="1480" w:type="dxa"/>
            <w:vAlign w:val="bottom"/>
            <w:shd w:val="clear" w:color="auto" w:fill="666666"/>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60" w:type="dxa"/>
            <w:vAlign w:val="bottom"/>
            <w:shd w:val="clear" w:color="auto" w:fill="666666"/>
          </w:tcPr>
          <w:p>
            <w:pPr>
              <w:spacing w:after="0"/>
              <w:rPr>
                <w:sz w:val="11"/>
                <w:szCs w:val="11"/>
                <w:color w:val="auto"/>
              </w:rPr>
            </w:pPr>
          </w:p>
        </w:tc>
        <w:tc>
          <w:tcPr>
            <w:tcW w:w="660" w:type="dxa"/>
            <w:vAlign w:val="bottom"/>
            <w:shd w:val="clear" w:color="auto" w:fill="666666"/>
          </w:tcPr>
          <w:p>
            <w:pPr>
              <w:spacing w:after="0"/>
              <w:rPr>
                <w:sz w:val="11"/>
                <w:szCs w:val="11"/>
                <w:color w:val="auto"/>
              </w:rPr>
            </w:pPr>
          </w:p>
        </w:tc>
        <w:tc>
          <w:tcPr>
            <w:tcW w:w="500" w:type="dxa"/>
            <w:vAlign w:val="bottom"/>
            <w:shd w:val="clear" w:color="auto" w:fill="666666"/>
          </w:tcPr>
          <w:p>
            <w:pPr>
              <w:spacing w:after="0"/>
              <w:rPr>
                <w:sz w:val="11"/>
                <w:szCs w:val="11"/>
                <w:color w:val="auto"/>
              </w:rPr>
            </w:pPr>
          </w:p>
        </w:tc>
        <w:tc>
          <w:tcPr>
            <w:tcW w:w="1060" w:type="dxa"/>
            <w:vAlign w:val="bottom"/>
            <w:shd w:val="clear" w:color="auto" w:fill="666666"/>
          </w:tcPr>
          <w:p>
            <w:pPr>
              <w:spacing w:after="0"/>
              <w:rPr>
                <w:sz w:val="11"/>
                <w:szCs w:val="11"/>
                <w:color w:val="auto"/>
              </w:rPr>
            </w:pPr>
          </w:p>
        </w:tc>
        <w:tc>
          <w:tcPr>
            <w:tcW w:w="1020" w:type="dxa"/>
            <w:vAlign w:val="bottom"/>
            <w:vMerge w:val="restart"/>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sation</w:t>
            </w:r>
          </w:p>
        </w:tc>
        <w:tc>
          <w:tcPr>
            <w:tcW w:w="980" w:type="dxa"/>
            <w:vAlign w:val="bottom"/>
            <w:vMerge w:val="restart"/>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sation</w:t>
            </w:r>
          </w:p>
        </w:tc>
        <w:tc>
          <w:tcPr>
            <w:tcW w:w="100" w:type="dxa"/>
            <w:vAlign w:val="bottom"/>
            <w:shd w:val="clear" w:color="auto" w:fill="666666"/>
          </w:tcPr>
          <w:p>
            <w:pPr>
              <w:spacing w:after="0"/>
              <w:rPr>
                <w:sz w:val="11"/>
                <w:szCs w:val="11"/>
                <w:color w:val="auto"/>
              </w:rPr>
            </w:pPr>
          </w:p>
        </w:tc>
        <w:tc>
          <w:tcPr>
            <w:tcW w:w="2340" w:type="dxa"/>
            <w:vAlign w:val="bottom"/>
            <w:gridSpan w:val="2"/>
            <w:vMerge w:val="continue"/>
            <w:shd w:val="clear" w:color="auto" w:fill="666666"/>
          </w:tcPr>
          <w:p>
            <w:pPr>
              <w:spacing w:after="0"/>
              <w:rPr>
                <w:sz w:val="11"/>
                <w:szCs w:val="11"/>
                <w:color w:val="auto"/>
              </w:rPr>
            </w:pPr>
          </w:p>
        </w:tc>
        <w:tc>
          <w:tcPr>
            <w:tcW w:w="740" w:type="dxa"/>
            <w:vAlign w:val="bottom"/>
            <w:shd w:val="clear" w:color="auto" w:fill="666666"/>
          </w:tcPr>
          <w:p>
            <w:pPr>
              <w:spacing w:after="0"/>
              <w:rPr>
                <w:sz w:val="11"/>
                <w:szCs w:val="11"/>
                <w:color w:val="auto"/>
              </w:rPr>
            </w:pPr>
          </w:p>
        </w:tc>
        <w:tc>
          <w:tcPr>
            <w:tcW w:w="740" w:type="dxa"/>
            <w:vAlign w:val="bottom"/>
            <w:shd w:val="clear" w:color="auto" w:fill="666666"/>
          </w:tcPr>
          <w:p>
            <w:pPr>
              <w:spacing w:after="0"/>
              <w:rPr>
                <w:sz w:val="11"/>
                <w:szCs w:val="11"/>
                <w:color w:val="auto"/>
              </w:rPr>
            </w:pPr>
          </w:p>
        </w:tc>
        <w:tc>
          <w:tcPr>
            <w:tcW w:w="148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60" w:type="dxa"/>
            <w:vAlign w:val="bottom"/>
            <w:shd w:val="clear" w:color="auto" w:fill="666666"/>
          </w:tcPr>
          <w:p>
            <w:pPr>
              <w:spacing w:after="0"/>
              <w:rPr>
                <w:sz w:val="3"/>
                <w:szCs w:val="3"/>
                <w:color w:val="auto"/>
              </w:rPr>
            </w:pPr>
          </w:p>
        </w:tc>
        <w:tc>
          <w:tcPr>
            <w:tcW w:w="660" w:type="dxa"/>
            <w:vAlign w:val="bottom"/>
            <w:shd w:val="clear" w:color="auto" w:fill="666666"/>
          </w:tcPr>
          <w:p>
            <w:pPr>
              <w:spacing w:after="0"/>
              <w:rPr>
                <w:sz w:val="3"/>
                <w:szCs w:val="3"/>
                <w:color w:val="auto"/>
              </w:rPr>
            </w:pPr>
          </w:p>
        </w:tc>
        <w:tc>
          <w:tcPr>
            <w:tcW w:w="500" w:type="dxa"/>
            <w:vAlign w:val="bottom"/>
            <w:shd w:val="clear" w:color="auto" w:fill="666666"/>
          </w:tcPr>
          <w:p>
            <w:pPr>
              <w:spacing w:after="0"/>
              <w:rPr>
                <w:sz w:val="3"/>
                <w:szCs w:val="3"/>
                <w:color w:val="auto"/>
              </w:rPr>
            </w:pPr>
          </w:p>
        </w:tc>
        <w:tc>
          <w:tcPr>
            <w:tcW w:w="1060" w:type="dxa"/>
            <w:vAlign w:val="bottom"/>
            <w:shd w:val="clear" w:color="auto" w:fill="666666"/>
          </w:tcPr>
          <w:p>
            <w:pPr>
              <w:spacing w:after="0"/>
              <w:rPr>
                <w:sz w:val="3"/>
                <w:szCs w:val="3"/>
                <w:color w:val="auto"/>
              </w:rPr>
            </w:pPr>
          </w:p>
        </w:tc>
        <w:tc>
          <w:tcPr>
            <w:tcW w:w="1020" w:type="dxa"/>
            <w:vAlign w:val="bottom"/>
            <w:vMerge w:val="continue"/>
            <w:shd w:val="clear" w:color="auto" w:fill="666666"/>
          </w:tcPr>
          <w:p>
            <w:pPr>
              <w:spacing w:after="0"/>
              <w:rPr>
                <w:sz w:val="3"/>
                <w:szCs w:val="3"/>
                <w:color w:val="auto"/>
              </w:rPr>
            </w:pPr>
          </w:p>
        </w:tc>
        <w:tc>
          <w:tcPr>
            <w:tcW w:w="980" w:type="dxa"/>
            <w:vAlign w:val="bottom"/>
            <w:vMerge w:val="continue"/>
            <w:shd w:val="clear" w:color="auto" w:fill="666666"/>
          </w:tcPr>
          <w:p>
            <w:pPr>
              <w:spacing w:after="0"/>
              <w:rPr>
                <w:sz w:val="3"/>
                <w:szCs w:val="3"/>
                <w:color w:val="auto"/>
              </w:rPr>
            </w:pPr>
          </w:p>
        </w:tc>
        <w:tc>
          <w:tcPr>
            <w:tcW w:w="100" w:type="dxa"/>
            <w:vAlign w:val="bottom"/>
            <w:shd w:val="clear" w:color="auto" w:fill="666666"/>
          </w:tcPr>
          <w:p>
            <w:pPr>
              <w:spacing w:after="0"/>
              <w:rPr>
                <w:sz w:val="3"/>
                <w:szCs w:val="3"/>
                <w:color w:val="auto"/>
              </w:rPr>
            </w:pPr>
          </w:p>
        </w:tc>
        <w:tc>
          <w:tcPr>
            <w:tcW w:w="1160" w:type="dxa"/>
            <w:vAlign w:val="bottom"/>
            <w:shd w:val="clear" w:color="auto" w:fill="666666"/>
          </w:tcPr>
          <w:p>
            <w:pPr>
              <w:spacing w:after="0"/>
              <w:rPr>
                <w:sz w:val="3"/>
                <w:szCs w:val="3"/>
                <w:color w:val="auto"/>
              </w:rPr>
            </w:pPr>
          </w:p>
        </w:tc>
        <w:tc>
          <w:tcPr>
            <w:tcW w:w="1180" w:type="dxa"/>
            <w:vAlign w:val="bottom"/>
            <w:shd w:val="clear" w:color="auto" w:fill="666666"/>
          </w:tcPr>
          <w:p>
            <w:pPr>
              <w:spacing w:after="0"/>
              <w:rPr>
                <w:sz w:val="3"/>
                <w:szCs w:val="3"/>
                <w:color w:val="auto"/>
              </w:rPr>
            </w:pPr>
          </w:p>
        </w:tc>
        <w:tc>
          <w:tcPr>
            <w:tcW w:w="740" w:type="dxa"/>
            <w:vAlign w:val="bottom"/>
            <w:shd w:val="clear" w:color="auto" w:fill="666666"/>
          </w:tcPr>
          <w:p>
            <w:pPr>
              <w:spacing w:after="0"/>
              <w:rPr>
                <w:sz w:val="3"/>
                <w:szCs w:val="3"/>
                <w:color w:val="auto"/>
              </w:rPr>
            </w:pPr>
          </w:p>
        </w:tc>
        <w:tc>
          <w:tcPr>
            <w:tcW w:w="740" w:type="dxa"/>
            <w:vAlign w:val="bottom"/>
            <w:shd w:val="clear" w:color="auto" w:fill="666666"/>
          </w:tcPr>
          <w:p>
            <w:pPr>
              <w:spacing w:after="0"/>
              <w:rPr>
                <w:sz w:val="3"/>
                <w:szCs w:val="3"/>
                <w:color w:val="auto"/>
              </w:rPr>
            </w:pPr>
          </w:p>
        </w:tc>
        <w:tc>
          <w:tcPr>
            <w:tcW w:w="1480" w:type="dxa"/>
            <w:vAlign w:val="bottom"/>
            <w:shd w:val="clear" w:color="auto" w:fill="66666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660" w:type="dxa"/>
            <w:vAlign w:val="bottom"/>
            <w:shd w:val="clear" w:color="auto" w:fill="666666"/>
          </w:tcPr>
          <w:p>
            <w:pPr>
              <w:spacing w:after="0"/>
              <w:rPr>
                <w:sz w:val="15"/>
                <w:szCs w:val="15"/>
                <w:color w:val="auto"/>
              </w:rPr>
            </w:pPr>
          </w:p>
        </w:tc>
        <w:tc>
          <w:tcPr>
            <w:tcW w:w="500" w:type="dxa"/>
            <w:vAlign w:val="bottom"/>
            <w:shd w:val="clear" w:color="auto" w:fill="666666"/>
          </w:tcPr>
          <w:p>
            <w:pPr>
              <w:spacing w:after="0"/>
              <w:rPr>
                <w:sz w:val="15"/>
                <w:szCs w:val="15"/>
                <w:color w:val="auto"/>
              </w:rPr>
            </w:pPr>
          </w:p>
        </w:tc>
        <w:tc>
          <w:tcPr>
            <w:tcW w:w="1060" w:type="dxa"/>
            <w:vAlign w:val="bottom"/>
            <w:shd w:val="clear" w:color="auto" w:fill="666666"/>
          </w:tcPr>
          <w:p>
            <w:pPr>
              <w:spacing w:after="0"/>
              <w:rPr>
                <w:sz w:val="15"/>
                <w:szCs w:val="15"/>
                <w:color w:val="auto"/>
              </w:rPr>
            </w:pP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6"/>
              </w:rPr>
              <w:t>Table</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5"/>
              </w:rPr>
              <w:t>Actually</w:t>
            </w:r>
          </w:p>
        </w:tc>
        <w:tc>
          <w:tcPr>
            <w:tcW w:w="100" w:type="dxa"/>
            <w:vAlign w:val="bottom"/>
            <w:shd w:val="clear" w:color="auto" w:fill="666666"/>
          </w:tcPr>
          <w:p>
            <w:pPr>
              <w:spacing w:after="0"/>
              <w:rPr>
                <w:sz w:val="15"/>
                <w:szCs w:val="15"/>
                <w:color w:val="auto"/>
              </w:rPr>
            </w:pPr>
          </w:p>
        </w:tc>
        <w:tc>
          <w:tcPr>
            <w:tcW w:w="1160" w:type="dxa"/>
            <w:vAlign w:val="bottom"/>
            <w:shd w:val="clear" w:color="auto" w:fill="666666"/>
          </w:tcPr>
          <w:p>
            <w:pPr>
              <w:spacing w:after="0"/>
              <w:rPr>
                <w:sz w:val="15"/>
                <w:szCs w:val="15"/>
                <w:color w:val="auto"/>
              </w:rPr>
            </w:pPr>
          </w:p>
        </w:tc>
        <w:tc>
          <w:tcPr>
            <w:tcW w:w="118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1480" w:type="dxa"/>
            <w:vAlign w:val="bottom"/>
            <w:shd w:val="clear" w:color="auto" w:fill="66666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1160" w:type="dxa"/>
            <w:vAlign w:val="bottom"/>
            <w:gridSpan w:val="2"/>
            <w:shd w:val="clear" w:color="auto" w:fill="666666"/>
          </w:tcPr>
          <w:p>
            <w:pPr>
              <w:jc w:val="center"/>
              <w:ind w:right="80"/>
              <w:spacing w:after="0"/>
              <w:rPr>
                <w:sz w:val="20"/>
                <w:szCs w:val="20"/>
                <w:color w:val="auto"/>
              </w:rPr>
            </w:pPr>
            <w:r>
              <w:rPr>
                <w:rFonts w:ascii="Arial" w:cs="Arial" w:eastAsia="Arial" w:hAnsi="Arial"/>
                <w:sz w:val="15"/>
                <w:szCs w:val="15"/>
                <w:b w:val="1"/>
                <w:bCs w:val="1"/>
                <w:color w:val="FFFFFF"/>
                <w:w w:val="99"/>
              </w:rPr>
              <w:t>Summary</w:t>
            </w:r>
          </w:p>
        </w:tc>
        <w:tc>
          <w:tcPr>
            <w:tcW w:w="1060" w:type="dxa"/>
            <w:vAlign w:val="bottom"/>
            <w:shd w:val="clear" w:color="auto" w:fill="666666"/>
          </w:tcPr>
          <w:p>
            <w:pPr>
              <w:spacing w:after="0"/>
              <w:rPr>
                <w:sz w:val="15"/>
                <w:szCs w:val="15"/>
                <w:color w:val="auto"/>
              </w:rPr>
            </w:pP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6"/>
              </w:rPr>
              <w:t>Total for</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5"/>
              </w:rPr>
              <w:t>Paid to</w:t>
            </w:r>
          </w:p>
        </w:tc>
        <w:tc>
          <w:tcPr>
            <w:tcW w:w="100" w:type="dxa"/>
            <w:vAlign w:val="bottom"/>
            <w:shd w:val="clear" w:color="auto" w:fill="666666"/>
          </w:tcPr>
          <w:p>
            <w:pPr>
              <w:spacing w:after="0"/>
              <w:rPr>
                <w:sz w:val="15"/>
                <w:szCs w:val="15"/>
                <w:color w:val="auto"/>
              </w:rPr>
            </w:pPr>
          </w:p>
        </w:tc>
        <w:tc>
          <w:tcPr>
            <w:tcW w:w="1160" w:type="dxa"/>
            <w:vAlign w:val="bottom"/>
            <w:shd w:val="clear" w:color="auto" w:fill="666666"/>
          </w:tcPr>
          <w:p>
            <w:pPr>
              <w:spacing w:after="0"/>
              <w:rPr>
                <w:sz w:val="15"/>
                <w:szCs w:val="15"/>
                <w:color w:val="auto"/>
              </w:rPr>
            </w:pPr>
          </w:p>
        </w:tc>
        <w:tc>
          <w:tcPr>
            <w:tcW w:w="118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1480" w:type="dxa"/>
            <w:vAlign w:val="bottom"/>
            <w:shd w:val="clear" w:color="auto" w:fill="66666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1160" w:type="dxa"/>
            <w:vAlign w:val="bottom"/>
            <w:gridSpan w:val="2"/>
            <w:shd w:val="clear" w:color="auto" w:fill="666666"/>
          </w:tcPr>
          <w:p>
            <w:pPr>
              <w:jc w:val="center"/>
              <w:ind w:right="80"/>
              <w:spacing w:after="0"/>
              <w:rPr>
                <w:sz w:val="20"/>
                <w:szCs w:val="20"/>
                <w:color w:val="auto"/>
              </w:rPr>
            </w:pPr>
            <w:r>
              <w:rPr>
                <w:rFonts w:ascii="Arial" w:cs="Arial" w:eastAsia="Arial" w:hAnsi="Arial"/>
                <w:sz w:val="15"/>
                <w:szCs w:val="15"/>
                <w:b w:val="1"/>
                <w:bCs w:val="1"/>
                <w:color w:val="FFFFFF"/>
                <w:w w:val="98"/>
              </w:rPr>
              <w:t>Compen-</w:t>
            </w:r>
          </w:p>
        </w:tc>
        <w:tc>
          <w:tcPr>
            <w:tcW w:w="1060" w:type="dxa"/>
            <w:vAlign w:val="bottom"/>
            <w:shd w:val="clear" w:color="auto" w:fill="666666"/>
          </w:tcPr>
          <w:p>
            <w:pPr>
              <w:jc w:val="center"/>
              <w:ind w:right="29"/>
              <w:spacing w:after="0"/>
              <w:rPr>
                <w:sz w:val="20"/>
                <w:szCs w:val="20"/>
                <w:color w:val="auto"/>
              </w:rPr>
            </w:pPr>
            <w:r>
              <w:rPr>
                <w:rFonts w:ascii="Arial" w:cs="Arial" w:eastAsia="Arial" w:hAnsi="Arial"/>
                <w:sz w:val="15"/>
                <w:szCs w:val="15"/>
                <w:b w:val="1"/>
                <w:bCs w:val="1"/>
                <w:color w:val="FFFFFF"/>
                <w:w w:val="98"/>
              </w:rPr>
              <w:t>Compen-</w:t>
            </w: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Non-CEO</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Non-CEO</w:t>
            </w:r>
          </w:p>
        </w:tc>
        <w:tc>
          <w:tcPr>
            <w:tcW w:w="100" w:type="dxa"/>
            <w:vAlign w:val="bottom"/>
            <w:shd w:val="clear" w:color="auto" w:fill="666666"/>
          </w:tcPr>
          <w:p>
            <w:pPr>
              <w:spacing w:after="0"/>
              <w:rPr>
                <w:sz w:val="15"/>
                <w:szCs w:val="15"/>
                <w:color w:val="auto"/>
              </w:rPr>
            </w:pPr>
          </w:p>
        </w:tc>
        <w:tc>
          <w:tcPr>
            <w:tcW w:w="1160" w:type="dxa"/>
            <w:vAlign w:val="bottom"/>
            <w:shd w:val="clear" w:color="auto" w:fill="666666"/>
          </w:tcPr>
          <w:p>
            <w:pPr>
              <w:spacing w:after="0"/>
              <w:rPr>
                <w:sz w:val="15"/>
                <w:szCs w:val="15"/>
                <w:color w:val="auto"/>
              </w:rPr>
            </w:pPr>
          </w:p>
        </w:tc>
        <w:tc>
          <w:tcPr>
            <w:tcW w:w="118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1480" w:type="dxa"/>
            <w:vAlign w:val="bottom"/>
            <w:shd w:val="clear" w:color="auto" w:fill="66666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1160" w:type="dxa"/>
            <w:vAlign w:val="bottom"/>
            <w:gridSpan w:val="2"/>
            <w:shd w:val="clear" w:color="auto" w:fill="666666"/>
          </w:tcPr>
          <w:p>
            <w:pPr>
              <w:jc w:val="center"/>
              <w:ind w:right="80"/>
              <w:spacing w:after="0"/>
              <w:rPr>
                <w:sz w:val="20"/>
                <w:szCs w:val="20"/>
                <w:color w:val="auto"/>
              </w:rPr>
            </w:pPr>
            <w:r>
              <w:rPr>
                <w:rFonts w:ascii="Arial" w:cs="Arial" w:eastAsia="Arial" w:hAnsi="Arial"/>
                <w:sz w:val="15"/>
                <w:szCs w:val="15"/>
                <w:b w:val="1"/>
                <w:bCs w:val="1"/>
                <w:color w:val="FFFFFF"/>
                <w:w w:val="99"/>
              </w:rPr>
              <w:t>sation</w:t>
            </w:r>
          </w:p>
        </w:tc>
        <w:tc>
          <w:tcPr>
            <w:tcW w:w="1060" w:type="dxa"/>
            <w:vAlign w:val="bottom"/>
            <w:shd w:val="clear" w:color="auto" w:fill="666666"/>
          </w:tcPr>
          <w:p>
            <w:pPr>
              <w:jc w:val="center"/>
              <w:ind w:right="29"/>
              <w:spacing w:after="0"/>
              <w:rPr>
                <w:sz w:val="20"/>
                <w:szCs w:val="20"/>
                <w:color w:val="auto"/>
              </w:rPr>
            </w:pPr>
            <w:r>
              <w:rPr>
                <w:rFonts w:ascii="Arial" w:cs="Arial" w:eastAsia="Arial" w:hAnsi="Arial"/>
                <w:sz w:val="15"/>
                <w:szCs w:val="15"/>
                <w:b w:val="1"/>
                <w:bCs w:val="1"/>
                <w:color w:val="FFFFFF"/>
                <w:w w:val="99"/>
              </w:rPr>
              <w:t>sation</w:t>
            </w: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Named</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5"/>
              </w:rPr>
              <w:t>Named</w:t>
            </w:r>
          </w:p>
        </w:tc>
        <w:tc>
          <w:tcPr>
            <w:tcW w:w="100" w:type="dxa"/>
            <w:vAlign w:val="bottom"/>
            <w:shd w:val="clear" w:color="auto" w:fill="666666"/>
          </w:tcPr>
          <w:p>
            <w:pPr>
              <w:spacing w:after="0"/>
              <w:rPr>
                <w:sz w:val="15"/>
                <w:szCs w:val="15"/>
                <w:color w:val="auto"/>
              </w:rPr>
            </w:pPr>
          </w:p>
        </w:tc>
        <w:tc>
          <w:tcPr>
            <w:tcW w:w="1160" w:type="dxa"/>
            <w:vAlign w:val="bottom"/>
            <w:shd w:val="clear" w:color="auto" w:fill="666666"/>
          </w:tcPr>
          <w:p>
            <w:pPr>
              <w:spacing w:after="0"/>
              <w:rPr>
                <w:sz w:val="15"/>
                <w:szCs w:val="15"/>
                <w:color w:val="auto"/>
              </w:rPr>
            </w:pPr>
          </w:p>
        </w:tc>
        <w:tc>
          <w:tcPr>
            <w:tcW w:w="11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rPr>
              <w:t>Peer Group</w:t>
            </w:r>
          </w:p>
        </w:tc>
        <w:tc>
          <w:tcPr>
            <w:tcW w:w="740" w:type="dxa"/>
            <w:vAlign w:val="bottom"/>
            <w:shd w:val="clear" w:color="auto" w:fill="666666"/>
          </w:tcPr>
          <w:p>
            <w:pPr>
              <w:spacing w:after="0"/>
              <w:rPr>
                <w:sz w:val="15"/>
                <w:szCs w:val="15"/>
                <w:color w:val="auto"/>
              </w:rPr>
            </w:pPr>
          </w:p>
        </w:tc>
        <w:tc>
          <w:tcPr>
            <w:tcW w:w="740" w:type="dxa"/>
            <w:vAlign w:val="bottom"/>
            <w:shd w:val="clear" w:color="auto" w:fill="666666"/>
          </w:tcPr>
          <w:p>
            <w:pPr>
              <w:spacing w:after="0"/>
              <w:rPr>
                <w:sz w:val="15"/>
                <w:szCs w:val="15"/>
                <w:color w:val="auto"/>
              </w:rPr>
            </w:pPr>
          </w:p>
        </w:tc>
        <w:tc>
          <w:tcPr>
            <w:tcW w:w="1480" w:type="dxa"/>
            <w:vAlign w:val="bottom"/>
            <w:shd w:val="clear" w:color="auto" w:fill="66666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1160" w:type="dxa"/>
            <w:vAlign w:val="bottom"/>
            <w:gridSpan w:val="2"/>
            <w:shd w:val="clear" w:color="auto" w:fill="666666"/>
          </w:tcPr>
          <w:p>
            <w:pPr>
              <w:jc w:val="center"/>
              <w:ind w:right="60"/>
              <w:spacing w:after="0"/>
              <w:rPr>
                <w:sz w:val="20"/>
                <w:szCs w:val="20"/>
                <w:color w:val="auto"/>
              </w:rPr>
            </w:pPr>
            <w:r>
              <w:rPr>
                <w:rFonts w:ascii="Arial" w:cs="Arial" w:eastAsia="Arial" w:hAnsi="Arial"/>
                <w:sz w:val="15"/>
                <w:szCs w:val="15"/>
                <w:b w:val="1"/>
                <w:bCs w:val="1"/>
                <w:color w:val="FFFFFF"/>
                <w:w w:val="96"/>
              </w:rPr>
              <w:t>Table</w:t>
            </w:r>
          </w:p>
        </w:tc>
        <w:tc>
          <w:tcPr>
            <w:tcW w:w="1060" w:type="dxa"/>
            <w:vAlign w:val="bottom"/>
            <w:shd w:val="clear" w:color="auto" w:fill="666666"/>
          </w:tcPr>
          <w:p>
            <w:pPr>
              <w:jc w:val="center"/>
              <w:ind w:right="9"/>
              <w:spacing w:after="0"/>
              <w:rPr>
                <w:sz w:val="20"/>
                <w:szCs w:val="20"/>
                <w:color w:val="auto"/>
              </w:rPr>
            </w:pPr>
            <w:r>
              <w:rPr>
                <w:rFonts w:ascii="Arial" w:cs="Arial" w:eastAsia="Arial" w:hAnsi="Arial"/>
                <w:sz w:val="15"/>
                <w:szCs w:val="15"/>
                <w:b w:val="1"/>
                <w:bCs w:val="1"/>
                <w:color w:val="FFFFFF"/>
                <w:w w:val="99"/>
              </w:rPr>
              <w:t>Actually</w:t>
            </w: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Executive</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7"/>
              </w:rPr>
              <w:t>Executive</w:t>
            </w:r>
          </w:p>
        </w:tc>
        <w:tc>
          <w:tcPr>
            <w:tcW w:w="100" w:type="dxa"/>
            <w:vAlign w:val="bottom"/>
            <w:shd w:val="clear" w:color="auto" w:fill="666666"/>
          </w:tcPr>
          <w:p>
            <w:pPr>
              <w:spacing w:after="0"/>
              <w:rPr>
                <w:sz w:val="15"/>
                <w:szCs w:val="15"/>
                <w:color w:val="auto"/>
              </w:rPr>
            </w:pPr>
          </w:p>
        </w:tc>
        <w:tc>
          <w:tcPr>
            <w:tcW w:w="1160" w:type="dxa"/>
            <w:vAlign w:val="bottom"/>
            <w:shd w:val="clear" w:color="auto" w:fill="666666"/>
          </w:tcPr>
          <w:p>
            <w:pPr>
              <w:jc w:val="center"/>
              <w:ind w:right="66"/>
              <w:spacing w:after="0"/>
              <w:rPr>
                <w:sz w:val="20"/>
                <w:szCs w:val="20"/>
                <w:color w:val="auto"/>
              </w:rPr>
            </w:pPr>
            <w:r>
              <w:rPr>
                <w:rFonts w:ascii="Arial" w:cs="Arial" w:eastAsia="Arial" w:hAnsi="Arial"/>
                <w:sz w:val="15"/>
                <w:szCs w:val="15"/>
                <w:b w:val="1"/>
                <w:bCs w:val="1"/>
                <w:color w:val="FFFFFF"/>
                <w:w w:val="94"/>
              </w:rPr>
              <w:t>Total</w:t>
            </w:r>
          </w:p>
        </w:tc>
        <w:tc>
          <w:tcPr>
            <w:tcW w:w="11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4"/>
              </w:rPr>
              <w:t>Total</w:t>
            </w:r>
          </w:p>
        </w:tc>
        <w:tc>
          <w:tcPr>
            <w:tcW w:w="1480" w:type="dxa"/>
            <w:vAlign w:val="bottom"/>
            <w:gridSpan w:val="2"/>
            <w:shd w:val="clear" w:color="auto" w:fill="666666"/>
          </w:tcPr>
          <w:p>
            <w:pPr>
              <w:jc w:val="center"/>
              <w:ind w:right="14"/>
              <w:spacing w:after="0"/>
              <w:rPr>
                <w:sz w:val="20"/>
                <w:szCs w:val="20"/>
                <w:color w:val="auto"/>
              </w:rPr>
            </w:pPr>
            <w:r>
              <w:rPr>
                <w:rFonts w:ascii="Arial" w:cs="Arial" w:eastAsia="Arial" w:hAnsi="Arial"/>
                <w:sz w:val="15"/>
                <w:szCs w:val="15"/>
                <w:b w:val="1"/>
                <w:bCs w:val="1"/>
                <w:color w:val="FFFFFF"/>
                <w:w w:val="98"/>
              </w:rPr>
              <w:t>Net Income</w:t>
            </w:r>
          </w:p>
        </w:tc>
        <w:tc>
          <w:tcPr>
            <w:tcW w:w="14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6"/>
              </w:rPr>
              <w:t>Adjusted</w:t>
            </w:r>
          </w:p>
        </w:tc>
        <w:tc>
          <w:tcPr>
            <w:tcW w:w="0" w:type="dxa"/>
            <w:vAlign w:val="bottom"/>
          </w:tcPr>
          <w:p>
            <w:pPr>
              <w:spacing w:after="0"/>
              <w:rPr>
                <w:sz w:val="1"/>
                <w:szCs w:val="1"/>
                <w:color w:val="auto"/>
              </w:rPr>
            </w:pPr>
          </w:p>
        </w:tc>
      </w:tr>
      <w:tr>
        <w:trPr>
          <w:trHeight w:val="173"/>
        </w:trPr>
        <w:tc>
          <w:tcPr>
            <w:tcW w:w="460" w:type="dxa"/>
            <w:vAlign w:val="bottom"/>
            <w:shd w:val="clear" w:color="auto" w:fill="666666"/>
          </w:tcPr>
          <w:p>
            <w:pPr>
              <w:spacing w:after="0"/>
              <w:rPr>
                <w:sz w:val="15"/>
                <w:szCs w:val="15"/>
                <w:color w:val="auto"/>
              </w:rPr>
            </w:pPr>
          </w:p>
        </w:tc>
        <w:tc>
          <w:tcPr>
            <w:tcW w:w="1160" w:type="dxa"/>
            <w:vAlign w:val="bottom"/>
            <w:gridSpan w:val="2"/>
            <w:shd w:val="clear" w:color="auto" w:fill="666666"/>
          </w:tcPr>
          <w:p>
            <w:pPr>
              <w:jc w:val="center"/>
              <w:ind w:right="60"/>
              <w:spacing w:after="0"/>
              <w:rPr>
                <w:sz w:val="20"/>
                <w:szCs w:val="20"/>
                <w:color w:val="auto"/>
              </w:rPr>
            </w:pPr>
            <w:r>
              <w:rPr>
                <w:rFonts w:ascii="Arial" w:cs="Arial" w:eastAsia="Arial" w:hAnsi="Arial"/>
                <w:sz w:val="15"/>
                <w:szCs w:val="15"/>
                <w:b w:val="1"/>
                <w:bCs w:val="1"/>
                <w:color w:val="FFFFFF"/>
                <w:w w:val="96"/>
              </w:rPr>
              <w:t>Total for</w:t>
            </w:r>
          </w:p>
        </w:tc>
        <w:tc>
          <w:tcPr>
            <w:tcW w:w="1060" w:type="dxa"/>
            <w:vAlign w:val="bottom"/>
            <w:shd w:val="clear" w:color="auto" w:fill="666666"/>
          </w:tcPr>
          <w:p>
            <w:pPr>
              <w:jc w:val="center"/>
              <w:ind w:right="9"/>
              <w:spacing w:after="0"/>
              <w:rPr>
                <w:sz w:val="20"/>
                <w:szCs w:val="20"/>
                <w:color w:val="auto"/>
              </w:rPr>
            </w:pPr>
            <w:r>
              <w:rPr>
                <w:rFonts w:ascii="Arial" w:cs="Arial" w:eastAsia="Arial" w:hAnsi="Arial"/>
                <w:sz w:val="15"/>
                <w:szCs w:val="15"/>
                <w:b w:val="1"/>
                <w:bCs w:val="1"/>
                <w:color w:val="FFFFFF"/>
                <w:w w:val="99"/>
              </w:rPr>
              <w:t>Paid to</w:t>
            </w: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Officers</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Officers</w:t>
            </w:r>
          </w:p>
        </w:tc>
        <w:tc>
          <w:tcPr>
            <w:tcW w:w="100" w:type="dxa"/>
            <w:vAlign w:val="bottom"/>
            <w:shd w:val="clear" w:color="auto" w:fill="666666"/>
          </w:tcPr>
          <w:p>
            <w:pPr>
              <w:spacing w:after="0"/>
              <w:rPr>
                <w:sz w:val="15"/>
                <w:szCs w:val="15"/>
                <w:color w:val="auto"/>
              </w:rPr>
            </w:pPr>
          </w:p>
        </w:tc>
        <w:tc>
          <w:tcPr>
            <w:tcW w:w="1160" w:type="dxa"/>
            <w:vAlign w:val="bottom"/>
            <w:shd w:val="clear" w:color="auto" w:fill="666666"/>
          </w:tcPr>
          <w:p>
            <w:pPr>
              <w:jc w:val="center"/>
              <w:ind w:right="66"/>
              <w:spacing w:after="0"/>
              <w:rPr>
                <w:sz w:val="20"/>
                <w:szCs w:val="20"/>
                <w:color w:val="auto"/>
              </w:rPr>
            </w:pPr>
            <w:r>
              <w:rPr>
                <w:rFonts w:ascii="Arial" w:cs="Arial" w:eastAsia="Arial" w:hAnsi="Arial"/>
                <w:sz w:val="15"/>
                <w:szCs w:val="15"/>
                <w:b w:val="1"/>
                <w:bCs w:val="1"/>
                <w:color w:val="FFFFFF"/>
                <w:w w:val="98"/>
              </w:rPr>
              <w:t>Shareholder</w:t>
            </w:r>
          </w:p>
        </w:tc>
        <w:tc>
          <w:tcPr>
            <w:tcW w:w="11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Shareholder</w:t>
            </w:r>
          </w:p>
        </w:tc>
        <w:tc>
          <w:tcPr>
            <w:tcW w:w="148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(loss) ($)</w:t>
            </w:r>
          </w:p>
        </w:tc>
        <w:tc>
          <w:tcPr>
            <w:tcW w:w="14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9"/>
              </w:rPr>
              <w:t>EBITDA ($)</w:t>
            </w:r>
          </w:p>
        </w:tc>
        <w:tc>
          <w:tcPr>
            <w:tcW w:w="0" w:type="dxa"/>
            <w:vAlign w:val="bottom"/>
          </w:tcPr>
          <w:p>
            <w:pPr>
              <w:spacing w:after="0"/>
              <w:rPr>
                <w:sz w:val="1"/>
                <w:szCs w:val="1"/>
                <w:color w:val="auto"/>
              </w:rPr>
            </w:pPr>
          </w:p>
        </w:tc>
      </w:tr>
      <w:tr>
        <w:trPr>
          <w:trHeight w:val="210"/>
        </w:trPr>
        <w:tc>
          <w:tcPr>
            <w:tcW w:w="460" w:type="dxa"/>
            <w:vAlign w:val="bottom"/>
            <w:shd w:val="clear" w:color="auto" w:fill="666666"/>
          </w:tcPr>
          <w:p>
            <w:pPr>
              <w:ind w:left="60"/>
              <w:spacing w:after="0"/>
              <w:rPr>
                <w:sz w:val="20"/>
                <w:szCs w:val="20"/>
                <w:color w:val="auto"/>
              </w:rPr>
            </w:pPr>
            <w:r>
              <w:rPr>
                <w:rFonts w:ascii="Arial" w:cs="Arial" w:eastAsia="Arial" w:hAnsi="Arial"/>
                <w:sz w:val="15"/>
                <w:szCs w:val="15"/>
                <w:b w:val="1"/>
                <w:bCs w:val="1"/>
                <w:color w:val="FFFFFF"/>
              </w:rPr>
              <w:t>Year</w:t>
            </w:r>
          </w:p>
        </w:tc>
        <w:tc>
          <w:tcPr>
            <w:tcW w:w="1160" w:type="dxa"/>
            <w:vAlign w:val="bottom"/>
            <w:gridSpan w:val="2"/>
            <w:shd w:val="clear" w:color="auto" w:fill="666666"/>
          </w:tcPr>
          <w:p>
            <w:pPr>
              <w:jc w:val="center"/>
              <w:ind w:right="60"/>
              <w:spacing w:after="0"/>
              <w:rPr>
                <w:sz w:val="20"/>
                <w:szCs w:val="20"/>
                <w:color w:val="auto"/>
              </w:rPr>
            </w:pPr>
            <w:r>
              <w:rPr>
                <w:rFonts w:ascii="Arial" w:cs="Arial" w:eastAsia="Arial" w:hAnsi="Arial"/>
                <w:sz w:val="15"/>
                <w:szCs w:val="15"/>
                <w:b w:val="1"/>
                <w:bCs w:val="1"/>
                <w:color w:val="FFFFFF"/>
                <w:w w:val="94"/>
              </w:rPr>
              <w:t>CEO ($)</w:t>
            </w:r>
            <w:r>
              <w:rPr>
                <w:rFonts w:ascii="Arial" w:cs="Arial" w:eastAsia="Arial" w:hAnsi="Arial"/>
                <w:sz w:val="18"/>
                <w:szCs w:val="18"/>
                <w:b w:val="1"/>
                <w:bCs w:val="1"/>
                <w:color w:val="FFFFFF"/>
                <w:w w:val="94"/>
                <w:vertAlign w:val="superscript"/>
              </w:rPr>
              <w:t>(1)</w:t>
            </w:r>
          </w:p>
        </w:tc>
        <w:tc>
          <w:tcPr>
            <w:tcW w:w="1060" w:type="dxa"/>
            <w:vAlign w:val="bottom"/>
            <w:shd w:val="clear" w:color="auto" w:fill="666666"/>
          </w:tcPr>
          <w:p>
            <w:pPr>
              <w:jc w:val="center"/>
              <w:ind w:right="9"/>
              <w:spacing w:after="0"/>
              <w:rPr>
                <w:sz w:val="20"/>
                <w:szCs w:val="20"/>
                <w:color w:val="auto"/>
              </w:rPr>
            </w:pPr>
            <w:r>
              <w:rPr>
                <w:rFonts w:ascii="Arial" w:cs="Arial" w:eastAsia="Arial" w:hAnsi="Arial"/>
                <w:sz w:val="15"/>
                <w:szCs w:val="15"/>
                <w:b w:val="1"/>
                <w:bCs w:val="1"/>
                <w:color w:val="FFFFFF"/>
                <w:w w:val="94"/>
              </w:rPr>
              <w:t>CEO ($)</w:t>
            </w:r>
            <w:r>
              <w:rPr>
                <w:rFonts w:ascii="Arial" w:cs="Arial" w:eastAsia="Arial" w:hAnsi="Arial"/>
                <w:sz w:val="18"/>
                <w:szCs w:val="18"/>
                <w:b w:val="1"/>
                <w:bCs w:val="1"/>
                <w:color w:val="FFFFFF"/>
                <w:w w:val="94"/>
                <w:vertAlign w:val="superscript"/>
              </w:rPr>
              <w:t>(2)</w:t>
            </w:r>
          </w:p>
        </w:tc>
        <w:tc>
          <w:tcPr>
            <w:tcW w:w="102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0"/>
              </w:rPr>
              <w:t>($)</w:t>
            </w:r>
            <w:r>
              <w:rPr>
                <w:rFonts w:ascii="Arial" w:cs="Arial" w:eastAsia="Arial" w:hAnsi="Arial"/>
                <w:sz w:val="18"/>
                <w:szCs w:val="18"/>
                <w:b w:val="1"/>
                <w:bCs w:val="1"/>
                <w:color w:val="FFFFFF"/>
                <w:w w:val="90"/>
                <w:vertAlign w:val="superscript"/>
              </w:rPr>
              <w:t>(1)</w:t>
            </w:r>
          </w:p>
        </w:tc>
        <w:tc>
          <w:tcPr>
            <w:tcW w:w="9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84"/>
              </w:rPr>
              <w:t>($)</w:t>
            </w:r>
            <w:r>
              <w:rPr>
                <w:rFonts w:ascii="Arial" w:cs="Arial" w:eastAsia="Arial" w:hAnsi="Arial"/>
                <w:sz w:val="18"/>
                <w:szCs w:val="18"/>
                <w:b w:val="1"/>
                <w:bCs w:val="1"/>
                <w:color w:val="FFFFFF"/>
                <w:w w:val="84"/>
                <w:vertAlign w:val="superscript"/>
              </w:rPr>
              <w:t>(2)</w:t>
            </w:r>
          </w:p>
        </w:tc>
        <w:tc>
          <w:tcPr>
            <w:tcW w:w="100" w:type="dxa"/>
            <w:vAlign w:val="bottom"/>
            <w:shd w:val="clear" w:color="auto" w:fill="666666"/>
          </w:tcPr>
          <w:p>
            <w:pPr>
              <w:spacing w:after="0"/>
              <w:rPr>
                <w:sz w:val="18"/>
                <w:szCs w:val="18"/>
                <w:color w:val="auto"/>
              </w:rPr>
            </w:pPr>
          </w:p>
        </w:tc>
        <w:tc>
          <w:tcPr>
            <w:tcW w:w="1160" w:type="dxa"/>
            <w:vAlign w:val="bottom"/>
            <w:shd w:val="clear" w:color="auto" w:fill="666666"/>
          </w:tcPr>
          <w:p>
            <w:pPr>
              <w:jc w:val="center"/>
              <w:ind w:right="66"/>
              <w:spacing w:after="0"/>
              <w:rPr>
                <w:sz w:val="20"/>
                <w:szCs w:val="20"/>
                <w:color w:val="auto"/>
              </w:rPr>
            </w:pPr>
            <w:r>
              <w:rPr>
                <w:rFonts w:ascii="Arial" w:cs="Arial" w:eastAsia="Arial" w:hAnsi="Arial"/>
                <w:sz w:val="15"/>
                <w:szCs w:val="15"/>
                <w:b w:val="1"/>
                <w:bCs w:val="1"/>
                <w:color w:val="FFFFFF"/>
                <w:w w:val="95"/>
              </w:rPr>
              <w:t>Return ($)</w:t>
            </w:r>
            <w:r>
              <w:rPr>
                <w:rFonts w:ascii="Arial" w:cs="Arial" w:eastAsia="Arial" w:hAnsi="Arial"/>
                <w:sz w:val="18"/>
                <w:szCs w:val="18"/>
                <w:b w:val="1"/>
                <w:bCs w:val="1"/>
                <w:color w:val="FFFFFF"/>
                <w:w w:val="95"/>
                <w:vertAlign w:val="superscript"/>
              </w:rPr>
              <w:t>(3)</w:t>
            </w:r>
          </w:p>
        </w:tc>
        <w:tc>
          <w:tcPr>
            <w:tcW w:w="11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5"/>
              </w:rPr>
              <w:t>Return ($)</w:t>
            </w:r>
            <w:r>
              <w:rPr>
                <w:rFonts w:ascii="Arial" w:cs="Arial" w:eastAsia="Arial" w:hAnsi="Arial"/>
                <w:sz w:val="18"/>
                <w:szCs w:val="18"/>
                <w:b w:val="1"/>
                <w:bCs w:val="1"/>
                <w:color w:val="FFFFFF"/>
                <w:w w:val="95"/>
                <w:vertAlign w:val="superscript"/>
              </w:rPr>
              <w:t>(3)</w:t>
            </w:r>
          </w:p>
        </w:tc>
        <w:tc>
          <w:tcPr>
            <w:tcW w:w="1480" w:type="dxa"/>
            <w:vAlign w:val="bottom"/>
            <w:gridSpan w:val="2"/>
            <w:shd w:val="clear" w:color="auto" w:fill="666666"/>
          </w:tcPr>
          <w:p>
            <w:pPr>
              <w:jc w:val="center"/>
              <w:spacing w:after="0"/>
              <w:rPr>
                <w:sz w:val="20"/>
                <w:szCs w:val="20"/>
                <w:color w:val="auto"/>
              </w:rPr>
            </w:pPr>
            <w:r>
              <w:rPr>
                <w:rFonts w:ascii="Arial" w:cs="Arial" w:eastAsia="Arial" w:hAnsi="Arial"/>
                <w:sz w:val="15"/>
                <w:szCs w:val="15"/>
                <w:b w:val="1"/>
                <w:bCs w:val="1"/>
                <w:color w:val="FFFFFF"/>
                <w:w w:val="98"/>
              </w:rPr>
              <w:t>(in thousands)</w:t>
            </w:r>
          </w:p>
        </w:tc>
        <w:tc>
          <w:tcPr>
            <w:tcW w:w="1480" w:type="dxa"/>
            <w:vAlign w:val="bottom"/>
            <w:shd w:val="clear" w:color="auto" w:fill="666666"/>
          </w:tcPr>
          <w:p>
            <w:pPr>
              <w:jc w:val="center"/>
              <w:spacing w:after="0"/>
              <w:rPr>
                <w:sz w:val="20"/>
                <w:szCs w:val="20"/>
                <w:color w:val="auto"/>
              </w:rPr>
            </w:pPr>
            <w:r>
              <w:rPr>
                <w:rFonts w:ascii="Arial" w:cs="Arial" w:eastAsia="Arial" w:hAnsi="Arial"/>
                <w:sz w:val="15"/>
                <w:szCs w:val="15"/>
                <w:b w:val="1"/>
                <w:bCs w:val="1"/>
                <w:color w:val="FFFFFF"/>
                <w:w w:val="96"/>
              </w:rPr>
              <w:t>(in thousands)</w:t>
            </w:r>
            <w:r>
              <w:rPr>
                <w:rFonts w:ascii="Arial" w:cs="Arial" w:eastAsia="Arial" w:hAnsi="Arial"/>
                <w:sz w:val="18"/>
                <w:szCs w:val="18"/>
                <w:b w:val="1"/>
                <w:bCs w:val="1"/>
                <w:color w:val="FFFFFF"/>
                <w:w w:val="96"/>
                <w:vertAlign w:val="superscript"/>
              </w:rPr>
              <w:t>(4)</w:t>
            </w:r>
          </w:p>
        </w:tc>
        <w:tc>
          <w:tcPr>
            <w:tcW w:w="0" w:type="dxa"/>
            <w:vAlign w:val="bottom"/>
          </w:tcPr>
          <w:p>
            <w:pPr>
              <w:spacing w:after="0"/>
              <w:rPr>
                <w:sz w:val="1"/>
                <w:szCs w:val="1"/>
                <w:color w:val="auto"/>
              </w:rPr>
            </w:pPr>
          </w:p>
        </w:tc>
      </w:tr>
      <w:tr>
        <w:trPr>
          <w:trHeight w:val="235"/>
        </w:trPr>
        <w:tc>
          <w:tcPr>
            <w:tcW w:w="460" w:type="dxa"/>
            <w:vAlign w:val="bottom"/>
            <w:shd w:val="clear" w:color="auto" w:fill="E5E5E5"/>
          </w:tcPr>
          <w:p>
            <w:pPr>
              <w:ind w:left="80"/>
              <w:spacing w:after="0"/>
              <w:rPr>
                <w:sz w:val="20"/>
                <w:szCs w:val="20"/>
                <w:color w:val="auto"/>
              </w:rPr>
            </w:pPr>
            <w:r>
              <w:rPr>
                <w:rFonts w:ascii="Arial" w:cs="Arial" w:eastAsia="Arial" w:hAnsi="Arial"/>
                <w:sz w:val="13"/>
                <w:szCs w:val="13"/>
                <w:color w:val="auto"/>
              </w:rPr>
              <w:t>2022</w:t>
            </w:r>
          </w:p>
        </w:tc>
        <w:tc>
          <w:tcPr>
            <w:tcW w:w="11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$ 9,771,335</w:t>
            </w:r>
          </w:p>
        </w:tc>
        <w:tc>
          <w:tcPr>
            <w:tcW w:w="1060" w:type="dxa"/>
            <w:vAlign w:val="bottom"/>
            <w:shd w:val="clear" w:color="auto" w:fill="E5E5E5"/>
          </w:tcPr>
          <w:p>
            <w:pPr>
              <w:jc w:val="right"/>
              <w:ind w:right="49"/>
              <w:spacing w:after="0"/>
              <w:rPr>
                <w:sz w:val="20"/>
                <w:szCs w:val="20"/>
                <w:color w:val="auto"/>
              </w:rPr>
            </w:pPr>
            <w:r>
              <w:rPr>
                <w:rFonts w:ascii="Arial" w:cs="Arial" w:eastAsia="Arial" w:hAnsi="Arial"/>
                <w:sz w:val="13"/>
                <w:szCs w:val="13"/>
                <w:color w:val="auto"/>
              </w:rPr>
              <w:t>$ 3,425,759</w:t>
            </w: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3"/>
                <w:szCs w:val="13"/>
                <w:color w:val="auto"/>
              </w:rPr>
              <w:t>$3,700,352</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3"/>
                <w:szCs w:val="13"/>
                <w:color w:val="auto"/>
              </w:rPr>
              <w:t>$1,508,437</w:t>
            </w:r>
          </w:p>
        </w:tc>
        <w:tc>
          <w:tcPr>
            <w:tcW w:w="1260" w:type="dxa"/>
            <w:vAlign w:val="bottom"/>
            <w:gridSpan w:val="2"/>
            <w:shd w:val="clear" w:color="auto" w:fill="E5E5E5"/>
          </w:tcPr>
          <w:p>
            <w:pPr>
              <w:jc w:val="right"/>
              <w:ind w:right="66"/>
              <w:spacing w:after="0"/>
              <w:rPr>
                <w:sz w:val="20"/>
                <w:szCs w:val="20"/>
                <w:color w:val="auto"/>
              </w:rPr>
            </w:pPr>
            <w:r>
              <w:rPr>
                <w:rFonts w:ascii="Arial" w:cs="Arial" w:eastAsia="Arial" w:hAnsi="Arial"/>
                <w:sz w:val="13"/>
                <w:szCs w:val="13"/>
                <w:color w:val="auto"/>
              </w:rPr>
              <w:t>$28.55</w:t>
            </w:r>
          </w:p>
        </w:tc>
        <w:tc>
          <w:tcPr>
            <w:tcW w:w="1180" w:type="dxa"/>
            <w:vAlign w:val="bottom"/>
            <w:shd w:val="clear" w:color="auto" w:fill="E5E5E5"/>
          </w:tcPr>
          <w:p>
            <w:pPr>
              <w:jc w:val="right"/>
              <w:ind w:right="29"/>
              <w:spacing w:after="0"/>
              <w:rPr>
                <w:sz w:val="20"/>
                <w:szCs w:val="20"/>
                <w:color w:val="auto"/>
              </w:rPr>
            </w:pPr>
            <w:r>
              <w:rPr>
                <w:rFonts w:ascii="Arial" w:cs="Arial" w:eastAsia="Arial" w:hAnsi="Arial"/>
                <w:sz w:val="13"/>
                <w:szCs w:val="13"/>
                <w:color w:val="auto"/>
              </w:rPr>
              <w:t>$129.96</w:t>
            </w:r>
          </w:p>
        </w:tc>
        <w:tc>
          <w:tcPr>
            <w:tcW w:w="7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(456,833)</w:t>
            </w:r>
          </w:p>
        </w:tc>
        <w:tc>
          <w:tcPr>
            <w:tcW w:w="1480" w:type="dxa"/>
            <w:vAlign w:val="bottom"/>
            <w:shd w:val="clear" w:color="auto" w:fill="E5E5E5"/>
          </w:tcPr>
          <w:p>
            <w:pPr>
              <w:jc w:val="right"/>
              <w:ind w:right="30"/>
              <w:spacing w:after="0"/>
              <w:rPr>
                <w:sz w:val="20"/>
                <w:szCs w:val="20"/>
                <w:color w:val="auto"/>
              </w:rPr>
            </w:pPr>
            <w:r>
              <w:rPr>
                <w:rFonts w:ascii="Arial" w:cs="Arial" w:eastAsia="Arial" w:hAnsi="Arial"/>
                <w:sz w:val="13"/>
                <w:szCs w:val="13"/>
                <w:color w:val="auto"/>
              </w:rPr>
              <w:t>$  65,337</w:t>
            </w:r>
          </w:p>
        </w:tc>
        <w:tc>
          <w:tcPr>
            <w:tcW w:w="0" w:type="dxa"/>
            <w:vAlign w:val="bottom"/>
          </w:tcPr>
          <w:p>
            <w:pPr>
              <w:spacing w:after="0"/>
              <w:rPr>
                <w:sz w:val="1"/>
                <w:szCs w:val="1"/>
                <w:color w:val="auto"/>
              </w:rPr>
            </w:pPr>
          </w:p>
        </w:tc>
      </w:tr>
      <w:tr>
        <w:trPr>
          <w:trHeight w:val="231"/>
        </w:trPr>
        <w:tc>
          <w:tcPr>
            <w:tcW w:w="460" w:type="dxa"/>
            <w:vAlign w:val="bottom"/>
          </w:tcPr>
          <w:p>
            <w:pPr>
              <w:ind w:left="80"/>
              <w:spacing w:after="0"/>
              <w:rPr>
                <w:sz w:val="20"/>
                <w:szCs w:val="20"/>
                <w:color w:val="auto"/>
              </w:rPr>
            </w:pPr>
            <w:r>
              <w:rPr>
                <w:rFonts w:ascii="Arial" w:cs="Arial" w:eastAsia="Arial" w:hAnsi="Arial"/>
                <w:sz w:val="13"/>
                <w:szCs w:val="13"/>
                <w:color w:val="auto"/>
              </w:rPr>
              <w:t>2021</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$19,823,002</w:t>
            </w:r>
          </w:p>
        </w:tc>
        <w:tc>
          <w:tcPr>
            <w:tcW w:w="1060" w:type="dxa"/>
            <w:vAlign w:val="bottom"/>
          </w:tcPr>
          <w:p>
            <w:pPr>
              <w:jc w:val="right"/>
              <w:ind w:right="49"/>
              <w:spacing w:after="0"/>
              <w:rPr>
                <w:sz w:val="20"/>
                <w:szCs w:val="20"/>
                <w:color w:val="auto"/>
              </w:rPr>
            </w:pPr>
            <w:r>
              <w:rPr>
                <w:rFonts w:ascii="Arial" w:cs="Arial" w:eastAsia="Arial" w:hAnsi="Arial"/>
                <w:sz w:val="13"/>
                <w:szCs w:val="13"/>
                <w:color w:val="auto"/>
              </w:rPr>
              <w:t>$12,803,786</w:t>
            </w:r>
          </w:p>
        </w:tc>
        <w:tc>
          <w:tcPr>
            <w:tcW w:w="1020" w:type="dxa"/>
            <w:vAlign w:val="bottom"/>
          </w:tcPr>
          <w:p>
            <w:pPr>
              <w:jc w:val="right"/>
              <w:ind w:right="48"/>
              <w:spacing w:after="0"/>
              <w:rPr>
                <w:sz w:val="20"/>
                <w:szCs w:val="20"/>
                <w:color w:val="auto"/>
              </w:rPr>
            </w:pPr>
            <w:r>
              <w:rPr>
                <w:rFonts w:ascii="Arial" w:cs="Arial" w:eastAsia="Arial" w:hAnsi="Arial"/>
                <w:sz w:val="13"/>
                <w:szCs w:val="13"/>
                <w:color w:val="auto"/>
              </w:rPr>
              <w:t>$5,527,722</w:t>
            </w:r>
          </w:p>
        </w:tc>
        <w:tc>
          <w:tcPr>
            <w:tcW w:w="980" w:type="dxa"/>
            <w:vAlign w:val="bottom"/>
          </w:tcPr>
          <w:p>
            <w:pPr>
              <w:jc w:val="right"/>
              <w:ind w:right="28"/>
              <w:spacing w:after="0"/>
              <w:rPr>
                <w:sz w:val="20"/>
                <w:szCs w:val="20"/>
                <w:color w:val="auto"/>
              </w:rPr>
            </w:pPr>
            <w:r>
              <w:rPr>
                <w:rFonts w:ascii="Arial" w:cs="Arial" w:eastAsia="Arial" w:hAnsi="Arial"/>
                <w:sz w:val="13"/>
                <w:szCs w:val="13"/>
                <w:color w:val="auto"/>
              </w:rPr>
              <w:t>$4,821,155</w:t>
            </w:r>
          </w:p>
        </w:tc>
        <w:tc>
          <w:tcPr>
            <w:tcW w:w="1260" w:type="dxa"/>
            <w:vAlign w:val="bottom"/>
            <w:gridSpan w:val="2"/>
          </w:tcPr>
          <w:p>
            <w:pPr>
              <w:jc w:val="right"/>
              <w:ind w:right="66"/>
              <w:spacing w:after="0"/>
              <w:rPr>
                <w:sz w:val="20"/>
                <w:szCs w:val="20"/>
                <w:color w:val="auto"/>
              </w:rPr>
            </w:pPr>
            <w:r>
              <w:rPr>
                <w:rFonts w:ascii="Arial" w:cs="Arial" w:eastAsia="Arial" w:hAnsi="Arial"/>
                <w:sz w:val="13"/>
                <w:szCs w:val="13"/>
                <w:color w:val="auto"/>
              </w:rPr>
              <w:t>$39.68</w:t>
            </w:r>
          </w:p>
        </w:tc>
        <w:tc>
          <w:tcPr>
            <w:tcW w:w="1180" w:type="dxa"/>
            <w:vAlign w:val="bottom"/>
          </w:tcPr>
          <w:p>
            <w:pPr>
              <w:jc w:val="right"/>
              <w:ind w:right="29"/>
              <w:spacing w:after="0"/>
              <w:rPr>
                <w:sz w:val="20"/>
                <w:szCs w:val="20"/>
                <w:color w:val="auto"/>
              </w:rPr>
            </w:pPr>
            <w:r>
              <w:rPr>
                <w:rFonts w:ascii="Arial" w:cs="Arial" w:eastAsia="Arial" w:hAnsi="Arial"/>
                <w:sz w:val="13"/>
                <w:szCs w:val="13"/>
                <w:color w:val="auto"/>
              </w:rPr>
              <w:t>$172.32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(950,071)</w:t>
            </w:r>
          </w:p>
        </w:tc>
        <w:tc>
          <w:tcPr>
            <w:tcW w:w="1480" w:type="dxa"/>
            <w:vAlign w:val="bottom"/>
          </w:tcPr>
          <w:p>
            <w:pPr>
              <w:jc w:val="right"/>
              <w:spacing w:after="0"/>
              <w:rPr>
                <w:sz w:val="20"/>
                <w:szCs w:val="20"/>
                <w:color w:val="auto"/>
              </w:rPr>
            </w:pPr>
            <w:r>
              <w:rPr>
                <w:rFonts w:ascii="Arial" w:cs="Arial" w:eastAsia="Arial" w:hAnsi="Arial"/>
                <w:sz w:val="13"/>
                <w:szCs w:val="13"/>
                <w:color w:val="auto"/>
              </w:rPr>
              <w:t>$(261,276)</w:t>
            </w:r>
          </w:p>
        </w:tc>
        <w:tc>
          <w:tcPr>
            <w:tcW w:w="0" w:type="dxa"/>
            <w:vAlign w:val="bottom"/>
          </w:tcPr>
          <w:p>
            <w:pPr>
              <w:spacing w:after="0"/>
              <w:rPr>
                <w:sz w:val="1"/>
                <w:szCs w:val="1"/>
                <w:color w:val="auto"/>
              </w:rPr>
            </w:pPr>
          </w:p>
        </w:tc>
      </w:tr>
      <w:tr>
        <w:trPr>
          <w:trHeight w:val="239"/>
        </w:trPr>
        <w:tc>
          <w:tcPr>
            <w:tcW w:w="460" w:type="dxa"/>
            <w:vAlign w:val="bottom"/>
            <w:shd w:val="clear" w:color="auto" w:fill="E5E5E5"/>
          </w:tcPr>
          <w:p>
            <w:pPr>
              <w:ind w:left="80"/>
              <w:spacing w:after="0"/>
              <w:rPr>
                <w:sz w:val="20"/>
                <w:szCs w:val="20"/>
                <w:color w:val="auto"/>
              </w:rPr>
            </w:pPr>
            <w:r>
              <w:rPr>
                <w:rFonts w:ascii="Arial" w:cs="Arial" w:eastAsia="Arial" w:hAnsi="Arial"/>
                <w:sz w:val="13"/>
                <w:szCs w:val="13"/>
                <w:color w:val="auto"/>
              </w:rPr>
              <w:t>2020</w:t>
            </w:r>
          </w:p>
        </w:tc>
        <w:tc>
          <w:tcPr>
            <w:tcW w:w="1160" w:type="dxa"/>
            <w:vAlign w:val="bottom"/>
            <w:gridSpan w:val="2"/>
            <w:shd w:val="clear" w:color="auto" w:fill="E5E5E5"/>
          </w:tcPr>
          <w:p>
            <w:pPr>
              <w:jc w:val="right"/>
              <w:ind w:right="160"/>
              <w:spacing w:after="0"/>
              <w:rPr>
                <w:sz w:val="20"/>
                <w:szCs w:val="20"/>
                <w:color w:val="auto"/>
              </w:rPr>
            </w:pPr>
            <w:r>
              <w:rPr>
                <w:rFonts w:ascii="Arial" w:cs="Arial" w:eastAsia="Arial" w:hAnsi="Arial"/>
                <w:sz w:val="13"/>
                <w:szCs w:val="13"/>
                <w:color w:val="auto"/>
              </w:rPr>
              <w:t>$10,563,060</w:t>
            </w:r>
          </w:p>
        </w:tc>
        <w:tc>
          <w:tcPr>
            <w:tcW w:w="1060" w:type="dxa"/>
            <w:vAlign w:val="bottom"/>
            <w:shd w:val="clear" w:color="auto" w:fill="E5E5E5"/>
          </w:tcPr>
          <w:p>
            <w:pPr>
              <w:jc w:val="right"/>
              <w:ind w:right="49"/>
              <w:spacing w:after="0"/>
              <w:rPr>
                <w:sz w:val="20"/>
                <w:szCs w:val="20"/>
                <w:color w:val="auto"/>
              </w:rPr>
            </w:pPr>
            <w:r>
              <w:rPr>
                <w:rFonts w:ascii="Arial" w:cs="Arial" w:eastAsia="Arial" w:hAnsi="Arial"/>
                <w:sz w:val="13"/>
                <w:szCs w:val="13"/>
                <w:color w:val="auto"/>
              </w:rPr>
              <w:t>$ 6,850,413</w:t>
            </w: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3"/>
                <w:szCs w:val="13"/>
                <w:color w:val="auto"/>
              </w:rPr>
              <w:t>$3,139,404</w:t>
            </w:r>
          </w:p>
        </w:tc>
        <w:tc>
          <w:tcPr>
            <w:tcW w:w="980" w:type="dxa"/>
            <w:vAlign w:val="bottom"/>
            <w:shd w:val="clear" w:color="auto" w:fill="E5E5E5"/>
          </w:tcPr>
          <w:p>
            <w:pPr>
              <w:jc w:val="right"/>
              <w:ind w:right="28"/>
              <w:spacing w:after="0"/>
              <w:rPr>
                <w:sz w:val="20"/>
                <w:szCs w:val="20"/>
                <w:color w:val="auto"/>
              </w:rPr>
            </w:pPr>
            <w:r>
              <w:rPr>
                <w:rFonts w:ascii="Arial" w:cs="Arial" w:eastAsia="Arial" w:hAnsi="Arial"/>
                <w:sz w:val="13"/>
                <w:szCs w:val="13"/>
                <w:color w:val="auto"/>
              </w:rPr>
              <w:t>$1,659,779</w:t>
            </w:r>
          </w:p>
        </w:tc>
        <w:tc>
          <w:tcPr>
            <w:tcW w:w="1260" w:type="dxa"/>
            <w:vAlign w:val="bottom"/>
            <w:gridSpan w:val="2"/>
            <w:shd w:val="clear" w:color="auto" w:fill="E5E5E5"/>
          </w:tcPr>
          <w:p>
            <w:pPr>
              <w:jc w:val="right"/>
              <w:ind w:right="66"/>
              <w:spacing w:after="0"/>
              <w:rPr>
                <w:sz w:val="20"/>
                <w:szCs w:val="20"/>
                <w:color w:val="auto"/>
              </w:rPr>
            </w:pPr>
            <w:r>
              <w:rPr>
                <w:rFonts w:ascii="Arial" w:cs="Arial" w:eastAsia="Arial" w:hAnsi="Arial"/>
                <w:sz w:val="13"/>
                <w:szCs w:val="13"/>
                <w:color w:val="auto"/>
              </w:rPr>
              <w:t>$55.53</w:t>
            </w:r>
          </w:p>
        </w:tc>
        <w:tc>
          <w:tcPr>
            <w:tcW w:w="1180" w:type="dxa"/>
            <w:vAlign w:val="bottom"/>
            <w:shd w:val="clear" w:color="auto" w:fill="E5E5E5"/>
          </w:tcPr>
          <w:p>
            <w:pPr>
              <w:jc w:val="right"/>
              <w:ind w:right="29"/>
              <w:spacing w:after="0"/>
              <w:rPr>
                <w:sz w:val="20"/>
                <w:szCs w:val="20"/>
                <w:color w:val="auto"/>
              </w:rPr>
            </w:pPr>
            <w:r>
              <w:rPr>
                <w:rFonts w:ascii="Arial" w:cs="Arial" w:eastAsia="Arial" w:hAnsi="Arial"/>
                <w:sz w:val="13"/>
                <w:szCs w:val="13"/>
                <w:color w:val="auto"/>
              </w:rPr>
              <w:t>$135.28</w:t>
            </w:r>
          </w:p>
        </w:tc>
        <w:tc>
          <w:tcPr>
            <w:tcW w:w="1480" w:type="dxa"/>
            <w:vAlign w:val="bottom"/>
            <w:gridSpan w:val="2"/>
            <w:shd w:val="clear" w:color="auto" w:fill="E5E5E5"/>
          </w:tcPr>
          <w:p>
            <w:pPr>
              <w:jc w:val="right"/>
              <w:ind w:right="54"/>
              <w:spacing w:after="0"/>
              <w:rPr>
                <w:sz w:val="20"/>
                <w:szCs w:val="20"/>
                <w:color w:val="auto"/>
              </w:rPr>
            </w:pPr>
            <w:r>
              <w:rPr>
                <w:rFonts w:ascii="Arial" w:cs="Arial" w:eastAsia="Arial" w:hAnsi="Arial"/>
                <w:sz w:val="13"/>
                <w:szCs w:val="13"/>
                <w:color w:val="auto"/>
              </w:rPr>
              <w:t>$(1,289,998)</w:t>
            </w:r>
          </w:p>
        </w:tc>
        <w:tc>
          <w:tcPr>
            <w:tcW w:w="14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$(447,529)</w:t>
            </w:r>
          </w:p>
        </w:tc>
        <w:tc>
          <w:tcPr>
            <w:tcW w:w="0" w:type="dxa"/>
            <w:vAlign w:val="bottom"/>
          </w:tcPr>
          <w:p>
            <w:pPr>
              <w:spacing w:after="0"/>
              <w:rPr>
                <w:sz w:val="1"/>
                <w:szCs w:val="1"/>
                <w:color w:val="auto"/>
              </w:rPr>
            </w:pPr>
          </w:p>
        </w:tc>
      </w:tr>
      <w:tr>
        <w:trPr>
          <w:trHeight w:val="136"/>
        </w:trPr>
        <w:tc>
          <w:tcPr>
            <w:tcW w:w="4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980" w:right="40" w:hanging="400"/>
        <w:spacing w:after="0" w:line="251" w:lineRule="auto"/>
        <w:tabs>
          <w:tab w:leader="none" w:pos="9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Mr. Menke was the CEO for each of the years indicated. For 2022, our non-CEO named executive officers were Michael Randolfi, Kurt Ekert, David Moore, Scott Wilson, Douglas Barnett, Wade Jones, and Cem Tanyel. For 2021, our non-CEO named executive officers were Douglas Barnett, Wade Jones, Roshan Mendis, and David Shirk. For 2020, our non-CEO named executive officers were Douglas Barnett, Wade Jones, David Moore, and David Shirk.</w:t>
      </w:r>
    </w:p>
    <w:p>
      <w:pPr>
        <w:spacing w:after="0" w:line="44" w:lineRule="exact"/>
        <w:rPr>
          <w:rFonts w:ascii="Arial" w:cs="Arial" w:eastAsia="Arial" w:hAnsi="Arial"/>
          <w:sz w:val="15"/>
          <w:szCs w:val="15"/>
          <w:color w:val="auto"/>
        </w:rPr>
      </w:pPr>
    </w:p>
    <w:p>
      <w:pPr>
        <w:ind w:left="980" w:right="100" w:hanging="400"/>
        <w:spacing w:after="0" w:line="273" w:lineRule="auto"/>
        <w:tabs>
          <w:tab w:leader="none" w:pos="9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following tables set forth the adjustments made during each year represented in the table to determine the compensation “actually paid” to the named executive officers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6036310</wp:posOffset>
            </wp:positionH>
            <wp:positionV relativeFrom="paragraph">
              <wp:posOffset>120015</wp:posOffset>
            </wp:positionV>
            <wp:extent cx="15875" cy="27400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875" cy="274002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120015</wp:posOffset>
            </wp:positionV>
            <wp:extent cx="15875" cy="27400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875" cy="274002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120015</wp:posOffset>
            </wp:positionV>
            <wp:extent cx="15875" cy="27400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875" cy="2740025"/>
                    </a:xfrm>
                    <a:prstGeom prst="rect">
                      <a:avLst/>
                    </a:prstGeom>
                    <a:noFill/>
                  </pic:spPr>
                </pic:pic>
              </a:graphicData>
            </a:graphic>
          </wp:anchor>
        </w:drawing>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52"/>
        </w:trPr>
        <w:tc>
          <w:tcPr>
            <w:tcW w:w="6580" w:type="dxa"/>
            <w:vAlign w:val="bottom"/>
            <w:tcBorders>
              <w:bottom w:val="single" w:sz="8" w:color="666666"/>
            </w:tcBorders>
            <w:gridSpan w:val="2"/>
            <w:shd w:val="clear" w:color="auto" w:fill="666666"/>
          </w:tcPr>
          <w:p>
            <w:pPr>
              <w:ind w:left="80"/>
              <w:spacing w:after="0"/>
              <w:rPr>
                <w:sz w:val="20"/>
                <w:szCs w:val="20"/>
                <w:color w:val="auto"/>
              </w:rPr>
            </w:pPr>
            <w:r>
              <w:rPr>
                <w:rFonts w:ascii="Arial" w:cs="Arial" w:eastAsia="Arial" w:hAnsi="Arial"/>
                <w:sz w:val="15"/>
                <w:szCs w:val="15"/>
                <w:b w:val="1"/>
                <w:bCs w:val="1"/>
                <w:color w:val="FFFFFF"/>
              </w:rPr>
              <w:t>CEO</w:t>
            </w:r>
          </w:p>
        </w:tc>
        <w:tc>
          <w:tcPr>
            <w:tcW w:w="240" w:type="dxa"/>
            <w:vAlign w:val="bottom"/>
            <w:tcBorders>
              <w:bottom w:val="single" w:sz="8" w:color="666666"/>
            </w:tcBorders>
            <w:shd w:val="clear" w:color="auto" w:fill="666666"/>
          </w:tcPr>
          <w:p>
            <w:pPr>
              <w:spacing w:after="0"/>
              <w:rPr>
                <w:sz w:val="21"/>
                <w:szCs w:val="21"/>
                <w:color w:val="auto"/>
              </w:rPr>
            </w:pPr>
          </w:p>
        </w:tc>
        <w:tc>
          <w:tcPr>
            <w:tcW w:w="980" w:type="dxa"/>
            <w:vAlign w:val="bottom"/>
            <w:tcBorders>
              <w:bottom w:val="single" w:sz="8" w:color="666666"/>
            </w:tcBorders>
            <w:shd w:val="clear" w:color="auto" w:fill="666666"/>
          </w:tcPr>
          <w:p>
            <w:pPr>
              <w:jc w:val="right"/>
              <w:ind w:right="358"/>
              <w:spacing w:after="0"/>
              <w:rPr>
                <w:sz w:val="20"/>
                <w:szCs w:val="20"/>
                <w:color w:val="auto"/>
              </w:rPr>
            </w:pPr>
            <w:r>
              <w:rPr>
                <w:rFonts w:ascii="Arial" w:cs="Arial" w:eastAsia="Arial" w:hAnsi="Arial"/>
                <w:sz w:val="15"/>
                <w:szCs w:val="15"/>
                <w:b w:val="1"/>
                <w:bCs w:val="1"/>
                <w:color w:val="FFFFFF"/>
              </w:rPr>
              <w:t>2020</w:t>
            </w:r>
          </w:p>
        </w:tc>
        <w:tc>
          <w:tcPr>
            <w:tcW w:w="1200" w:type="dxa"/>
            <w:vAlign w:val="bottom"/>
            <w:tcBorders>
              <w:bottom w:val="single" w:sz="8" w:color="666666"/>
            </w:tcBorders>
            <w:shd w:val="clear" w:color="auto" w:fill="666666"/>
          </w:tcPr>
          <w:p>
            <w:pPr>
              <w:jc w:val="right"/>
              <w:ind w:right="378"/>
              <w:spacing w:after="0"/>
              <w:rPr>
                <w:sz w:val="20"/>
                <w:szCs w:val="20"/>
                <w:color w:val="auto"/>
              </w:rPr>
            </w:pPr>
            <w:r>
              <w:rPr>
                <w:rFonts w:ascii="Arial" w:cs="Arial" w:eastAsia="Arial" w:hAnsi="Arial"/>
                <w:sz w:val="15"/>
                <w:szCs w:val="15"/>
                <w:b w:val="1"/>
                <w:bCs w:val="1"/>
                <w:color w:val="FFFFFF"/>
              </w:rPr>
              <w:t>2021</w:t>
            </w:r>
          </w:p>
        </w:tc>
        <w:tc>
          <w:tcPr>
            <w:tcW w:w="760" w:type="dxa"/>
            <w:vAlign w:val="bottom"/>
            <w:tcBorders>
              <w:bottom w:val="single" w:sz="8" w:color="666666"/>
            </w:tcBorders>
            <w:shd w:val="clear" w:color="auto" w:fill="666666"/>
          </w:tcPr>
          <w:p>
            <w:pPr>
              <w:jc w:val="right"/>
              <w:spacing w:after="0"/>
              <w:rPr>
                <w:sz w:val="20"/>
                <w:szCs w:val="20"/>
                <w:color w:val="auto"/>
              </w:rPr>
            </w:pPr>
            <w:r>
              <w:rPr>
                <w:rFonts w:ascii="Arial" w:cs="Arial" w:eastAsia="Arial" w:hAnsi="Arial"/>
                <w:sz w:val="15"/>
                <w:szCs w:val="15"/>
                <w:b w:val="1"/>
                <w:bCs w:val="1"/>
                <w:color w:val="FFFFFF"/>
              </w:rPr>
              <w:t>2022</w:t>
            </w:r>
          </w:p>
        </w:tc>
        <w:tc>
          <w:tcPr>
            <w:tcW w:w="320" w:type="dxa"/>
            <w:vAlign w:val="bottom"/>
            <w:tcBorders>
              <w:bottom w:val="single" w:sz="8" w:color="666666"/>
            </w:tcBorders>
            <w:shd w:val="clear" w:color="auto" w:fill="666666"/>
          </w:tcPr>
          <w:p>
            <w:pPr>
              <w:spacing w:after="0"/>
              <w:rPr>
                <w:sz w:val="21"/>
                <w:szCs w:val="21"/>
                <w:color w:val="auto"/>
              </w:rPr>
            </w:pPr>
          </w:p>
        </w:tc>
      </w:tr>
      <w:tr>
        <w:trPr>
          <w:trHeight w:val="264"/>
        </w:trPr>
        <w:tc>
          <w:tcPr>
            <w:tcW w:w="208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b w:val="1"/>
                <w:bCs w:val="1"/>
                <w:color w:val="auto"/>
                <w:shd w:val="clear" w:color="auto" w:fill="E5E5E5"/>
              </w:rPr>
              <w:t>Summary Compensation</w:t>
            </w:r>
          </w:p>
        </w:tc>
        <w:tc>
          <w:tcPr>
            <w:tcW w:w="450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Table Total</w:t>
            </w:r>
          </w:p>
        </w:tc>
        <w:tc>
          <w:tcPr>
            <w:tcW w:w="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10,563,060</w:t>
            </w:r>
          </w:p>
        </w:tc>
        <w:tc>
          <w:tcPr>
            <w:tcW w:w="12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$ 19,823,002</w:t>
            </w:r>
          </w:p>
        </w:tc>
        <w:tc>
          <w:tcPr>
            <w:tcW w:w="1080" w:type="dxa"/>
            <w:vAlign w:val="bottom"/>
            <w:tcBorders>
              <w:bottom w:val="single" w:sz="8" w:color="E5E5E5"/>
            </w:tcBorders>
            <w:gridSpan w:val="2"/>
            <w:shd w:val="clear" w:color="auto" w:fill="E5E5E5"/>
          </w:tcPr>
          <w:p>
            <w:pPr>
              <w:jc w:val="right"/>
              <w:ind w:right="16"/>
              <w:spacing w:after="0"/>
              <w:rPr>
                <w:sz w:val="20"/>
                <w:szCs w:val="20"/>
                <w:color w:val="auto"/>
              </w:rPr>
            </w:pPr>
            <w:r>
              <w:rPr>
                <w:rFonts w:ascii="Arial" w:cs="Arial" w:eastAsia="Arial" w:hAnsi="Arial"/>
                <w:sz w:val="16"/>
                <w:szCs w:val="16"/>
                <w:color w:val="auto"/>
              </w:rPr>
              <w:t>$ 9,771,335</w:t>
            </w:r>
          </w:p>
        </w:tc>
      </w:tr>
      <w:tr>
        <w:trPr>
          <w:trHeight w:val="250"/>
        </w:trPr>
        <w:tc>
          <w:tcPr>
            <w:tcW w:w="6580" w:type="dxa"/>
            <w:vAlign w:val="bottom"/>
            <w:gridSpan w:val="2"/>
          </w:tcPr>
          <w:p>
            <w:pPr>
              <w:ind w:left="100"/>
              <w:spacing w:after="0"/>
              <w:rPr>
                <w:sz w:val="20"/>
                <w:szCs w:val="20"/>
                <w:color w:val="auto"/>
              </w:rPr>
            </w:pPr>
            <w:r>
              <w:rPr>
                <w:rFonts w:ascii="Arial" w:cs="Arial" w:eastAsia="Arial" w:hAnsi="Arial"/>
                <w:sz w:val="16"/>
                <w:szCs w:val="16"/>
                <w:color w:val="auto"/>
              </w:rPr>
              <w:t>-   Grant Date Fair Value of Option Awards and Stock Awards Granted in Fiscal Year</w:t>
            </w:r>
          </w:p>
        </w:tc>
        <w:tc>
          <w:tcPr>
            <w:tcW w:w="24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(8,866,786)</w:t>
            </w:r>
          </w:p>
        </w:tc>
        <w:tc>
          <w:tcPr>
            <w:tcW w:w="1200" w:type="dxa"/>
            <w:vAlign w:val="bottom"/>
          </w:tcPr>
          <w:p>
            <w:pPr>
              <w:jc w:val="right"/>
              <w:spacing w:after="0"/>
              <w:rPr>
                <w:sz w:val="20"/>
                <w:szCs w:val="20"/>
                <w:color w:val="auto"/>
              </w:rPr>
            </w:pPr>
            <w:r>
              <w:rPr>
                <w:rFonts w:ascii="Arial" w:cs="Arial" w:eastAsia="Arial" w:hAnsi="Arial"/>
                <w:sz w:val="16"/>
                <w:szCs w:val="16"/>
                <w:color w:val="auto"/>
              </w:rPr>
              <w:t>(17,463,960)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(7,237,236)</w:t>
            </w:r>
          </w:p>
        </w:tc>
      </w:tr>
      <w:tr>
        <w:trPr>
          <w:trHeight w:val="35"/>
        </w:trPr>
        <w:tc>
          <w:tcPr>
            <w:tcW w:w="2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18"/>
        </w:trPr>
        <w:tc>
          <w:tcPr>
            <w:tcW w:w="658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  Fair Value at Fiscal Year-End of Outstanding and Unvested Option Awards and Stock</w:t>
            </w:r>
          </w:p>
        </w:tc>
        <w:tc>
          <w:tcPr>
            <w:tcW w:w="2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r>
      <w:tr>
        <w:trPr>
          <w:trHeight w:val="232"/>
        </w:trPr>
        <w:tc>
          <w:tcPr>
            <w:tcW w:w="658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Awards Granted in Fiscal Year</w:t>
            </w:r>
          </w:p>
        </w:tc>
        <w:tc>
          <w:tcPr>
            <w:tcW w:w="240" w:type="dxa"/>
            <w:vAlign w:val="bottom"/>
            <w:tcBorders>
              <w:bottom w:val="single" w:sz="8" w:color="E5E5E5"/>
            </w:tcBorders>
            <w:shd w:val="clear" w:color="auto" w:fill="E5E5E5"/>
          </w:tcPr>
          <w:p>
            <w:pPr>
              <w:spacing w:after="0"/>
              <w:rPr>
                <w:sz w:val="20"/>
                <w:szCs w:val="20"/>
                <w:color w:val="auto"/>
              </w:rPr>
            </w:pPr>
          </w:p>
        </w:tc>
        <w:tc>
          <w:tcPr>
            <w:tcW w:w="9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14,187,539</w:t>
            </w:r>
          </w:p>
        </w:tc>
        <w:tc>
          <w:tcPr>
            <w:tcW w:w="12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8,935,662</w:t>
            </w:r>
          </w:p>
        </w:tc>
        <w:tc>
          <w:tcPr>
            <w:tcW w:w="1080" w:type="dxa"/>
            <w:vAlign w:val="bottom"/>
            <w:tcBorders>
              <w:bottom w:val="single" w:sz="8" w:color="E5E5E5"/>
            </w:tcBorders>
            <w:gridSpan w:val="2"/>
            <w:shd w:val="clear" w:color="auto" w:fill="E5E5E5"/>
          </w:tcPr>
          <w:p>
            <w:pPr>
              <w:jc w:val="right"/>
              <w:ind w:right="16"/>
              <w:spacing w:after="0"/>
              <w:rPr>
                <w:sz w:val="20"/>
                <w:szCs w:val="20"/>
                <w:color w:val="auto"/>
              </w:rPr>
            </w:pPr>
            <w:r>
              <w:rPr>
                <w:rFonts w:ascii="Arial" w:cs="Arial" w:eastAsia="Arial" w:hAnsi="Arial"/>
                <w:sz w:val="16"/>
                <w:szCs w:val="16"/>
                <w:color w:val="auto"/>
              </w:rPr>
              <w:t>4,594,897</w:t>
            </w:r>
          </w:p>
        </w:tc>
      </w:tr>
      <w:tr>
        <w:trPr>
          <w:trHeight w:val="218"/>
        </w:trPr>
        <w:tc>
          <w:tcPr>
            <w:tcW w:w="6580" w:type="dxa"/>
            <w:vAlign w:val="bottom"/>
            <w:gridSpan w:val="2"/>
          </w:tcPr>
          <w:p>
            <w:pPr>
              <w:ind w:left="100"/>
              <w:spacing w:after="0"/>
              <w:rPr>
                <w:sz w:val="20"/>
                <w:szCs w:val="20"/>
                <w:color w:val="auto"/>
              </w:rPr>
            </w:pPr>
            <w:r>
              <w:rPr>
                <w:rFonts w:ascii="Arial" w:cs="Arial" w:eastAsia="Arial" w:hAnsi="Arial"/>
                <w:sz w:val="16"/>
                <w:szCs w:val="16"/>
                <w:color w:val="auto"/>
              </w:rPr>
              <w:t>+  Change in Fair Value of Outstanding and Unvested Option Awards and Stock Awards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7"/>
        </w:trPr>
        <w:tc>
          <w:tcPr>
            <w:tcW w:w="6580" w:type="dxa"/>
            <w:vAlign w:val="bottom"/>
            <w:gridSpan w:val="2"/>
          </w:tcPr>
          <w:p>
            <w:pPr>
              <w:ind w:left="240"/>
              <w:spacing w:after="0"/>
              <w:rPr>
                <w:sz w:val="20"/>
                <w:szCs w:val="20"/>
                <w:color w:val="auto"/>
              </w:rPr>
            </w:pPr>
            <w:r>
              <w:rPr>
                <w:rFonts w:ascii="Arial" w:cs="Arial" w:eastAsia="Arial" w:hAnsi="Arial"/>
                <w:sz w:val="16"/>
                <w:szCs w:val="16"/>
                <w:color w:val="auto"/>
              </w:rPr>
              <w:t>Granted in Prior Fiscal Years</w:t>
            </w:r>
          </w:p>
        </w:tc>
        <w:tc>
          <w:tcPr>
            <w:tcW w:w="24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(4,224,628)</w:t>
            </w:r>
          </w:p>
        </w:tc>
        <w:tc>
          <w:tcPr>
            <w:tcW w:w="1200" w:type="dxa"/>
            <w:vAlign w:val="bottom"/>
          </w:tcPr>
          <w:p>
            <w:pPr>
              <w:jc w:val="right"/>
              <w:spacing w:after="0"/>
              <w:rPr>
                <w:sz w:val="20"/>
                <w:szCs w:val="20"/>
                <w:color w:val="auto"/>
              </w:rPr>
            </w:pPr>
            <w:r>
              <w:rPr>
                <w:rFonts w:ascii="Arial" w:cs="Arial" w:eastAsia="Arial" w:hAnsi="Arial"/>
                <w:sz w:val="16"/>
                <w:szCs w:val="16"/>
                <w:color w:val="auto"/>
              </w:rPr>
              <w:t>(972,168)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(2,942,801)</w:t>
            </w:r>
          </w:p>
        </w:tc>
      </w:tr>
      <w:tr>
        <w:trPr>
          <w:trHeight w:val="35"/>
        </w:trPr>
        <w:tc>
          <w:tcPr>
            <w:tcW w:w="2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18"/>
        </w:trPr>
        <w:tc>
          <w:tcPr>
            <w:tcW w:w="658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  Fair Value at Vesting of Option Awards and Stock Awards Granted in Fiscal Year That</w:t>
            </w:r>
          </w:p>
        </w:tc>
        <w:tc>
          <w:tcPr>
            <w:tcW w:w="2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r>
      <w:tr>
        <w:trPr>
          <w:trHeight w:val="232"/>
        </w:trPr>
        <w:tc>
          <w:tcPr>
            <w:tcW w:w="658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Vested During Fiscal Year</w:t>
            </w:r>
          </w:p>
        </w:tc>
        <w:tc>
          <w:tcPr>
            <w:tcW w:w="240" w:type="dxa"/>
            <w:vAlign w:val="bottom"/>
            <w:tcBorders>
              <w:bottom w:val="single" w:sz="8" w:color="E5E5E5"/>
            </w:tcBorders>
            <w:shd w:val="clear" w:color="auto" w:fill="E5E5E5"/>
          </w:tcPr>
          <w:p>
            <w:pPr>
              <w:spacing w:after="0"/>
              <w:rPr>
                <w:sz w:val="20"/>
                <w:szCs w:val="20"/>
                <w:color w:val="auto"/>
              </w:rPr>
            </w:pPr>
          </w:p>
        </w:tc>
        <w:tc>
          <w:tcPr>
            <w:tcW w:w="9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E5E5E5"/>
            </w:tcBorders>
            <w:shd w:val="clear" w:color="auto" w:fill="E5E5E5"/>
          </w:tcPr>
          <w:p>
            <w:pPr>
              <w:jc w:val="right"/>
              <w:ind w:right="16"/>
              <w:spacing w:after="0"/>
              <w:rPr>
                <w:sz w:val="20"/>
                <w:szCs w:val="20"/>
                <w:color w:val="auto"/>
              </w:rPr>
            </w:pPr>
            <w:r>
              <w:rPr>
                <w:rFonts w:ascii="Arial" w:cs="Arial" w:eastAsia="Arial" w:hAnsi="Arial"/>
                <w:sz w:val="16"/>
                <w:szCs w:val="16"/>
                <w:color w:val="auto"/>
              </w:rPr>
              <w:t>—</w:t>
            </w:r>
          </w:p>
        </w:tc>
      </w:tr>
      <w:tr>
        <w:trPr>
          <w:trHeight w:val="218"/>
        </w:trPr>
        <w:tc>
          <w:tcPr>
            <w:tcW w:w="6580" w:type="dxa"/>
            <w:vAlign w:val="bottom"/>
            <w:gridSpan w:val="2"/>
          </w:tcPr>
          <w:p>
            <w:pPr>
              <w:ind w:left="100"/>
              <w:spacing w:after="0"/>
              <w:rPr>
                <w:sz w:val="20"/>
                <w:szCs w:val="20"/>
                <w:color w:val="auto"/>
              </w:rPr>
            </w:pPr>
            <w:r>
              <w:rPr>
                <w:rFonts w:ascii="Arial" w:cs="Arial" w:eastAsia="Arial" w:hAnsi="Arial"/>
                <w:sz w:val="16"/>
                <w:szCs w:val="16"/>
                <w:color w:val="auto"/>
              </w:rPr>
              <w:t>+  Change in Fair Value as of Vesting Date of Option Awards and Stock Awards Granted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85"/>
        </w:trPr>
        <w:tc>
          <w:tcPr>
            <w:tcW w:w="6580" w:type="dxa"/>
            <w:vAlign w:val="bottom"/>
            <w:gridSpan w:val="2"/>
          </w:tcPr>
          <w:p>
            <w:pPr>
              <w:ind w:left="240"/>
              <w:spacing w:after="0"/>
              <w:rPr>
                <w:sz w:val="20"/>
                <w:szCs w:val="20"/>
                <w:color w:val="auto"/>
              </w:rPr>
            </w:pPr>
            <w:r>
              <w:rPr>
                <w:rFonts w:ascii="Arial" w:cs="Arial" w:eastAsia="Arial" w:hAnsi="Arial"/>
                <w:sz w:val="16"/>
                <w:szCs w:val="16"/>
                <w:color w:val="auto"/>
              </w:rPr>
              <w:t>in Prior Fiscal Years for Which Applicable Vesting Conditions Were Satisfied During</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7"/>
        </w:trPr>
        <w:tc>
          <w:tcPr>
            <w:tcW w:w="6580" w:type="dxa"/>
            <w:vAlign w:val="bottom"/>
            <w:gridSpan w:val="2"/>
          </w:tcPr>
          <w:p>
            <w:pPr>
              <w:ind w:left="240"/>
              <w:spacing w:after="0"/>
              <w:rPr>
                <w:sz w:val="20"/>
                <w:szCs w:val="20"/>
                <w:color w:val="auto"/>
              </w:rPr>
            </w:pPr>
            <w:r>
              <w:rPr>
                <w:rFonts w:ascii="Arial" w:cs="Arial" w:eastAsia="Arial" w:hAnsi="Arial"/>
                <w:sz w:val="16"/>
                <w:szCs w:val="16"/>
                <w:color w:val="auto"/>
              </w:rPr>
              <w:t>Fiscal Year</w:t>
            </w:r>
          </w:p>
        </w:tc>
        <w:tc>
          <w:tcPr>
            <w:tcW w:w="24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(4,808,772)</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2,481,251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(760,436)</w:t>
            </w:r>
          </w:p>
        </w:tc>
      </w:tr>
      <w:tr>
        <w:trPr>
          <w:trHeight w:val="35"/>
        </w:trPr>
        <w:tc>
          <w:tcPr>
            <w:tcW w:w="2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18"/>
        </w:trPr>
        <w:tc>
          <w:tcPr>
            <w:tcW w:w="658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   Fair Value as of Prior Fiscal Year-End of Option Awards and Stock Awards Granted in</w:t>
            </w:r>
          </w:p>
        </w:tc>
        <w:tc>
          <w:tcPr>
            <w:tcW w:w="2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r>
      <w:tr>
        <w:trPr>
          <w:trHeight w:val="185"/>
        </w:trPr>
        <w:tc>
          <w:tcPr>
            <w:tcW w:w="658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Prior Fiscal Years That Failed to Meet Applicable Vesting Conditions During Fiscal</w:t>
            </w:r>
          </w:p>
        </w:tc>
        <w:tc>
          <w:tcPr>
            <w:tcW w:w="24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r>
      <w:tr>
        <w:trPr>
          <w:trHeight w:val="232"/>
        </w:trPr>
        <w:tc>
          <w:tcPr>
            <w:tcW w:w="658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Year</w:t>
            </w:r>
          </w:p>
        </w:tc>
        <w:tc>
          <w:tcPr>
            <w:tcW w:w="240" w:type="dxa"/>
            <w:vAlign w:val="bottom"/>
            <w:tcBorders>
              <w:bottom w:val="single" w:sz="8" w:color="E5E5E5"/>
            </w:tcBorders>
            <w:shd w:val="clear" w:color="auto" w:fill="E5E5E5"/>
          </w:tcPr>
          <w:p>
            <w:pPr>
              <w:spacing w:after="0"/>
              <w:rPr>
                <w:sz w:val="20"/>
                <w:szCs w:val="20"/>
                <w:color w:val="auto"/>
              </w:rPr>
            </w:pPr>
          </w:p>
        </w:tc>
        <w:tc>
          <w:tcPr>
            <w:tcW w:w="9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E5E5E5"/>
            </w:tcBorders>
            <w:shd w:val="clear" w:color="auto" w:fill="E5E5E5"/>
          </w:tcPr>
          <w:p>
            <w:pPr>
              <w:jc w:val="right"/>
              <w:ind w:right="16"/>
              <w:spacing w:after="0"/>
              <w:rPr>
                <w:sz w:val="20"/>
                <w:szCs w:val="20"/>
                <w:color w:val="auto"/>
              </w:rPr>
            </w:pPr>
            <w:r>
              <w:rPr>
                <w:rFonts w:ascii="Arial" w:cs="Arial" w:eastAsia="Arial" w:hAnsi="Arial"/>
                <w:sz w:val="16"/>
                <w:szCs w:val="16"/>
                <w:color w:val="auto"/>
              </w:rPr>
              <w:t>—</w:t>
            </w:r>
          </w:p>
        </w:tc>
      </w:tr>
      <w:tr>
        <w:trPr>
          <w:trHeight w:val="218"/>
        </w:trPr>
        <w:tc>
          <w:tcPr>
            <w:tcW w:w="6580" w:type="dxa"/>
            <w:vAlign w:val="bottom"/>
            <w:gridSpan w:val="2"/>
          </w:tcPr>
          <w:p>
            <w:pPr>
              <w:ind w:left="100"/>
              <w:spacing w:after="0"/>
              <w:rPr>
                <w:sz w:val="20"/>
                <w:szCs w:val="20"/>
                <w:color w:val="auto"/>
              </w:rPr>
            </w:pPr>
            <w:r>
              <w:rPr>
                <w:rFonts w:ascii="Arial" w:cs="Arial" w:eastAsia="Arial" w:hAnsi="Arial"/>
                <w:sz w:val="16"/>
                <w:szCs w:val="16"/>
                <w:color w:val="auto"/>
              </w:rPr>
              <w:t>+  Value of Dividends or Other Earnings Paid on Option Awards or Stock Awards in the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7"/>
        </w:trPr>
        <w:tc>
          <w:tcPr>
            <w:tcW w:w="6580" w:type="dxa"/>
            <w:vAlign w:val="bottom"/>
            <w:gridSpan w:val="2"/>
          </w:tcPr>
          <w:p>
            <w:pPr>
              <w:ind w:left="240"/>
              <w:spacing w:after="0"/>
              <w:rPr>
                <w:sz w:val="20"/>
                <w:szCs w:val="20"/>
                <w:color w:val="auto"/>
              </w:rPr>
            </w:pPr>
            <w:r>
              <w:rPr>
                <w:rFonts w:ascii="Arial" w:cs="Arial" w:eastAsia="Arial" w:hAnsi="Arial"/>
                <w:sz w:val="16"/>
                <w:szCs w:val="16"/>
                <w:color w:val="auto"/>
              </w:rPr>
              <w:t>Fiscal Year That Are Not Included in the Total Compensation for the Fiscal Year</w:t>
            </w:r>
          </w:p>
        </w:tc>
        <w:tc>
          <w:tcPr>
            <w:tcW w:w="240" w:type="dxa"/>
            <w:vAlign w:val="bottom"/>
          </w:tcPr>
          <w:p>
            <w:pPr>
              <w:spacing w:after="0"/>
              <w:rPr>
                <w:sz w:val="18"/>
                <w:szCs w:val="18"/>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2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35"/>
        </w:trPr>
        <w:tc>
          <w:tcPr>
            <w:tcW w:w="2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64"/>
        </w:trPr>
        <w:tc>
          <w:tcPr>
            <w:tcW w:w="658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Compensation “Actually Paid”</w:t>
            </w:r>
          </w:p>
        </w:tc>
        <w:tc>
          <w:tcPr>
            <w:tcW w:w="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6,850,413</w:t>
            </w:r>
          </w:p>
        </w:tc>
        <w:tc>
          <w:tcPr>
            <w:tcW w:w="12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$ 12,803,786</w:t>
            </w:r>
          </w:p>
        </w:tc>
        <w:tc>
          <w:tcPr>
            <w:tcW w:w="1080" w:type="dxa"/>
            <w:vAlign w:val="bottom"/>
            <w:tcBorders>
              <w:bottom w:val="single" w:sz="8" w:color="E5E5E5"/>
            </w:tcBorders>
            <w:gridSpan w:val="2"/>
            <w:shd w:val="clear" w:color="auto" w:fill="E5E5E5"/>
          </w:tcPr>
          <w:p>
            <w:pPr>
              <w:jc w:val="right"/>
              <w:ind w:right="16"/>
              <w:spacing w:after="0"/>
              <w:rPr>
                <w:sz w:val="20"/>
                <w:szCs w:val="20"/>
                <w:color w:val="auto"/>
              </w:rPr>
            </w:pPr>
            <w:r>
              <w:rPr>
                <w:rFonts w:ascii="Arial" w:cs="Arial" w:eastAsia="Arial" w:hAnsi="Arial"/>
                <w:sz w:val="16"/>
                <w:szCs w:val="16"/>
                <w:color w:val="auto"/>
              </w:rPr>
              <w:t>$ 3,425,759</w:t>
            </w:r>
          </w:p>
        </w:tc>
      </w:tr>
      <w:tr>
        <w:trPr>
          <w:trHeight w:val="437"/>
        </w:trPr>
        <w:tc>
          <w:tcPr>
            <w:tcW w:w="2080" w:type="dxa"/>
            <w:vAlign w:val="bottom"/>
          </w:tcPr>
          <w:p>
            <w:pPr>
              <w:spacing w:after="0"/>
              <w:rPr>
                <w:sz w:val="24"/>
                <w:szCs w:val="24"/>
                <w:color w:val="auto"/>
              </w:rPr>
            </w:pPr>
          </w:p>
        </w:tc>
        <w:tc>
          <w:tcPr>
            <w:tcW w:w="7680" w:type="dxa"/>
            <w:vAlign w:val="bottom"/>
            <w:gridSpan w:val="5"/>
          </w:tcPr>
          <w:p>
            <w:pPr>
              <w:jc w:val="right"/>
              <w:ind w:right="159"/>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-143510</wp:posOffset>
            </wp:positionV>
            <wp:extent cx="415925" cy="1022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2920" w:type="dxa"/>
            <w:vAlign w:val="bottom"/>
            <w:gridSpan w:val="2"/>
            <w:shd w:val="clear" w:color="auto" w:fill="666666"/>
          </w:tcPr>
          <w:p>
            <w:pPr>
              <w:ind w:left="120"/>
              <w:spacing w:after="0"/>
              <w:rPr>
                <w:sz w:val="20"/>
                <w:szCs w:val="20"/>
                <w:color w:val="auto"/>
              </w:rPr>
            </w:pPr>
            <w:r>
              <w:rPr>
                <w:rFonts w:ascii="Arial" w:cs="Arial" w:eastAsia="Arial" w:hAnsi="Arial"/>
                <w:sz w:val="15"/>
                <w:szCs w:val="15"/>
                <w:b w:val="1"/>
                <w:bCs w:val="1"/>
                <w:color w:val="FFFFFF"/>
              </w:rPr>
              <w:t>PAY-VERSUS-PERFORMANCE TABLE</w:t>
            </w:r>
          </w:p>
        </w:tc>
        <w:tc>
          <w:tcPr>
            <w:tcW w:w="3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3"/>
        </w:trPr>
        <w:tc>
          <w:tcPr>
            <w:tcW w:w="1120" w:type="dxa"/>
            <w:vAlign w:val="bottom"/>
          </w:tcPr>
          <w:p>
            <w:pPr>
              <w:spacing w:after="0"/>
              <w:rPr>
                <w:sz w:val="19"/>
                <w:szCs w:val="19"/>
                <w:color w:val="auto"/>
              </w:rPr>
            </w:pPr>
          </w:p>
        </w:tc>
        <w:tc>
          <w:tcPr>
            <w:tcW w:w="5660" w:type="dxa"/>
            <w:vAlign w:val="bottom"/>
            <w:gridSpan w:val="2"/>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2"/>
        </w:trPr>
        <w:tc>
          <w:tcPr>
            <w:tcW w:w="6780" w:type="dxa"/>
            <w:vAlign w:val="bottom"/>
            <w:tcBorders>
              <w:bottom w:val="single" w:sz="8" w:color="666666"/>
            </w:tcBorders>
            <w:gridSpan w:val="3"/>
            <w:shd w:val="clear" w:color="auto" w:fill="666666"/>
          </w:tcPr>
          <w:p>
            <w:pPr>
              <w:ind w:left="80"/>
              <w:spacing w:after="0"/>
              <w:rPr>
                <w:sz w:val="20"/>
                <w:szCs w:val="20"/>
                <w:color w:val="auto"/>
              </w:rPr>
            </w:pPr>
            <w:r>
              <w:rPr>
                <w:rFonts w:ascii="Arial" w:cs="Arial" w:eastAsia="Arial" w:hAnsi="Arial"/>
                <w:sz w:val="15"/>
                <w:szCs w:val="15"/>
                <w:b w:val="1"/>
                <w:bCs w:val="1"/>
                <w:color w:val="FFFFFF"/>
              </w:rPr>
              <w:t>Non-CEO Named Executive Officers</w:t>
            </w:r>
          </w:p>
        </w:tc>
        <w:tc>
          <w:tcPr>
            <w:tcW w:w="1180" w:type="dxa"/>
            <w:vAlign w:val="bottom"/>
            <w:tcBorders>
              <w:bottom w:val="single" w:sz="8" w:color="666666"/>
            </w:tcBorders>
            <w:shd w:val="clear" w:color="auto" w:fill="666666"/>
          </w:tcPr>
          <w:p>
            <w:pPr>
              <w:jc w:val="right"/>
              <w:ind w:right="338"/>
              <w:spacing w:after="0"/>
              <w:rPr>
                <w:sz w:val="20"/>
                <w:szCs w:val="20"/>
                <w:color w:val="auto"/>
              </w:rPr>
            </w:pPr>
            <w:r>
              <w:rPr>
                <w:rFonts w:ascii="Arial" w:cs="Arial" w:eastAsia="Arial" w:hAnsi="Arial"/>
                <w:sz w:val="15"/>
                <w:szCs w:val="15"/>
                <w:b w:val="1"/>
                <w:bCs w:val="1"/>
                <w:color w:val="FFFFFF"/>
              </w:rPr>
              <w:t>2020</w:t>
            </w:r>
          </w:p>
        </w:tc>
        <w:tc>
          <w:tcPr>
            <w:tcW w:w="1100" w:type="dxa"/>
            <w:vAlign w:val="bottom"/>
            <w:tcBorders>
              <w:bottom w:val="single" w:sz="8" w:color="666666"/>
            </w:tcBorders>
            <w:shd w:val="clear" w:color="auto" w:fill="666666"/>
          </w:tcPr>
          <w:p>
            <w:pPr>
              <w:jc w:val="right"/>
              <w:ind w:right="338"/>
              <w:spacing w:after="0"/>
              <w:rPr>
                <w:sz w:val="20"/>
                <w:szCs w:val="20"/>
                <w:color w:val="auto"/>
              </w:rPr>
            </w:pPr>
            <w:r>
              <w:rPr>
                <w:rFonts w:ascii="Arial" w:cs="Arial" w:eastAsia="Arial" w:hAnsi="Arial"/>
                <w:sz w:val="15"/>
                <w:szCs w:val="15"/>
                <w:b w:val="1"/>
                <w:bCs w:val="1"/>
                <w:color w:val="FFFFFF"/>
              </w:rPr>
              <w:t>2021</w:t>
            </w:r>
          </w:p>
        </w:tc>
        <w:tc>
          <w:tcPr>
            <w:tcW w:w="1020" w:type="dxa"/>
            <w:vAlign w:val="bottom"/>
            <w:tcBorders>
              <w:bottom w:val="single" w:sz="8" w:color="666666"/>
            </w:tcBorders>
            <w:shd w:val="clear" w:color="auto" w:fill="666666"/>
          </w:tcPr>
          <w:p>
            <w:pPr>
              <w:jc w:val="right"/>
              <w:ind w:right="238"/>
              <w:spacing w:after="0"/>
              <w:rPr>
                <w:sz w:val="20"/>
                <w:szCs w:val="20"/>
                <w:color w:val="auto"/>
              </w:rPr>
            </w:pPr>
            <w:r>
              <w:rPr>
                <w:rFonts w:ascii="Arial" w:cs="Arial" w:eastAsia="Arial" w:hAnsi="Arial"/>
                <w:sz w:val="15"/>
                <w:szCs w:val="15"/>
                <w:b w:val="1"/>
                <w:bCs w:val="1"/>
                <w:color w:val="FFFFFF"/>
              </w:rPr>
              <w:t>2022</w:t>
            </w:r>
          </w:p>
        </w:tc>
      </w:tr>
      <w:tr>
        <w:trPr>
          <w:trHeight w:val="264"/>
        </w:trPr>
        <w:tc>
          <w:tcPr>
            <w:tcW w:w="6780" w:type="dxa"/>
            <w:vAlign w:val="bottom"/>
            <w:tcBorders>
              <w:bottom w:val="single" w:sz="8" w:color="E5E5E5"/>
            </w:tcBorders>
            <w:gridSpan w:val="3"/>
            <w:shd w:val="clear" w:color="auto" w:fill="E5E5E5"/>
          </w:tcPr>
          <w:p>
            <w:pPr>
              <w:ind w:left="100"/>
              <w:spacing w:after="0"/>
              <w:rPr>
                <w:sz w:val="20"/>
                <w:szCs w:val="20"/>
                <w:color w:val="auto"/>
              </w:rPr>
            </w:pPr>
            <w:r>
              <w:rPr>
                <w:rFonts w:ascii="Arial" w:cs="Arial" w:eastAsia="Arial" w:hAnsi="Arial"/>
                <w:sz w:val="16"/>
                <w:szCs w:val="16"/>
                <w:b w:val="1"/>
                <w:bCs w:val="1"/>
                <w:color w:val="auto"/>
              </w:rPr>
              <w:t>Summary Compensation Table Total</w:t>
            </w:r>
          </w:p>
        </w:tc>
        <w:tc>
          <w:tcPr>
            <w:tcW w:w="11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$ 3,139,404</w:t>
            </w:r>
          </w:p>
        </w:tc>
        <w:tc>
          <w:tcPr>
            <w:tcW w:w="11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$ 5,527,722</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$ 3,700,352</w:t>
            </w:r>
          </w:p>
        </w:tc>
      </w:tr>
      <w:tr>
        <w:trPr>
          <w:trHeight w:val="250"/>
        </w:trPr>
        <w:tc>
          <w:tcPr>
            <w:tcW w:w="6780" w:type="dxa"/>
            <w:vAlign w:val="bottom"/>
            <w:gridSpan w:val="3"/>
          </w:tcPr>
          <w:p>
            <w:pPr>
              <w:ind w:left="100"/>
              <w:spacing w:after="0"/>
              <w:rPr>
                <w:sz w:val="20"/>
                <w:szCs w:val="20"/>
                <w:color w:val="auto"/>
              </w:rPr>
            </w:pPr>
            <w:r>
              <w:rPr>
                <w:rFonts w:ascii="Arial" w:cs="Arial" w:eastAsia="Arial" w:hAnsi="Arial"/>
                <w:sz w:val="16"/>
                <w:szCs w:val="16"/>
                <w:color w:val="auto"/>
              </w:rPr>
              <w:t>-   Grant Date Fair Value of Option Awards and Stock Awards Granted in Fiscal Year</w:t>
            </w: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(2,232,879)</w:t>
            </w: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(2,625,811)</w:t>
            </w:r>
          </w:p>
        </w:tc>
        <w:tc>
          <w:tcPr>
            <w:tcW w:w="1020" w:type="dxa"/>
            <w:vAlign w:val="bottom"/>
          </w:tcPr>
          <w:p>
            <w:pPr>
              <w:jc w:val="right"/>
              <w:spacing w:after="0"/>
              <w:rPr>
                <w:sz w:val="20"/>
                <w:szCs w:val="20"/>
                <w:color w:val="auto"/>
              </w:rPr>
            </w:pPr>
            <w:r>
              <w:rPr>
                <w:rFonts w:ascii="Arial" w:cs="Arial" w:eastAsia="Arial" w:hAnsi="Arial"/>
                <w:sz w:val="16"/>
                <w:szCs w:val="16"/>
                <w:color w:val="auto"/>
              </w:rPr>
              <w:t>(1,987,594)</w:t>
            </w:r>
          </w:p>
        </w:tc>
      </w:tr>
      <w:tr>
        <w:trPr>
          <w:trHeight w:val="35"/>
        </w:trPr>
        <w:tc>
          <w:tcPr>
            <w:tcW w:w="1120" w:type="dxa"/>
            <w:vAlign w:val="bottom"/>
          </w:tcPr>
          <w:p>
            <w:pPr>
              <w:spacing w:after="0"/>
              <w:rPr>
                <w:sz w:val="3"/>
                <w:szCs w:val="3"/>
                <w:color w:val="auto"/>
              </w:rPr>
            </w:pPr>
          </w:p>
        </w:tc>
        <w:tc>
          <w:tcPr>
            <w:tcW w:w="566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8"/>
        </w:trPr>
        <w:tc>
          <w:tcPr>
            <w:tcW w:w="678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  Fair Value at Fiscal Year-End of Outstanding and Unvested Option Awards and Stock</w:t>
            </w:r>
          </w:p>
        </w:tc>
        <w:tc>
          <w:tcPr>
            <w:tcW w:w="1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r>
      <w:tr>
        <w:trPr>
          <w:trHeight w:val="232"/>
        </w:trPr>
        <w:tc>
          <w:tcPr>
            <w:tcW w:w="6780" w:type="dxa"/>
            <w:vAlign w:val="bottom"/>
            <w:tcBorders>
              <w:bottom w:val="single" w:sz="8" w:color="E5E5E5"/>
            </w:tcBorders>
            <w:gridSpan w:val="3"/>
            <w:shd w:val="clear" w:color="auto" w:fill="E5E5E5"/>
          </w:tcPr>
          <w:p>
            <w:pPr>
              <w:ind w:left="240"/>
              <w:spacing w:after="0"/>
              <w:rPr>
                <w:sz w:val="20"/>
                <w:szCs w:val="20"/>
                <w:color w:val="auto"/>
              </w:rPr>
            </w:pPr>
            <w:r>
              <w:rPr>
                <w:rFonts w:ascii="Arial" w:cs="Arial" w:eastAsia="Arial" w:hAnsi="Arial"/>
                <w:sz w:val="16"/>
                <w:szCs w:val="16"/>
                <w:color w:val="auto"/>
              </w:rPr>
              <w:t>Awards Granted in Fiscal Year</w:t>
            </w:r>
          </w:p>
        </w:tc>
        <w:tc>
          <w:tcPr>
            <w:tcW w:w="11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3,483,075</w:t>
            </w:r>
          </w:p>
        </w:tc>
        <w:tc>
          <w:tcPr>
            <w:tcW w:w="11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1,538,508</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850,287</w:t>
            </w:r>
          </w:p>
        </w:tc>
      </w:tr>
      <w:tr>
        <w:trPr>
          <w:trHeight w:val="218"/>
        </w:trPr>
        <w:tc>
          <w:tcPr>
            <w:tcW w:w="6780" w:type="dxa"/>
            <w:vAlign w:val="bottom"/>
            <w:gridSpan w:val="3"/>
          </w:tcPr>
          <w:p>
            <w:pPr>
              <w:ind w:left="100"/>
              <w:spacing w:after="0"/>
              <w:rPr>
                <w:sz w:val="20"/>
                <w:szCs w:val="20"/>
                <w:color w:val="auto"/>
              </w:rPr>
            </w:pPr>
            <w:r>
              <w:rPr>
                <w:rFonts w:ascii="Arial" w:cs="Arial" w:eastAsia="Arial" w:hAnsi="Arial"/>
                <w:sz w:val="16"/>
                <w:szCs w:val="16"/>
                <w:color w:val="auto"/>
              </w:rPr>
              <w:t>+  Change in Fair Value of Outstanding and Unvested Option Awards and Stock Awards</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780" w:type="dxa"/>
            <w:vAlign w:val="bottom"/>
            <w:gridSpan w:val="3"/>
          </w:tcPr>
          <w:p>
            <w:pPr>
              <w:ind w:left="240"/>
              <w:spacing w:after="0"/>
              <w:rPr>
                <w:sz w:val="20"/>
                <w:szCs w:val="20"/>
                <w:color w:val="auto"/>
              </w:rPr>
            </w:pPr>
            <w:r>
              <w:rPr>
                <w:rFonts w:ascii="Arial" w:cs="Arial" w:eastAsia="Arial" w:hAnsi="Arial"/>
                <w:sz w:val="16"/>
                <w:szCs w:val="16"/>
                <w:color w:val="auto"/>
              </w:rPr>
              <w:t>Granted in Prior Fiscal Years</w:t>
            </w: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(1,373,167)</w:t>
            </w: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(182,461)</w:t>
            </w:r>
          </w:p>
        </w:tc>
        <w:tc>
          <w:tcPr>
            <w:tcW w:w="1020" w:type="dxa"/>
            <w:vAlign w:val="bottom"/>
          </w:tcPr>
          <w:p>
            <w:pPr>
              <w:jc w:val="right"/>
              <w:spacing w:after="0"/>
              <w:rPr>
                <w:sz w:val="20"/>
                <w:szCs w:val="20"/>
                <w:color w:val="auto"/>
              </w:rPr>
            </w:pPr>
            <w:r>
              <w:rPr>
                <w:rFonts w:ascii="Arial" w:cs="Arial" w:eastAsia="Arial" w:hAnsi="Arial"/>
                <w:sz w:val="16"/>
                <w:szCs w:val="16"/>
                <w:color w:val="auto"/>
              </w:rPr>
              <w:t>(155,168)</w:t>
            </w:r>
          </w:p>
        </w:tc>
      </w:tr>
      <w:tr>
        <w:trPr>
          <w:trHeight w:val="35"/>
        </w:trPr>
        <w:tc>
          <w:tcPr>
            <w:tcW w:w="1120" w:type="dxa"/>
            <w:vAlign w:val="bottom"/>
          </w:tcPr>
          <w:p>
            <w:pPr>
              <w:spacing w:after="0"/>
              <w:rPr>
                <w:sz w:val="3"/>
                <w:szCs w:val="3"/>
                <w:color w:val="auto"/>
              </w:rPr>
            </w:pPr>
          </w:p>
        </w:tc>
        <w:tc>
          <w:tcPr>
            <w:tcW w:w="566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8"/>
        </w:trPr>
        <w:tc>
          <w:tcPr>
            <w:tcW w:w="678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  Fair Value at Vesting of Option Awards and Stock Awards Granted in Fiscal Year That</w:t>
            </w:r>
          </w:p>
        </w:tc>
        <w:tc>
          <w:tcPr>
            <w:tcW w:w="1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r>
      <w:tr>
        <w:trPr>
          <w:trHeight w:val="232"/>
        </w:trPr>
        <w:tc>
          <w:tcPr>
            <w:tcW w:w="6780" w:type="dxa"/>
            <w:vAlign w:val="bottom"/>
            <w:tcBorders>
              <w:bottom w:val="single" w:sz="8" w:color="E5E5E5"/>
            </w:tcBorders>
            <w:gridSpan w:val="3"/>
            <w:shd w:val="clear" w:color="auto" w:fill="E5E5E5"/>
          </w:tcPr>
          <w:p>
            <w:pPr>
              <w:ind w:left="240"/>
              <w:spacing w:after="0"/>
              <w:rPr>
                <w:sz w:val="20"/>
                <w:szCs w:val="20"/>
                <w:color w:val="auto"/>
              </w:rPr>
            </w:pPr>
            <w:r>
              <w:rPr>
                <w:rFonts w:ascii="Arial" w:cs="Arial" w:eastAsia="Arial" w:hAnsi="Arial"/>
                <w:sz w:val="16"/>
                <w:szCs w:val="16"/>
                <w:color w:val="auto"/>
              </w:rPr>
              <w:t>Vested During Fiscal Year</w:t>
            </w:r>
          </w:p>
        </w:tc>
        <w:tc>
          <w:tcPr>
            <w:tcW w:w="11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780" w:type="dxa"/>
            <w:vAlign w:val="bottom"/>
            <w:gridSpan w:val="3"/>
          </w:tcPr>
          <w:p>
            <w:pPr>
              <w:ind w:left="100"/>
              <w:spacing w:after="0"/>
              <w:rPr>
                <w:sz w:val="20"/>
                <w:szCs w:val="20"/>
                <w:color w:val="auto"/>
              </w:rPr>
            </w:pPr>
            <w:r>
              <w:rPr>
                <w:rFonts w:ascii="Arial" w:cs="Arial" w:eastAsia="Arial" w:hAnsi="Arial"/>
                <w:sz w:val="16"/>
                <w:szCs w:val="16"/>
                <w:color w:val="auto"/>
              </w:rPr>
              <w:t>+  Change in Fair Value as of Vesting Date of Option Awards and Stock Awards Granted in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5"/>
        </w:trPr>
        <w:tc>
          <w:tcPr>
            <w:tcW w:w="6780" w:type="dxa"/>
            <w:vAlign w:val="bottom"/>
            <w:gridSpan w:val="3"/>
          </w:tcPr>
          <w:p>
            <w:pPr>
              <w:ind w:left="240"/>
              <w:spacing w:after="0"/>
              <w:rPr>
                <w:sz w:val="20"/>
                <w:szCs w:val="20"/>
                <w:color w:val="auto"/>
              </w:rPr>
            </w:pPr>
            <w:r>
              <w:rPr>
                <w:rFonts w:ascii="Arial" w:cs="Arial" w:eastAsia="Arial" w:hAnsi="Arial"/>
                <w:sz w:val="16"/>
                <w:szCs w:val="16"/>
                <w:color w:val="auto"/>
              </w:rPr>
              <w:t>Prior Fiscal Years for Which Applicable Vesting Conditions Were Satisfied During Fiscal</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6780" w:type="dxa"/>
            <w:vAlign w:val="bottom"/>
            <w:gridSpan w:val="3"/>
          </w:tcPr>
          <w:p>
            <w:pPr>
              <w:ind w:left="240"/>
              <w:spacing w:after="0"/>
              <w:rPr>
                <w:sz w:val="20"/>
                <w:szCs w:val="20"/>
                <w:color w:val="auto"/>
              </w:rPr>
            </w:pPr>
            <w:r>
              <w:rPr>
                <w:rFonts w:ascii="Arial" w:cs="Arial" w:eastAsia="Arial" w:hAnsi="Arial"/>
                <w:sz w:val="16"/>
                <w:szCs w:val="16"/>
                <w:color w:val="auto"/>
              </w:rPr>
              <w:t>Year</w:t>
            </w: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(1,356,654)</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563,197</w:t>
            </w:r>
          </w:p>
        </w:tc>
        <w:tc>
          <w:tcPr>
            <w:tcW w:w="1020" w:type="dxa"/>
            <w:vAlign w:val="bottom"/>
          </w:tcPr>
          <w:p>
            <w:pPr>
              <w:jc w:val="right"/>
              <w:spacing w:after="0"/>
              <w:rPr>
                <w:sz w:val="20"/>
                <w:szCs w:val="20"/>
                <w:color w:val="auto"/>
              </w:rPr>
            </w:pPr>
            <w:r>
              <w:rPr>
                <w:rFonts w:ascii="Arial" w:cs="Arial" w:eastAsia="Arial" w:hAnsi="Arial"/>
                <w:sz w:val="16"/>
                <w:szCs w:val="16"/>
                <w:color w:val="auto"/>
              </w:rPr>
              <w:t>(268,882)</w:t>
            </w:r>
          </w:p>
        </w:tc>
      </w:tr>
      <w:tr>
        <w:trPr>
          <w:trHeight w:val="35"/>
        </w:trPr>
        <w:tc>
          <w:tcPr>
            <w:tcW w:w="1120" w:type="dxa"/>
            <w:vAlign w:val="bottom"/>
          </w:tcPr>
          <w:p>
            <w:pPr>
              <w:spacing w:after="0"/>
              <w:rPr>
                <w:sz w:val="3"/>
                <w:szCs w:val="3"/>
                <w:color w:val="auto"/>
              </w:rPr>
            </w:pPr>
          </w:p>
        </w:tc>
        <w:tc>
          <w:tcPr>
            <w:tcW w:w="566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8"/>
        </w:trPr>
        <w:tc>
          <w:tcPr>
            <w:tcW w:w="6780" w:type="dxa"/>
            <w:vAlign w:val="bottom"/>
            <w:gridSpan w:val="3"/>
            <w:shd w:val="clear" w:color="auto" w:fill="E5E5E5"/>
          </w:tcPr>
          <w:p>
            <w:pPr>
              <w:ind w:left="100"/>
              <w:spacing w:after="0"/>
              <w:rPr>
                <w:sz w:val="20"/>
                <w:szCs w:val="20"/>
                <w:color w:val="auto"/>
              </w:rPr>
            </w:pPr>
            <w:r>
              <w:rPr>
                <w:rFonts w:ascii="Arial" w:cs="Arial" w:eastAsia="Arial" w:hAnsi="Arial"/>
                <w:sz w:val="16"/>
                <w:szCs w:val="16"/>
                <w:color w:val="auto"/>
              </w:rPr>
              <w:t>-   Fair Value as of Prior Fiscal Year-End of Option Awards and Stock Awards Granted in</w:t>
            </w:r>
          </w:p>
        </w:tc>
        <w:tc>
          <w:tcPr>
            <w:tcW w:w="11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r>
      <w:tr>
        <w:trPr>
          <w:trHeight w:val="232"/>
        </w:trPr>
        <w:tc>
          <w:tcPr>
            <w:tcW w:w="6780" w:type="dxa"/>
            <w:vAlign w:val="bottom"/>
            <w:tcBorders>
              <w:bottom w:val="single" w:sz="8" w:color="E5E5E5"/>
            </w:tcBorders>
            <w:gridSpan w:val="3"/>
            <w:shd w:val="clear" w:color="auto" w:fill="E5E5E5"/>
          </w:tcPr>
          <w:p>
            <w:pPr>
              <w:ind w:left="240"/>
              <w:spacing w:after="0"/>
              <w:rPr>
                <w:sz w:val="20"/>
                <w:szCs w:val="20"/>
                <w:color w:val="auto"/>
              </w:rPr>
            </w:pPr>
            <w:r>
              <w:rPr>
                <w:rFonts w:ascii="Arial" w:cs="Arial" w:eastAsia="Arial" w:hAnsi="Arial"/>
                <w:sz w:val="16"/>
                <w:szCs w:val="16"/>
                <w:color w:val="auto"/>
              </w:rPr>
              <w:t>Prior Fiscal Years That Failed to Meet Applicable Vesting Conditions During Fiscal Year</w:t>
            </w:r>
          </w:p>
        </w:tc>
        <w:tc>
          <w:tcPr>
            <w:tcW w:w="11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(630,558)</w:t>
            </w:r>
          </w:p>
        </w:tc>
      </w:tr>
      <w:tr>
        <w:trPr>
          <w:trHeight w:val="218"/>
        </w:trPr>
        <w:tc>
          <w:tcPr>
            <w:tcW w:w="6780" w:type="dxa"/>
            <w:vAlign w:val="bottom"/>
            <w:gridSpan w:val="3"/>
          </w:tcPr>
          <w:p>
            <w:pPr>
              <w:ind w:left="100"/>
              <w:spacing w:after="0"/>
              <w:rPr>
                <w:sz w:val="20"/>
                <w:szCs w:val="20"/>
                <w:color w:val="auto"/>
              </w:rPr>
            </w:pPr>
            <w:r>
              <w:rPr>
                <w:rFonts w:ascii="Arial" w:cs="Arial" w:eastAsia="Arial" w:hAnsi="Arial"/>
                <w:sz w:val="16"/>
                <w:szCs w:val="16"/>
                <w:color w:val="auto"/>
              </w:rPr>
              <w:t>+  Value of Dividends or Other Earnings Paid on Option Awards or Stock Awards in the</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780" w:type="dxa"/>
            <w:vAlign w:val="bottom"/>
            <w:gridSpan w:val="3"/>
          </w:tcPr>
          <w:p>
            <w:pPr>
              <w:ind w:left="240"/>
              <w:spacing w:after="0"/>
              <w:rPr>
                <w:sz w:val="20"/>
                <w:szCs w:val="20"/>
                <w:color w:val="auto"/>
              </w:rPr>
            </w:pPr>
            <w:r>
              <w:rPr>
                <w:rFonts w:ascii="Arial" w:cs="Arial" w:eastAsia="Arial" w:hAnsi="Arial"/>
                <w:sz w:val="16"/>
                <w:szCs w:val="16"/>
                <w:color w:val="auto"/>
              </w:rPr>
              <w:t>Fiscal Year That Are Not Included in the Total Compensation for the Fiscal Year</w:t>
            </w:r>
          </w:p>
        </w:tc>
        <w:tc>
          <w:tcPr>
            <w:tcW w:w="11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566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6780" w:type="dxa"/>
            <w:vAlign w:val="bottom"/>
            <w:tcBorders>
              <w:bottom w:val="single" w:sz="8" w:color="E5E5E5"/>
            </w:tcBorders>
            <w:gridSpan w:val="3"/>
            <w:shd w:val="clear" w:color="auto" w:fill="E5E5E5"/>
          </w:tcPr>
          <w:p>
            <w:pPr>
              <w:ind w:left="100"/>
              <w:spacing w:after="0"/>
              <w:rPr>
                <w:sz w:val="20"/>
                <w:szCs w:val="20"/>
                <w:color w:val="auto"/>
              </w:rPr>
            </w:pPr>
            <w:r>
              <w:rPr>
                <w:rFonts w:ascii="Arial" w:cs="Arial" w:eastAsia="Arial" w:hAnsi="Arial"/>
                <w:sz w:val="16"/>
                <w:szCs w:val="16"/>
                <w:b w:val="1"/>
                <w:bCs w:val="1"/>
                <w:color w:val="auto"/>
              </w:rPr>
              <w:t>Compensation“Actually Paid”</w:t>
            </w:r>
          </w:p>
        </w:tc>
        <w:tc>
          <w:tcPr>
            <w:tcW w:w="118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$ 1,659,779</w:t>
            </w:r>
          </w:p>
        </w:tc>
        <w:tc>
          <w:tcPr>
            <w:tcW w:w="1100" w:type="dxa"/>
            <w:vAlign w:val="bottom"/>
            <w:tcBorders>
              <w:bottom w:val="single" w:sz="8" w:color="E5E5E5"/>
            </w:tcBorders>
            <w:shd w:val="clear" w:color="auto" w:fill="E5E5E5"/>
          </w:tcPr>
          <w:p>
            <w:pPr>
              <w:jc w:val="right"/>
              <w:ind w:right="58"/>
              <w:spacing w:after="0"/>
              <w:rPr>
                <w:sz w:val="20"/>
                <w:szCs w:val="20"/>
                <w:color w:val="auto"/>
              </w:rPr>
            </w:pPr>
            <w:r>
              <w:rPr>
                <w:rFonts w:ascii="Arial" w:cs="Arial" w:eastAsia="Arial" w:hAnsi="Arial"/>
                <w:sz w:val="16"/>
                <w:szCs w:val="16"/>
                <w:color w:val="auto"/>
              </w:rPr>
              <w:t>$ 4,821,155</w:t>
            </w:r>
          </w:p>
        </w:tc>
        <w:tc>
          <w:tcPr>
            <w:tcW w:w="10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$ 1,508,437</w:t>
            </w:r>
          </w:p>
        </w:tc>
      </w:tr>
      <w:tr>
        <w:trPr>
          <w:trHeight w:val="136"/>
        </w:trPr>
        <w:tc>
          <w:tcPr>
            <w:tcW w:w="112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-2715895</wp:posOffset>
            </wp:positionV>
            <wp:extent cx="15875" cy="26219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5875" cy="262191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-2715895</wp:posOffset>
            </wp:positionV>
            <wp:extent cx="15875" cy="26219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5875" cy="262191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-2715895</wp:posOffset>
            </wp:positionV>
            <wp:extent cx="15875" cy="26219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875" cy="2621915"/>
                    </a:xfrm>
                    <a:prstGeom prst="rect">
                      <a:avLst/>
                    </a:prstGeom>
                    <a:noFill/>
                  </pic:spPr>
                </pic:pic>
              </a:graphicData>
            </a:graphic>
          </wp:anchor>
        </w:drawing>
      </w:r>
    </w:p>
    <w:p>
      <w:pPr>
        <w:spacing w:after="0" w:line="42" w:lineRule="exact"/>
        <w:rPr>
          <w:sz w:val="20"/>
          <w:szCs w:val="20"/>
          <w:color w:val="auto"/>
        </w:rPr>
      </w:pPr>
    </w:p>
    <w:p>
      <w:pPr>
        <w:ind w:left="980" w:right="300" w:hanging="400"/>
        <w:spacing w:after="0" w:line="251" w:lineRule="auto"/>
        <w:tabs>
          <w:tab w:leader="none" w:pos="9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Total shareholder return and peer group total shareholder return represent the cumulative total return for our common stock and the Standard &amp; Poor’s Software and Services Index (“S&amp;P 500/Software &amp; Services”), respectively, assuming $100 was invested at the market close on December 31, 2019 in the common stock of Sabre Corporation and in the S&amp;P 500/Software &amp; Services index, as well as reinvestments of dividends.</w:t>
      </w:r>
    </w:p>
    <w:p>
      <w:pPr>
        <w:spacing w:after="0" w:line="44" w:lineRule="exact"/>
        <w:rPr>
          <w:rFonts w:ascii="Arial" w:cs="Arial" w:eastAsia="Arial" w:hAnsi="Arial"/>
          <w:sz w:val="15"/>
          <w:szCs w:val="15"/>
          <w:color w:val="auto"/>
        </w:rPr>
      </w:pPr>
    </w:p>
    <w:p>
      <w:pPr>
        <w:ind w:left="980" w:right="60" w:hanging="400"/>
        <w:spacing w:after="0" w:line="262" w:lineRule="auto"/>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Adjusted EBITDA represents, in Sabre’s assessment, the most important financial measure used by Sabre to link compensation actually paid to Sabre’s named executive officers for the most recently completed fiscal year to Sabre. See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for additional information on Adjusted EBITDA, including a non-GAAP to GAAP reconciliation. For 2022,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For 2021,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(benefit) provision for income taxes; the calculation of Adjusted EBITDA was to no longer exclude the amortization of upfront incentive consideration in all periods presented. For 2020,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amortization of upfront incentive consideration, interest expense, net, other, net, loss on extinguishment of debt, acquisition-related costs, litigation costs, net, stock-based compensation and the remaining provision for income taxes.</w:t>
      </w:r>
    </w:p>
    <w:p>
      <w:pPr>
        <w:spacing w:after="0" w:line="266"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194310</wp:posOffset>
            </wp:positionV>
            <wp:extent cx="1915795" cy="1492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15795" cy="149225"/>
                    </a:xfrm>
                    <a:prstGeom prst="rect">
                      <a:avLst/>
                    </a:prstGeom>
                    <a:noFill/>
                  </pic:spPr>
                </pic:pic>
              </a:graphicData>
            </a:graphic>
          </wp:anchor>
        </w:drawing>
      </w:r>
    </w:p>
    <w:p>
      <w:pPr>
        <w:spacing w:after="0" w:line="31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FFFFFF"/>
        </w:rPr>
        <w:t>PAY-VERSUS-PERFORMANCE TABLE</w:t>
      </w:r>
    </w:p>
    <w:p>
      <w:pPr>
        <w:spacing w:after="0" w:line="250" w:lineRule="exact"/>
        <w:rPr>
          <w:sz w:val="20"/>
          <w:szCs w:val="20"/>
          <w:color w:val="auto"/>
        </w:rPr>
      </w:pPr>
    </w:p>
    <w:p>
      <w:pPr>
        <w:ind w:left="580" w:right="320"/>
        <w:spacing w:after="0" w:line="242" w:lineRule="auto"/>
        <w:rPr>
          <w:sz w:val="20"/>
          <w:szCs w:val="20"/>
          <w:color w:val="auto"/>
        </w:rPr>
      </w:pPr>
      <w:r>
        <w:rPr>
          <w:rFonts w:ascii="Arial" w:cs="Arial" w:eastAsia="Arial" w:hAnsi="Arial"/>
          <w:sz w:val="18"/>
          <w:szCs w:val="18"/>
          <w:color w:val="auto"/>
        </w:rPr>
        <w:t>The following chart reflects the relationship over each of the years in the pay-versus-performance table between the compensation “actually paid” to the CEO and the average compensation “actually paid” to the non-CEO named executive officers to Sabre’s cumulative total shareholder return, peer group cumulative total shareholder return, net income, and Adjusted EBITDA over each of the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56515</wp:posOffset>
            </wp:positionV>
            <wp:extent cx="4231640" cy="31718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23164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financial performance measures represent, in Sabre’s assessment, the most important financial measures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Sabre used to link compensation that we actually paid to our named executive officers for 2022:</w:t>
      </w:r>
    </w:p>
    <w:p>
      <w:pPr>
        <w:ind w:left="780" w:hanging="200"/>
        <w:spacing w:after="0" w:line="182" w:lineRule="auto"/>
        <w:tabs>
          <w:tab w:leader="none" w:pos="780" w:val="left"/>
        </w:tabs>
        <w:numPr>
          <w:ilvl w:val="0"/>
          <w:numId w:val="78"/>
        </w:numPr>
        <w:rPr>
          <w:rFonts w:ascii="Arial" w:cs="Arial" w:eastAsia="Arial" w:hAnsi="Arial"/>
          <w:sz w:val="37"/>
          <w:szCs w:val="37"/>
          <w:color w:val="auto"/>
          <w:vertAlign w:val="subscript"/>
        </w:rPr>
      </w:pPr>
      <w:r>
        <w:rPr>
          <w:rFonts w:ascii="Arial" w:cs="Arial" w:eastAsia="Arial" w:hAnsi="Arial"/>
          <w:sz w:val="16"/>
          <w:szCs w:val="16"/>
          <w:color w:val="auto"/>
        </w:rPr>
        <w:t>Adjusted EBITDA</w:t>
      </w:r>
    </w:p>
    <w:p>
      <w:pPr>
        <w:spacing w:after="0" w:line="66" w:lineRule="exact"/>
        <w:rPr>
          <w:rFonts w:ascii="Arial" w:cs="Arial" w:eastAsia="Arial" w:hAnsi="Arial"/>
          <w:sz w:val="37"/>
          <w:szCs w:val="37"/>
          <w:color w:val="auto"/>
          <w:vertAlign w:val="subscript"/>
        </w:rPr>
      </w:pPr>
    </w:p>
    <w:p>
      <w:pPr>
        <w:ind w:left="780" w:hanging="200"/>
        <w:spacing w:after="0" w:line="184" w:lineRule="auto"/>
        <w:tabs>
          <w:tab w:leader="none" w:pos="780" w:val="left"/>
        </w:tabs>
        <w:numPr>
          <w:ilvl w:val="0"/>
          <w:numId w:val="78"/>
        </w:numPr>
        <w:rPr>
          <w:rFonts w:ascii="Arial" w:cs="Arial" w:eastAsia="Arial" w:hAnsi="Arial"/>
          <w:sz w:val="36"/>
          <w:szCs w:val="36"/>
          <w:color w:val="auto"/>
          <w:vertAlign w:val="subscript"/>
        </w:rPr>
      </w:pPr>
      <w:r>
        <w:rPr>
          <w:rFonts w:ascii="Arial" w:cs="Arial" w:eastAsia="Arial" w:hAnsi="Arial"/>
          <w:sz w:val="16"/>
          <w:szCs w:val="16"/>
          <w:color w:val="auto"/>
        </w:rPr>
        <w:t>Adjusted Free Cash Flow</w:t>
      </w:r>
    </w:p>
    <w:p>
      <w:pPr>
        <w:spacing w:after="0" w:line="65" w:lineRule="exact"/>
        <w:rPr>
          <w:rFonts w:ascii="Arial" w:cs="Arial" w:eastAsia="Arial" w:hAnsi="Arial"/>
          <w:sz w:val="36"/>
          <w:szCs w:val="36"/>
          <w:color w:val="auto"/>
          <w:vertAlign w:val="subscript"/>
        </w:rPr>
      </w:pPr>
    </w:p>
    <w:p>
      <w:pPr>
        <w:ind w:left="780" w:hanging="200"/>
        <w:spacing w:after="0" w:line="184" w:lineRule="auto"/>
        <w:tabs>
          <w:tab w:leader="none" w:pos="780" w:val="left"/>
        </w:tabs>
        <w:numPr>
          <w:ilvl w:val="0"/>
          <w:numId w:val="78"/>
        </w:numPr>
        <w:rPr>
          <w:rFonts w:ascii="Arial" w:cs="Arial" w:eastAsia="Arial" w:hAnsi="Arial"/>
          <w:sz w:val="36"/>
          <w:szCs w:val="36"/>
          <w:color w:val="auto"/>
          <w:vertAlign w:val="subscript"/>
        </w:rPr>
      </w:pPr>
      <w:r>
        <w:rPr>
          <w:rFonts w:ascii="Arial" w:cs="Arial" w:eastAsia="Arial" w:hAnsi="Arial"/>
          <w:sz w:val="16"/>
          <w:szCs w:val="16"/>
          <w:color w:val="auto"/>
        </w:rPr>
        <w:t>Revenue</w:t>
      </w:r>
    </w:p>
    <w:p>
      <w:pPr>
        <w:spacing w:after="0" w:line="131" w:lineRule="exact"/>
        <w:rPr>
          <w:sz w:val="20"/>
          <w:szCs w:val="20"/>
          <w:color w:val="auto"/>
        </w:rPr>
      </w:pPr>
    </w:p>
    <w:p>
      <w:pPr>
        <w:ind w:left="580" w:right="220"/>
        <w:spacing w:after="0" w:line="242" w:lineRule="auto"/>
        <w:rPr>
          <w:sz w:val="20"/>
          <w:szCs w:val="20"/>
          <w:color w:val="auto"/>
        </w:rPr>
      </w:pPr>
      <w:r>
        <w:rPr>
          <w:rFonts w:ascii="Arial" w:cs="Arial" w:eastAsia="Arial" w:hAnsi="Arial"/>
          <w:sz w:val="18"/>
          <w:szCs w:val="18"/>
          <w:color w:val="auto"/>
        </w:rPr>
        <w:t>Adjusted EBITDA was the primary financial metric of our 2022 annual incentive, and we consider it to be an important indicator of our overall business performance. Adjusted Free Cash Flow was the primary financial metric of our 2022 PSU awards, and we consider it to be an important long-term indicator of our ability to operate our business and repay our debt. We consider revenue to be a significant driver of our Adjusted EBITDA and Adjusted Free Cash Flow.</w:t>
      </w:r>
    </w:p>
    <w:p>
      <w:pPr>
        <w:spacing w:after="0" w:line="55" w:lineRule="exact"/>
        <w:rPr>
          <w:sz w:val="20"/>
          <w:szCs w:val="20"/>
          <w:color w:val="auto"/>
        </w:rPr>
      </w:pPr>
    </w:p>
    <w:p>
      <w:pPr>
        <w:ind w:left="580" w:right="20"/>
        <w:spacing w:after="0" w:line="248" w:lineRule="auto"/>
        <w:rPr>
          <w:sz w:val="20"/>
          <w:szCs w:val="20"/>
          <w:color w:val="auto"/>
        </w:rPr>
      </w:pPr>
      <w:r>
        <w:rPr>
          <w:rFonts w:ascii="Arial" w:cs="Arial" w:eastAsia="Arial" w:hAnsi="Arial"/>
          <w:sz w:val="18"/>
          <w:szCs w:val="18"/>
          <w:color w:val="auto"/>
        </w:rPr>
        <w:t>The information in this “Pay-versus-Performance Table” section shall not be deemed to be incorporated by reference into any future filing by us under the Securities Act or the Exchange Act, except to the extent that we specifically incorporate this section by reference in such filing.</w:t>
      </w:r>
    </w:p>
    <w:p>
      <w:pPr>
        <w:spacing w:after="0" w:line="88"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4035425" cy="1492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035425" cy="149225"/>
                    </a:xfrm>
                    <a:prstGeom prst="rect">
                      <a:avLst/>
                    </a:prstGeom>
                    <a:noFill/>
                  </pic:spPr>
                </pic:pic>
              </a:graphicData>
            </a:graphic>
          </wp:anchor>
        </w:drawing>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FFFFFF"/>
        </w:rPr>
        <w:t>SECURITY OWNERSHIP OF CERTAIN BENEFICIAL OWNERS AND MANAGEMENT</w:t>
      </w:r>
    </w:p>
    <w:p>
      <w:pPr>
        <w:spacing w:after="0" w:line="228" w:lineRule="exact"/>
        <w:rPr>
          <w:sz w:val="20"/>
          <w:szCs w:val="20"/>
          <w:color w:val="auto"/>
        </w:rPr>
      </w:pPr>
    </w:p>
    <w:p>
      <w:pPr>
        <w:ind w:left="580" w:right="1340"/>
        <w:spacing w:after="0" w:line="293" w:lineRule="auto"/>
        <w:rPr>
          <w:sz w:val="20"/>
          <w:szCs w:val="20"/>
          <w:color w:val="auto"/>
        </w:rPr>
      </w:pPr>
      <w:r>
        <w:rPr>
          <w:rFonts w:ascii="Arial" w:cs="Arial" w:eastAsia="Arial" w:hAnsi="Arial"/>
          <w:sz w:val="36"/>
          <w:szCs w:val="36"/>
          <w:b w:val="1"/>
          <w:bCs w:val="1"/>
          <w:color w:val="CF0A2C"/>
        </w:rPr>
        <w:t>SECURITY OWNERSHIP OF CERTAIN BENEFICIAL OWNERS AND MANAGEMENT</w:t>
      </w:r>
    </w:p>
    <w:p>
      <w:pPr>
        <w:spacing w:after="0" w:line="39" w:lineRule="exact"/>
        <w:rPr>
          <w:sz w:val="20"/>
          <w:szCs w:val="20"/>
          <w:color w:val="auto"/>
        </w:rPr>
      </w:pPr>
    </w:p>
    <w:p>
      <w:pPr>
        <w:ind w:left="580" w:right="60"/>
        <w:spacing w:after="0" w:line="242" w:lineRule="auto"/>
        <w:rPr>
          <w:sz w:val="20"/>
          <w:szCs w:val="20"/>
          <w:color w:val="auto"/>
        </w:rPr>
      </w:pPr>
      <w:r>
        <w:rPr>
          <w:rFonts w:ascii="Arial" w:cs="Arial" w:eastAsia="Arial" w:hAnsi="Arial"/>
          <w:sz w:val="18"/>
          <w:szCs w:val="18"/>
          <w:color w:val="auto"/>
        </w:rPr>
        <w:t>The following table sets forth information regarding the beneficial ownership of our common stock, determined in accordance with the SEC’s rules and regulation, as of December 31, 2022 for (1) each person or group who is known by us to own beneficially more than 5% of our outstanding shares, (2) each of our named executive officers, (3) each of the individuals that served as a director during 2022, and (4) all of our executive officers and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127000</wp:posOffset>
            </wp:positionV>
            <wp:extent cx="1444625" cy="5236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444625" cy="5236210"/>
                    </a:xfrm>
                    <a:prstGeom prst="rect">
                      <a:avLst/>
                    </a:prstGeom>
                    <a:noFill/>
                  </pic:spPr>
                </pic:pic>
              </a:graphicData>
            </a:graphic>
          </wp:anchor>
        </w:drawing>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120" w:type="dxa"/>
            <w:vAlign w:val="bottom"/>
            <w:shd w:val="clear" w:color="auto" w:fill="666666"/>
          </w:tcPr>
          <w:p>
            <w:pPr>
              <w:spacing w:after="0"/>
              <w:rPr>
                <w:sz w:val="14"/>
                <w:szCs w:val="14"/>
                <w:color w:val="auto"/>
              </w:rPr>
            </w:pPr>
          </w:p>
        </w:tc>
        <w:tc>
          <w:tcPr>
            <w:tcW w:w="6700" w:type="dxa"/>
            <w:vAlign w:val="bottom"/>
            <w:shd w:val="clear" w:color="auto" w:fill="666666"/>
          </w:tcPr>
          <w:p>
            <w:pPr>
              <w:spacing w:after="0"/>
              <w:rPr>
                <w:sz w:val="14"/>
                <w:szCs w:val="14"/>
                <w:color w:val="auto"/>
              </w:rPr>
            </w:pPr>
          </w:p>
        </w:tc>
        <w:tc>
          <w:tcPr>
            <w:tcW w:w="2260" w:type="dxa"/>
            <w:vAlign w:val="bottom"/>
            <w:gridSpan w:val="2"/>
            <w:shd w:val="clear" w:color="auto" w:fill="666666"/>
          </w:tcPr>
          <w:p>
            <w:pPr>
              <w:jc w:val="right"/>
              <w:ind w:right="98"/>
              <w:spacing w:after="0"/>
              <w:rPr>
                <w:sz w:val="20"/>
                <w:szCs w:val="20"/>
                <w:color w:val="auto"/>
              </w:rPr>
            </w:pPr>
            <w:r>
              <w:rPr>
                <w:rFonts w:ascii="Arial" w:cs="Arial" w:eastAsia="Arial" w:hAnsi="Arial"/>
                <w:sz w:val="15"/>
                <w:szCs w:val="15"/>
                <w:b w:val="1"/>
                <w:bCs w:val="1"/>
                <w:color w:val="FFFFFF"/>
              </w:rPr>
              <w:t>Shares of Common Stock</w:t>
            </w:r>
          </w:p>
        </w:tc>
      </w:tr>
      <w:tr>
        <w:trPr>
          <w:trHeight w:val="198"/>
        </w:trPr>
        <w:tc>
          <w:tcPr>
            <w:tcW w:w="1120" w:type="dxa"/>
            <w:vAlign w:val="bottom"/>
            <w:shd w:val="clear" w:color="auto" w:fill="666666"/>
          </w:tcPr>
          <w:p>
            <w:pPr>
              <w:spacing w:after="0"/>
              <w:rPr>
                <w:sz w:val="17"/>
                <w:szCs w:val="17"/>
                <w:color w:val="auto"/>
              </w:rPr>
            </w:pPr>
          </w:p>
        </w:tc>
        <w:tc>
          <w:tcPr>
            <w:tcW w:w="6700" w:type="dxa"/>
            <w:vAlign w:val="bottom"/>
            <w:shd w:val="clear" w:color="auto" w:fill="666666"/>
          </w:tcPr>
          <w:p>
            <w:pPr>
              <w:spacing w:after="0"/>
              <w:rPr>
                <w:sz w:val="17"/>
                <w:szCs w:val="17"/>
                <w:color w:val="auto"/>
              </w:rPr>
            </w:pPr>
          </w:p>
        </w:tc>
        <w:tc>
          <w:tcPr>
            <w:tcW w:w="2260" w:type="dxa"/>
            <w:vAlign w:val="bottom"/>
            <w:gridSpan w:val="2"/>
            <w:shd w:val="clear" w:color="auto" w:fill="666666"/>
          </w:tcPr>
          <w:p>
            <w:pPr>
              <w:jc w:val="right"/>
              <w:ind w:right="238"/>
              <w:spacing w:after="0" w:line="198" w:lineRule="exact"/>
              <w:rPr>
                <w:sz w:val="20"/>
                <w:szCs w:val="20"/>
                <w:color w:val="auto"/>
              </w:rPr>
            </w:pPr>
            <w:r>
              <w:rPr>
                <w:rFonts w:ascii="Arial" w:cs="Arial" w:eastAsia="Arial" w:hAnsi="Arial"/>
                <w:sz w:val="15"/>
                <w:szCs w:val="15"/>
                <w:b w:val="1"/>
                <w:bCs w:val="1"/>
                <w:color w:val="FFFFFF"/>
              </w:rPr>
              <w:t>Beneficially Owned</w:t>
            </w:r>
            <w:r>
              <w:rPr>
                <w:rFonts w:ascii="Arial" w:cs="Arial" w:eastAsia="Arial" w:hAnsi="Arial"/>
                <w:sz w:val="22"/>
                <w:szCs w:val="22"/>
                <w:b w:val="1"/>
                <w:bCs w:val="1"/>
                <w:color w:val="FFFFFF"/>
                <w:vertAlign w:val="superscript"/>
              </w:rPr>
              <w:t>(1)</w:t>
            </w:r>
          </w:p>
        </w:tc>
      </w:tr>
      <w:tr>
        <w:trPr>
          <w:trHeight w:val="210"/>
        </w:trPr>
        <w:tc>
          <w:tcPr>
            <w:tcW w:w="1120" w:type="dxa"/>
            <w:vAlign w:val="bottom"/>
            <w:shd w:val="clear" w:color="auto" w:fill="666666"/>
          </w:tcPr>
          <w:p>
            <w:pPr>
              <w:spacing w:after="0"/>
              <w:rPr>
                <w:sz w:val="18"/>
                <w:szCs w:val="18"/>
                <w:color w:val="auto"/>
              </w:rPr>
            </w:pPr>
          </w:p>
        </w:tc>
        <w:tc>
          <w:tcPr>
            <w:tcW w:w="6700" w:type="dxa"/>
            <w:vAlign w:val="bottom"/>
            <w:shd w:val="clear" w:color="auto" w:fill="666666"/>
          </w:tcPr>
          <w:p>
            <w:pPr>
              <w:spacing w:after="0"/>
              <w:rPr>
                <w:sz w:val="18"/>
                <w:szCs w:val="18"/>
                <w:color w:val="auto"/>
              </w:rPr>
            </w:pPr>
          </w:p>
        </w:tc>
        <w:tc>
          <w:tcPr>
            <w:tcW w:w="1240" w:type="dxa"/>
            <w:vAlign w:val="bottom"/>
            <w:shd w:val="clear" w:color="auto" w:fill="666666"/>
          </w:tcPr>
          <w:p>
            <w:pPr>
              <w:jc w:val="right"/>
              <w:ind w:right="299"/>
              <w:spacing w:after="0"/>
              <w:rPr>
                <w:sz w:val="20"/>
                <w:szCs w:val="20"/>
                <w:color w:val="auto"/>
              </w:rPr>
            </w:pPr>
            <w:r>
              <w:rPr>
                <w:rFonts w:ascii="Arial" w:cs="Arial" w:eastAsia="Arial" w:hAnsi="Arial"/>
                <w:sz w:val="15"/>
                <w:szCs w:val="15"/>
                <w:b w:val="1"/>
                <w:bCs w:val="1"/>
                <w:color w:val="FFFFFF"/>
              </w:rPr>
              <w:t>Number</w:t>
            </w:r>
          </w:p>
        </w:tc>
        <w:tc>
          <w:tcPr>
            <w:tcW w:w="1020" w:type="dxa"/>
            <w:vAlign w:val="bottom"/>
            <w:shd w:val="clear" w:color="auto" w:fill="666666"/>
          </w:tcPr>
          <w:p>
            <w:pPr>
              <w:jc w:val="right"/>
              <w:ind w:right="198"/>
              <w:spacing w:after="0"/>
              <w:rPr>
                <w:sz w:val="20"/>
                <w:szCs w:val="20"/>
                <w:color w:val="auto"/>
              </w:rPr>
            </w:pPr>
            <w:r>
              <w:rPr>
                <w:rFonts w:ascii="Arial" w:cs="Arial" w:eastAsia="Arial" w:hAnsi="Arial"/>
                <w:sz w:val="15"/>
                <w:szCs w:val="15"/>
                <w:b w:val="1"/>
                <w:bCs w:val="1"/>
                <w:color w:val="FFFFFF"/>
              </w:rPr>
              <w:t>Percent</w:t>
            </w: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5% Stockholders:</w:t>
            </w:r>
          </w:p>
        </w:tc>
        <w:tc>
          <w:tcPr>
            <w:tcW w:w="124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r>
      <w:tr>
        <w:trPr>
          <w:trHeight w:val="284"/>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(2)</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56,842,577</w:t>
            </w: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17.3%</w:t>
            </w:r>
          </w:p>
        </w:tc>
      </w:tr>
      <w:tr>
        <w:trPr>
          <w:trHeight w:val="284"/>
        </w:trPr>
        <w:tc>
          <w:tcPr>
            <w:tcW w:w="782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(3)</w:t>
            </w:r>
          </w:p>
        </w:tc>
        <w:tc>
          <w:tcPr>
            <w:tcW w:w="12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37,234,133</w:t>
            </w:r>
          </w:p>
        </w:tc>
        <w:tc>
          <w:tcPr>
            <w:tcW w:w="1020" w:type="dxa"/>
            <w:vAlign w:val="bottom"/>
            <w:shd w:val="clear" w:color="auto" w:fill="E5E5E5"/>
          </w:tcPr>
          <w:p>
            <w:pPr>
              <w:jc w:val="right"/>
              <w:ind w:right="138"/>
              <w:spacing w:after="0"/>
              <w:rPr>
                <w:sz w:val="20"/>
                <w:szCs w:val="20"/>
                <w:color w:val="auto"/>
              </w:rPr>
            </w:pPr>
            <w:r>
              <w:rPr>
                <w:rFonts w:ascii="Arial" w:cs="Arial" w:eastAsia="Arial" w:hAnsi="Arial"/>
                <w:sz w:val="16"/>
                <w:szCs w:val="16"/>
                <w:color w:val="auto"/>
              </w:rPr>
              <w:t>11.3%</w:t>
            </w:r>
          </w:p>
        </w:tc>
      </w:tr>
      <w:tr>
        <w:trPr>
          <w:trHeight w:val="284"/>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Fundsmith LLP</w:t>
            </w:r>
            <w:r>
              <w:rPr>
                <w:rFonts w:ascii="Arial" w:cs="Arial" w:eastAsia="Arial" w:hAnsi="Arial"/>
                <w:sz w:val="24"/>
                <w:szCs w:val="24"/>
                <w:color w:val="auto"/>
                <w:vertAlign w:val="superscript"/>
              </w:rPr>
              <w:t>(4)</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22,707,687</w:t>
            </w: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6.9%</w:t>
            </w:r>
          </w:p>
        </w:tc>
      </w:tr>
      <w:tr>
        <w:trPr>
          <w:trHeight w:val="284"/>
        </w:trPr>
        <w:tc>
          <w:tcPr>
            <w:tcW w:w="782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Invesco Ltd.</w:t>
            </w:r>
            <w:r>
              <w:rPr>
                <w:rFonts w:ascii="Arial" w:cs="Arial" w:eastAsia="Arial" w:hAnsi="Arial"/>
                <w:sz w:val="24"/>
                <w:szCs w:val="24"/>
                <w:color w:val="auto"/>
                <w:vertAlign w:val="superscript"/>
              </w:rPr>
              <w:t>(5)</w:t>
            </w:r>
          </w:p>
        </w:tc>
        <w:tc>
          <w:tcPr>
            <w:tcW w:w="12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18,429,687</w:t>
            </w:r>
          </w:p>
        </w:tc>
        <w:tc>
          <w:tcPr>
            <w:tcW w:w="1020" w:type="dxa"/>
            <w:vAlign w:val="bottom"/>
            <w:shd w:val="clear" w:color="auto" w:fill="E5E5E5"/>
          </w:tcPr>
          <w:p>
            <w:pPr>
              <w:jc w:val="right"/>
              <w:ind w:right="138"/>
              <w:spacing w:after="0"/>
              <w:rPr>
                <w:sz w:val="20"/>
                <w:szCs w:val="20"/>
                <w:color w:val="auto"/>
              </w:rPr>
            </w:pPr>
            <w:r>
              <w:rPr>
                <w:rFonts w:ascii="Arial" w:cs="Arial" w:eastAsia="Arial" w:hAnsi="Arial"/>
                <w:sz w:val="16"/>
                <w:szCs w:val="16"/>
                <w:color w:val="auto"/>
              </w:rPr>
              <w:t>5.6%</w:t>
            </w:r>
          </w:p>
        </w:tc>
      </w:tr>
      <w:tr>
        <w:trPr>
          <w:trHeight w:val="284"/>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EARNEST Partners, LLC</w:t>
            </w:r>
            <w:r>
              <w:rPr>
                <w:rFonts w:ascii="Arial" w:cs="Arial" w:eastAsia="Arial" w:hAnsi="Arial"/>
                <w:sz w:val="24"/>
                <w:szCs w:val="24"/>
                <w:color w:val="auto"/>
                <w:vertAlign w:val="superscript"/>
              </w:rPr>
              <w:t>(6)</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17,863,053</w:t>
            </w:r>
          </w:p>
        </w:tc>
        <w:tc>
          <w:tcPr>
            <w:tcW w:w="1020" w:type="dxa"/>
            <w:vAlign w:val="bottom"/>
          </w:tcPr>
          <w:p>
            <w:pPr>
              <w:jc w:val="right"/>
              <w:ind w:right="138"/>
              <w:spacing w:after="0"/>
              <w:rPr>
                <w:sz w:val="20"/>
                <w:szCs w:val="20"/>
                <w:color w:val="auto"/>
              </w:rPr>
            </w:pPr>
            <w:r>
              <w:rPr>
                <w:rFonts w:ascii="Arial" w:cs="Arial" w:eastAsia="Arial" w:hAnsi="Arial"/>
                <w:sz w:val="16"/>
                <w:szCs w:val="16"/>
                <w:color w:val="auto"/>
              </w:rPr>
              <w:t>5.4%</w:t>
            </w: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Named Executive Officers, Directors and Nominees for Director:</w:t>
            </w:r>
          </w:p>
        </w:tc>
        <w:tc>
          <w:tcPr>
            <w:tcW w:w="1240" w:type="dxa"/>
            <w:vAlign w:val="bottom"/>
            <w:tcBorders>
              <w:bottom w:val="single" w:sz="8" w:color="E5E5E5"/>
            </w:tcBorders>
            <w:shd w:val="clear" w:color="auto" w:fill="E5E5E5"/>
          </w:tcPr>
          <w:p>
            <w:pPr>
              <w:spacing w:after="0"/>
              <w:rPr>
                <w:sz w:val="22"/>
                <w:szCs w:val="22"/>
                <w:color w:val="auto"/>
              </w:rPr>
            </w:pPr>
          </w:p>
        </w:tc>
        <w:tc>
          <w:tcPr>
            <w:tcW w:w="1020" w:type="dxa"/>
            <w:vAlign w:val="bottom"/>
            <w:tcBorders>
              <w:bottom w:val="single" w:sz="8" w:color="E5E5E5"/>
            </w:tcBorders>
            <w:shd w:val="clear" w:color="auto" w:fill="E5E5E5"/>
          </w:tcPr>
          <w:p>
            <w:pPr>
              <w:spacing w:after="0"/>
              <w:rPr>
                <w:sz w:val="22"/>
                <w:szCs w:val="22"/>
                <w:color w:val="auto"/>
              </w:rPr>
            </w:pP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Sean Menke</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1,257,888</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color w:val="auto"/>
              </w:rPr>
              <w:t>Michael Randolfi</w:t>
            </w:r>
          </w:p>
        </w:tc>
        <w:tc>
          <w:tcPr>
            <w:tcW w:w="12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209,170</w:t>
            </w:r>
          </w:p>
        </w:tc>
        <w:tc>
          <w:tcPr>
            <w:tcW w:w="1020" w:type="dxa"/>
            <w:vAlign w:val="bottom"/>
            <w:tcBorders>
              <w:bottom w:val="single" w:sz="8" w:color="E5E5E5"/>
            </w:tcBorders>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Kurt Ekert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259,826</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color w:val="auto"/>
              </w:rPr>
              <w:t>David Moore</w:t>
            </w:r>
          </w:p>
        </w:tc>
        <w:tc>
          <w:tcPr>
            <w:tcW w:w="12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554,747</w:t>
            </w:r>
          </w:p>
        </w:tc>
        <w:tc>
          <w:tcPr>
            <w:tcW w:w="1020" w:type="dxa"/>
            <w:vAlign w:val="bottom"/>
            <w:tcBorders>
              <w:bottom w:val="single" w:sz="8" w:color="E5E5E5"/>
            </w:tcBorders>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Scott Wilson</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152,539</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84"/>
        </w:trPr>
        <w:tc>
          <w:tcPr>
            <w:tcW w:w="782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Douglas Barnett</w:t>
            </w:r>
            <w:r>
              <w:rPr>
                <w:rFonts w:ascii="Arial" w:cs="Arial" w:eastAsia="Arial" w:hAnsi="Arial"/>
                <w:sz w:val="24"/>
                <w:szCs w:val="24"/>
                <w:color w:val="auto"/>
                <w:vertAlign w:val="superscript"/>
              </w:rPr>
              <w:t>(7)</w:t>
            </w:r>
          </w:p>
        </w:tc>
        <w:tc>
          <w:tcPr>
            <w:tcW w:w="12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84"/>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Wade Jones</w:t>
            </w:r>
            <w:r>
              <w:rPr>
                <w:rFonts w:ascii="Arial" w:cs="Arial" w:eastAsia="Arial" w:hAnsi="Arial"/>
                <w:sz w:val="24"/>
                <w:szCs w:val="24"/>
                <w:color w:val="auto"/>
                <w:vertAlign w:val="superscript"/>
              </w:rPr>
              <w:t>(7)</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268,202</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284"/>
        </w:trPr>
        <w:tc>
          <w:tcPr>
            <w:tcW w:w="782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Cem Tanyel</w:t>
            </w:r>
            <w:r>
              <w:rPr>
                <w:rFonts w:ascii="Arial" w:cs="Arial" w:eastAsia="Arial" w:hAnsi="Arial"/>
                <w:sz w:val="24"/>
                <w:szCs w:val="24"/>
                <w:color w:val="auto"/>
                <w:vertAlign w:val="superscript"/>
              </w:rPr>
              <w:t>(7)</w:t>
            </w:r>
          </w:p>
        </w:tc>
        <w:tc>
          <w:tcPr>
            <w:tcW w:w="12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169,639</w:t>
            </w:r>
          </w:p>
        </w:tc>
        <w:tc>
          <w:tcPr>
            <w:tcW w:w="1020" w:type="dxa"/>
            <w:vAlign w:val="bottom"/>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84"/>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George Bravante, Jr.</w:t>
            </w:r>
            <w:r>
              <w:rPr>
                <w:rFonts w:ascii="Arial" w:cs="Arial" w:eastAsia="Arial" w:hAnsi="Arial"/>
                <w:sz w:val="24"/>
                <w:szCs w:val="24"/>
                <w:color w:val="auto"/>
                <w:vertAlign w:val="superscript"/>
              </w:rPr>
              <w:t>(8)</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163,470</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color w:val="auto"/>
              </w:rPr>
              <w:t>Hervé Couturier</w:t>
            </w:r>
          </w:p>
        </w:tc>
        <w:tc>
          <w:tcPr>
            <w:tcW w:w="12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70,821</w:t>
            </w:r>
          </w:p>
        </w:tc>
        <w:tc>
          <w:tcPr>
            <w:tcW w:w="1020" w:type="dxa"/>
            <w:vAlign w:val="bottom"/>
            <w:tcBorders>
              <w:bottom w:val="single" w:sz="8" w:color="E5E5E5"/>
            </w:tcBorders>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Rachel Gonzalez</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70,922</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84"/>
        </w:trPr>
        <w:tc>
          <w:tcPr>
            <w:tcW w:w="782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Gary Kusin</w:t>
            </w:r>
            <w:r>
              <w:rPr>
                <w:rFonts w:ascii="Arial" w:cs="Arial" w:eastAsia="Arial" w:hAnsi="Arial"/>
                <w:sz w:val="24"/>
                <w:szCs w:val="24"/>
                <w:color w:val="auto"/>
                <w:vertAlign w:val="superscript"/>
              </w:rPr>
              <w:t>(7)</w:t>
            </w:r>
          </w:p>
        </w:tc>
        <w:tc>
          <w:tcPr>
            <w:tcW w:w="12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Gail Mandel</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53,127</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color w:val="auto"/>
              </w:rPr>
              <w:t>Phyllis Newhouse</w:t>
            </w:r>
          </w:p>
        </w:tc>
        <w:tc>
          <w:tcPr>
            <w:tcW w:w="12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42,084</w:t>
            </w:r>
          </w:p>
        </w:tc>
        <w:tc>
          <w:tcPr>
            <w:tcW w:w="1020" w:type="dxa"/>
            <w:vAlign w:val="bottom"/>
            <w:tcBorders>
              <w:bottom w:val="single" w:sz="8" w:color="E5E5E5"/>
            </w:tcBorders>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84"/>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Karl Peterson</w:t>
            </w:r>
            <w:r>
              <w:rPr>
                <w:rFonts w:ascii="Arial" w:cs="Arial" w:eastAsia="Arial" w:hAnsi="Arial"/>
                <w:sz w:val="24"/>
                <w:szCs w:val="24"/>
                <w:color w:val="auto"/>
                <w:vertAlign w:val="superscript"/>
              </w:rPr>
              <w:t>(8)</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78,680</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color w:val="auto"/>
              </w:rPr>
              <w:t>Zane Rowe</w:t>
            </w:r>
          </w:p>
        </w:tc>
        <w:tc>
          <w:tcPr>
            <w:tcW w:w="12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71,385</w:t>
            </w:r>
          </w:p>
        </w:tc>
        <w:tc>
          <w:tcPr>
            <w:tcW w:w="1020" w:type="dxa"/>
            <w:vAlign w:val="bottom"/>
            <w:tcBorders>
              <w:bottom w:val="single" w:sz="8" w:color="E5E5E5"/>
            </w:tcBorders>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Gregg Saretsky</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54,520</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820" w:type="dxa"/>
            <w:vAlign w:val="bottom"/>
            <w:tcBorders>
              <w:bottom w:val="single" w:sz="8" w:color="E5E5E5"/>
            </w:tcBorders>
            <w:gridSpan w:val="2"/>
            <w:shd w:val="clear" w:color="auto" w:fill="E5E5E5"/>
          </w:tcPr>
          <w:p>
            <w:pPr>
              <w:ind w:left="100"/>
              <w:spacing w:after="0"/>
              <w:rPr>
                <w:sz w:val="20"/>
                <w:szCs w:val="20"/>
                <w:color w:val="auto"/>
              </w:rPr>
            </w:pPr>
            <w:r>
              <w:rPr>
                <w:rFonts w:ascii="Arial" w:cs="Arial" w:eastAsia="Arial" w:hAnsi="Arial"/>
                <w:sz w:val="16"/>
                <w:szCs w:val="16"/>
                <w:color w:val="auto"/>
              </w:rPr>
              <w:t>John Scott</w:t>
            </w:r>
          </w:p>
        </w:tc>
        <w:tc>
          <w:tcPr>
            <w:tcW w:w="12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54,520</w:t>
            </w:r>
          </w:p>
        </w:tc>
        <w:tc>
          <w:tcPr>
            <w:tcW w:w="1020" w:type="dxa"/>
            <w:vAlign w:val="bottom"/>
            <w:tcBorders>
              <w:bottom w:val="single" w:sz="8" w:color="E5E5E5"/>
            </w:tcBorders>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250"/>
        </w:trPr>
        <w:tc>
          <w:tcPr>
            <w:tcW w:w="7820" w:type="dxa"/>
            <w:vAlign w:val="bottom"/>
            <w:gridSpan w:val="2"/>
          </w:tcPr>
          <w:p>
            <w:pPr>
              <w:ind w:left="100"/>
              <w:spacing w:after="0"/>
              <w:rPr>
                <w:sz w:val="20"/>
                <w:szCs w:val="20"/>
                <w:color w:val="auto"/>
              </w:rPr>
            </w:pPr>
            <w:r>
              <w:rPr>
                <w:rFonts w:ascii="Arial" w:cs="Arial" w:eastAsia="Arial" w:hAnsi="Arial"/>
                <w:sz w:val="16"/>
                <w:szCs w:val="16"/>
                <w:color w:val="auto"/>
              </w:rPr>
              <w:t>Wendi Sturgis</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42,084</w:t>
            </w:r>
          </w:p>
        </w:tc>
        <w:tc>
          <w:tcPr>
            <w:tcW w:w="1020" w:type="dxa"/>
            <w:vAlign w:val="bottom"/>
          </w:tcPr>
          <w:p>
            <w:pPr>
              <w:jc w:val="right"/>
              <w:ind w:right="278"/>
              <w:spacing w:after="0"/>
              <w:rPr>
                <w:sz w:val="20"/>
                <w:szCs w:val="20"/>
                <w:color w:val="auto"/>
              </w:rPr>
            </w:pPr>
            <w:r>
              <w:rPr>
                <w:rFonts w:ascii="Arial" w:cs="Arial" w:eastAsia="Arial" w:hAnsi="Arial"/>
                <w:sz w:val="16"/>
                <w:szCs w:val="16"/>
                <w:color w:val="auto"/>
              </w:rPr>
              <w:t>*</w:t>
            </w:r>
          </w:p>
        </w:tc>
      </w:tr>
      <w:tr>
        <w:trPr>
          <w:trHeight w:val="35"/>
        </w:trPr>
        <w:tc>
          <w:tcPr>
            <w:tcW w:w="11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84"/>
        </w:trPr>
        <w:tc>
          <w:tcPr>
            <w:tcW w:w="7820" w:type="dxa"/>
            <w:vAlign w:val="bottom"/>
            <w:gridSpan w:val="2"/>
            <w:shd w:val="clear" w:color="auto" w:fill="E5E5E5"/>
          </w:tcPr>
          <w:p>
            <w:pPr>
              <w:ind w:left="80"/>
              <w:spacing w:after="0"/>
              <w:rPr>
                <w:sz w:val="20"/>
                <w:szCs w:val="20"/>
                <w:color w:val="auto"/>
              </w:rPr>
            </w:pPr>
            <w:r>
              <w:rPr>
                <w:rFonts w:ascii="Arial" w:cs="Arial" w:eastAsia="Arial" w:hAnsi="Arial"/>
                <w:sz w:val="15"/>
                <w:szCs w:val="15"/>
                <w:b w:val="1"/>
                <w:bCs w:val="1"/>
                <w:color w:val="auto"/>
              </w:rPr>
              <w:t>All Executive Officers, Directors and Nominees as a group (23 Persons)</w:t>
            </w:r>
            <w:r>
              <w:rPr>
                <w:rFonts w:ascii="Arial" w:cs="Arial" w:eastAsia="Arial" w:hAnsi="Arial"/>
                <w:sz w:val="22"/>
                <w:szCs w:val="22"/>
                <w:b w:val="1"/>
                <w:bCs w:val="1"/>
                <w:color w:val="auto"/>
                <w:vertAlign w:val="superscript"/>
              </w:rPr>
              <w:t>(9)</w:t>
            </w:r>
          </w:p>
        </w:tc>
        <w:tc>
          <w:tcPr>
            <w:tcW w:w="1240" w:type="dxa"/>
            <w:vAlign w:val="bottom"/>
            <w:shd w:val="clear" w:color="auto" w:fill="E5E5E5"/>
          </w:tcPr>
          <w:p>
            <w:pPr>
              <w:jc w:val="right"/>
              <w:ind w:right="119"/>
              <w:spacing w:after="0"/>
              <w:rPr>
                <w:sz w:val="20"/>
                <w:szCs w:val="20"/>
                <w:color w:val="auto"/>
              </w:rPr>
            </w:pPr>
            <w:r>
              <w:rPr>
                <w:rFonts w:ascii="Arial" w:cs="Arial" w:eastAsia="Arial" w:hAnsi="Arial"/>
                <w:sz w:val="15"/>
                <w:szCs w:val="15"/>
                <w:b w:val="1"/>
                <w:bCs w:val="1"/>
                <w:color w:val="auto"/>
              </w:rPr>
              <w:t>4,336,776</w:t>
            </w:r>
          </w:p>
        </w:tc>
        <w:tc>
          <w:tcPr>
            <w:tcW w:w="1020" w:type="dxa"/>
            <w:vAlign w:val="bottom"/>
            <w:shd w:val="clear" w:color="auto" w:fill="E5E5E5"/>
          </w:tcPr>
          <w:p>
            <w:pPr>
              <w:jc w:val="right"/>
              <w:ind w:right="278"/>
              <w:spacing w:after="0"/>
              <w:rPr>
                <w:sz w:val="20"/>
                <w:szCs w:val="20"/>
                <w:color w:val="auto"/>
              </w:rPr>
            </w:pPr>
            <w:r>
              <w:rPr>
                <w:rFonts w:ascii="Arial" w:cs="Arial" w:eastAsia="Arial" w:hAnsi="Arial"/>
                <w:sz w:val="16"/>
                <w:szCs w:val="16"/>
                <w:color w:val="auto"/>
              </w:rPr>
              <w:t>*</w:t>
            </w:r>
          </w:p>
        </w:tc>
      </w:tr>
      <w:tr>
        <w:trPr>
          <w:trHeight w:val="136"/>
        </w:trPr>
        <w:tc>
          <w:tcPr>
            <w:tcW w:w="1120" w:type="dxa"/>
            <w:vAlign w:val="bottom"/>
            <w:tcBorders>
              <w:bottom w:val="single" w:sz="8" w:color="auto"/>
            </w:tcBorders>
          </w:tcPr>
          <w:p>
            <w:pPr>
              <w:spacing w:after="0"/>
              <w:rPr>
                <w:sz w:val="11"/>
                <w:szCs w:val="11"/>
                <w:color w:val="auto"/>
              </w:rPr>
            </w:pPr>
          </w:p>
        </w:tc>
        <w:tc>
          <w:tcPr>
            <w:tcW w:w="6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25" w:lineRule="exact"/>
        <w:rPr>
          <w:sz w:val="20"/>
          <w:szCs w:val="20"/>
          <w:color w:val="auto"/>
        </w:rPr>
      </w:pPr>
    </w:p>
    <w:p>
      <w:pPr>
        <w:ind w:left="980" w:hanging="400"/>
        <w:spacing w:after="0"/>
        <w:tabs>
          <w:tab w:leader="none" w:pos="9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Represents beneficial ownership of less than 1%.</w:t>
      </w:r>
    </w:p>
    <w:p>
      <w:pPr>
        <w:spacing w:after="0" w:line="12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92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194310</wp:posOffset>
            </wp:positionV>
            <wp:extent cx="4097655" cy="1492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097655" cy="149225"/>
                    </a:xfrm>
                    <a:prstGeom prst="rect">
                      <a:avLst/>
                    </a:prstGeom>
                    <a:noFill/>
                  </pic:spPr>
                </pic:pic>
              </a:graphicData>
            </a:graphic>
          </wp:anchor>
        </w:drawing>
      </w:r>
    </w:p>
    <w:p>
      <w:pPr>
        <w:spacing w:after="0" w:line="31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FFFFFF"/>
        </w:rPr>
        <w:t>SECURITY OWNERSHIP OF CERTAIN BENEFICIAL OWNERS AND MANAGEMENT</w:t>
      </w:r>
    </w:p>
    <w:p>
      <w:pPr>
        <w:spacing w:after="0" w:line="248" w:lineRule="exact"/>
        <w:rPr>
          <w:sz w:val="20"/>
          <w:szCs w:val="20"/>
          <w:color w:val="auto"/>
        </w:rPr>
      </w:pPr>
    </w:p>
    <w:p>
      <w:pPr>
        <w:ind w:left="980" w:hanging="400"/>
        <w:spacing w:after="0" w:line="249"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Shares shown in the table above include shares held in the beneficial owner’s name or jointly with others, or in the name of a bank, nominee or trustee for the beneficial owner’s account. Unless otherwise noted, the address of each beneficial owner listed in the table is c/o Sabre Corporation, 3150 Sabre Drive, Southlake, Texas 76092. Unless otherwise noted and subject to applicable community property laws, we believe that each stockholder identified in the table possesses sole voting and investment power over all shares shown as beneficially owned by the stockholder. Percentage of beneficial ownership is based on the number of shares outstanding as of December 31, 2022.</w:t>
      </w:r>
    </w:p>
    <w:p>
      <w:pPr>
        <w:spacing w:after="0" w:line="44" w:lineRule="exact"/>
        <w:rPr>
          <w:rFonts w:ascii="Arial" w:cs="Arial" w:eastAsia="Arial" w:hAnsi="Arial"/>
          <w:sz w:val="15"/>
          <w:szCs w:val="15"/>
          <w:color w:val="auto"/>
        </w:rPr>
      </w:pPr>
    </w:p>
    <w:p>
      <w:pPr>
        <w:ind w:left="980" w:right="100" w:hanging="400"/>
        <w:spacing w:after="0" w:line="251"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number of shares of our common stock beneficially owned by BlackRock, Inc. (“BlackRock”) is based on the Schedule 13G/A filed by BlackRock with the SEC on January 6, 2023 (the “BlackRock 13G/A”). According to the BlackRock 13G/A, (i) the address of BlackRock is 55 East 52nd Street, New York, NY 10055 and (ii) BlackRock has sole voting power with respect to 56,147,926 shares, sole dispositive power with respect to 56,842,577 shares, and no shared voting or dispositive power.</w:t>
      </w:r>
    </w:p>
    <w:p>
      <w:pPr>
        <w:spacing w:after="0" w:line="44" w:lineRule="exact"/>
        <w:rPr>
          <w:rFonts w:ascii="Arial" w:cs="Arial" w:eastAsia="Arial" w:hAnsi="Arial"/>
          <w:sz w:val="15"/>
          <w:szCs w:val="15"/>
          <w:color w:val="auto"/>
        </w:rPr>
      </w:pPr>
    </w:p>
    <w:p>
      <w:pPr>
        <w:ind w:left="980" w:right="360" w:hanging="400"/>
        <w:spacing w:after="0" w:line="251"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number of shares of our common stock beneficially owned by The Vanguard Group (“Vanguard”) is based on the Schedule 13G/A filed by Vanguard with the SEC on February 9, 2023 (the “Vanguard 13G/A”). According to the Vanguard 13G/A, (i) the address of Vanguard is 100 Vanguard Blvd., Malvern, PA 19355 and (ii) Vanguard has no sole voting power, shared voting power with respect to 287,400 shares, sole dispositive power with respect to 36,638,548 shares, and shared dispositive power with respect to 595,585 shares.</w:t>
      </w:r>
    </w:p>
    <w:p>
      <w:pPr>
        <w:spacing w:after="0" w:line="44" w:lineRule="exact"/>
        <w:rPr>
          <w:rFonts w:ascii="Arial" w:cs="Arial" w:eastAsia="Arial" w:hAnsi="Arial"/>
          <w:sz w:val="15"/>
          <w:szCs w:val="15"/>
          <w:color w:val="auto"/>
        </w:rPr>
      </w:pPr>
    </w:p>
    <w:p>
      <w:pPr>
        <w:ind w:left="980" w:right="60" w:hanging="400"/>
        <w:spacing w:after="0" w:line="251"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number of shares of our common stock beneficially owned by Fundsmith LLP (“Fundsmith”) is based on the Schedule 13G filed by Fundsmith with the SEC on February 14, 2023 (the “Fundsmith 13G”). According to the Fundsmith 13G, (i) the address of Fundsmith is 33 Cavendish Square, London, UK W1G 0PQ and (ii) Fundsmith has sole voting power with respect to 22,707,687 shares, sole dispositive power with respect to 22,707,687 shares, and no shared voting or dispositive power.</w:t>
      </w:r>
    </w:p>
    <w:p>
      <w:pPr>
        <w:spacing w:after="0" w:line="44" w:lineRule="exact"/>
        <w:rPr>
          <w:rFonts w:ascii="Arial" w:cs="Arial" w:eastAsia="Arial" w:hAnsi="Arial"/>
          <w:sz w:val="15"/>
          <w:szCs w:val="15"/>
          <w:color w:val="auto"/>
        </w:rPr>
      </w:pPr>
    </w:p>
    <w:p>
      <w:pPr>
        <w:ind w:left="980" w:right="20" w:hanging="400"/>
        <w:spacing w:after="0" w:line="251"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number of shares of our common stock beneficially owned by Invesco Ltd. (“Invesco”) is based on the Schedule 13G/A filed by Invesco with the SEC on February 8, 2023 (the “Invesco 13G/A”). According to the Invesco 13G/A, (i) the address of Invesco is 1555 Peachtree Street NE, Suite 1800, Atlanta, GA 30309 and (ii) Invesco has sole voting power with respect to 18,278,538 shares, sole dispositive power with respect to 18,429,687 shares, and no shared voting or dispositive power.</w:t>
      </w:r>
    </w:p>
    <w:p>
      <w:pPr>
        <w:spacing w:after="0" w:line="44" w:lineRule="exact"/>
        <w:rPr>
          <w:rFonts w:ascii="Arial" w:cs="Arial" w:eastAsia="Arial" w:hAnsi="Arial"/>
          <w:sz w:val="15"/>
          <w:szCs w:val="15"/>
          <w:color w:val="auto"/>
        </w:rPr>
      </w:pPr>
    </w:p>
    <w:p>
      <w:pPr>
        <w:ind w:left="980" w:right="140" w:hanging="400"/>
        <w:spacing w:after="0" w:line="251"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number of shares of our common stock beneficially owned by EARNEST Partners, LLC (“EARNEST”) is based on the Schedule 13G filed by Earnest with the SEC on February 14, 2023 (the “EARNEST 13G”). According to the EARNEST 13G, (i) the address of EARNEST is 1180 Peachtree Street NE, Suite 2300, Atlanta, GA 30309 and (ii) EARNEST has sole voting power with respect to 12,618,678 shares, sole dispositive power with respect to 17,863,053 shares, and no shared voting or dispositive power.</w:t>
      </w:r>
    </w:p>
    <w:p>
      <w:pPr>
        <w:spacing w:after="0" w:line="44" w:lineRule="exact"/>
        <w:rPr>
          <w:rFonts w:ascii="Arial" w:cs="Arial" w:eastAsia="Arial" w:hAnsi="Arial"/>
          <w:sz w:val="15"/>
          <w:szCs w:val="15"/>
          <w:color w:val="auto"/>
        </w:rPr>
      </w:pPr>
    </w:p>
    <w:p>
      <w:pPr>
        <w:ind w:left="980" w:right="200" w:hanging="400"/>
        <w:spacing w:after="0" w:line="257"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Mr. Barnett’s employment with Sabre ended on October 31, 2022, Messrs. Jones’ and Tanyel’s employment with Sabre ended on September 30, 2022, and Mr. Kusin retired from the Board effective April 27, 2022. The number of shares of our common stock beneficially owned is based on information available to us.</w:t>
      </w:r>
    </w:p>
    <w:p>
      <w:pPr>
        <w:spacing w:after="0" w:line="39" w:lineRule="exact"/>
        <w:rPr>
          <w:rFonts w:ascii="Arial" w:cs="Arial" w:eastAsia="Arial" w:hAnsi="Arial"/>
          <w:sz w:val="15"/>
          <w:szCs w:val="15"/>
          <w:color w:val="auto"/>
        </w:rPr>
      </w:pPr>
    </w:p>
    <w:p>
      <w:pPr>
        <w:ind w:left="980" w:hanging="400"/>
        <w:spacing w:after="0"/>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Includes 71,760 and 35,593 shares that are deferred by Mr. Bravante and Mr. Peterson, respectively, pursuant to the Director Deferral Plan.</w:t>
      </w:r>
    </w:p>
    <w:p>
      <w:pPr>
        <w:spacing w:after="0" w:line="74" w:lineRule="exact"/>
        <w:rPr>
          <w:rFonts w:ascii="Arial" w:cs="Arial" w:eastAsia="Arial" w:hAnsi="Arial"/>
          <w:sz w:val="15"/>
          <w:szCs w:val="15"/>
          <w:color w:val="auto"/>
        </w:rPr>
      </w:pPr>
    </w:p>
    <w:p>
      <w:pPr>
        <w:ind w:left="980" w:right="100" w:hanging="400"/>
        <w:spacing w:after="0" w:line="257" w:lineRule="auto"/>
        <w:tabs>
          <w:tab w:leader="none" w:pos="9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Includes 128,876 shares that are deferred pursuant to the Director Deferral Plan, 1,807 shares underlying options that are currently exercisable or exercisable within 60 days of December 31, 2022, and 8,588 time-based restricted stock unit awards that vest within 60 days of December 31, 2022.</w:t>
      </w:r>
    </w:p>
    <w:p>
      <w:pPr>
        <w:spacing w:after="0" w:line="93"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3265805" cy="1492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265805" cy="149225"/>
                    </a:xfrm>
                    <a:prstGeom prst="rect">
                      <a:avLst/>
                    </a:prstGeom>
                    <a:noFill/>
                  </pic:spPr>
                </pic:pic>
              </a:graphicData>
            </a:graphic>
          </wp:anchor>
        </w:drawing>
      </w:r>
    </w:p>
    <w:p>
      <w:pPr>
        <w:spacing w:after="0" w:line="31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FFFFFF"/>
        </w:rPr>
        <w:t>CERTAIN RELATIONSHIPS AND RELATED PARTY TRANSACTIONS</w:t>
      </w:r>
    </w:p>
    <w:p>
      <w:pPr>
        <w:spacing w:after="0" w:line="228" w:lineRule="exact"/>
        <w:rPr>
          <w:sz w:val="20"/>
          <w:szCs w:val="20"/>
          <w:color w:val="auto"/>
        </w:rPr>
      </w:pPr>
    </w:p>
    <w:p>
      <w:pPr>
        <w:ind w:left="580" w:right="1480"/>
        <w:spacing w:after="0" w:line="293" w:lineRule="auto"/>
        <w:rPr>
          <w:sz w:val="20"/>
          <w:szCs w:val="20"/>
          <w:color w:val="auto"/>
        </w:rPr>
      </w:pPr>
      <w:r>
        <w:rPr>
          <w:rFonts w:ascii="Arial" w:cs="Arial" w:eastAsia="Arial" w:hAnsi="Arial"/>
          <w:sz w:val="36"/>
          <w:szCs w:val="36"/>
          <w:b w:val="1"/>
          <w:bCs w:val="1"/>
          <w:color w:val="CF0A2C"/>
        </w:rPr>
        <w:t>CERTAIN RELATIONSHIPS AND RELATED PARTY TRANSACTIONS</w:t>
      </w:r>
    </w:p>
    <w:p>
      <w:pPr>
        <w:spacing w:after="0" w:line="39" w:lineRule="exact"/>
        <w:rPr>
          <w:sz w:val="20"/>
          <w:szCs w:val="20"/>
          <w:color w:val="auto"/>
        </w:rPr>
      </w:pPr>
    </w:p>
    <w:p>
      <w:pPr>
        <w:ind w:left="580"/>
        <w:spacing w:after="0" w:line="233" w:lineRule="auto"/>
        <w:rPr>
          <w:sz w:val="20"/>
          <w:szCs w:val="20"/>
          <w:color w:val="auto"/>
        </w:rPr>
      </w:pPr>
      <w:r>
        <w:rPr>
          <w:rFonts w:ascii="Arial" w:cs="Arial" w:eastAsia="Arial" w:hAnsi="Arial"/>
          <w:sz w:val="18"/>
          <w:szCs w:val="18"/>
          <w:color w:val="auto"/>
        </w:rPr>
        <w:t>We have adopted a written related party transaction policy. Pursuant to this policy, the Audit Committee of the Board of Directors is responsible for evaluating each related party transaction and determining whether the transaction is fair, reasonable and within our policy, and whether it should be ratified or approved. The Audit Committee, in evaluating a transaction, considers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reviews, at least annually, a summary of our transactions with our directors and officers and with firms that employ our directors, as well as any other related party transactions they deem relevant.</w:t>
      </w:r>
    </w:p>
    <w:p>
      <w:pPr>
        <w:spacing w:after="0" w:line="102"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94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194310</wp:posOffset>
            </wp:positionV>
            <wp:extent cx="1279525" cy="1492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9525" cy="149225"/>
                    </a:xfrm>
                    <a:prstGeom prst="rect">
                      <a:avLst/>
                    </a:prstGeom>
                    <a:noFill/>
                  </pic:spPr>
                </pic:pic>
              </a:graphicData>
            </a:graphic>
          </wp:anchor>
        </w:drawing>
      </w:r>
    </w:p>
    <w:p>
      <w:pPr>
        <w:spacing w:after="0" w:line="311" w:lineRule="exact"/>
        <w:rPr>
          <w:sz w:val="20"/>
          <w:szCs w:val="20"/>
          <w:color w:val="auto"/>
        </w:rPr>
      </w:pPr>
    </w:p>
    <w:p>
      <w:pPr>
        <w:ind w:left="8920"/>
        <w:spacing w:after="0"/>
        <w:rPr>
          <w:sz w:val="20"/>
          <w:szCs w:val="20"/>
          <w:color w:val="auto"/>
        </w:rPr>
      </w:pPr>
      <w:r>
        <w:rPr>
          <w:rFonts w:ascii="Arial" w:cs="Arial" w:eastAsia="Arial" w:hAnsi="Arial"/>
          <w:sz w:val="15"/>
          <w:szCs w:val="15"/>
          <w:b w:val="1"/>
          <w:bCs w:val="1"/>
          <w:color w:val="FFFFFF"/>
        </w:rPr>
        <w:t>OTHER INFORMATION</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OTHER INFORMATION</w:t>
      </w:r>
    </w:p>
    <w:p>
      <w:pPr>
        <w:spacing w:after="0" w:line="313"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42" w:lineRule="auto"/>
        <w:rPr>
          <w:sz w:val="20"/>
          <w:szCs w:val="20"/>
          <w:color w:val="auto"/>
        </w:rPr>
      </w:pPr>
      <w:r>
        <w:rPr>
          <w:rFonts w:ascii="Arial" w:cs="Arial" w:eastAsia="Arial" w:hAnsi="Arial"/>
          <w:sz w:val="18"/>
          <w:szCs w:val="18"/>
          <w:color w:val="auto"/>
        </w:rPr>
        <w:t>Section 16(a) of the Exchange Act requires our directors, executive officers, and any person owning more than 10% of a class of our common stock to file reports with the SEC regarding their ownership of our stock and any changes in ownership. We maintain a compliance program to assist our directors and executive officers in making these filings. We believe that our executive officers, directors, and 10% stockholders timely complied with their filing requirements for 2022.</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2024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60"/>
        <w:spacing w:after="0" w:line="237" w:lineRule="auto"/>
        <w:rPr>
          <w:sz w:val="20"/>
          <w:szCs w:val="20"/>
          <w:color w:val="auto"/>
        </w:rPr>
      </w:pPr>
      <w:r>
        <w:rPr>
          <w:rFonts w:ascii="Arial" w:cs="Arial" w:eastAsia="Arial" w:hAnsi="Arial"/>
          <w:sz w:val="18"/>
          <w:szCs w:val="18"/>
          <w:color w:val="auto"/>
        </w:rPr>
        <w:t>Proposals by stockholders for inclusion in our proxy statement and form of proxy for the 2024 Annual Meeting pursuant to Rule 14a-8 of the Exchange Act should be addressed to the Corporate Secretary, Sabre Corporation, 3150 Sabre Drive, Southlake, Texas 76092, and must be received at this address no later than November 16, 2023. Any such proposals must also otherwise comply with the requirements of the SEC relating to stockholder proposals. Upon receipt of a proposal, we will determine whether or not to include the proposal in the proxy statement and form of proxy in accordance with applicable law. It is suggested that proposals be forwarded by certified mail, return receipt requested.</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Proxy Access Nominations and Annual Meeting Advance Notice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 xml:space="preserve">Stockholders who wish to nominate one or more director candidates to be included in our proxy materials pursuant to Section 2.19 of our Bylaws (a “proxy access nomination”) must submit written notice of the nomination to the Corporate Secretary, which generally must be received at least 120 days, but not more than 150 days, before the anniversary of the date that we commenced mailing of our definitive proxy statement for the previous year’s annual meeting. Any notice of a proxy access nomination must comply with the requirements of our Bylaws, which may be found in the investor relations section of our website at </w:t>
      </w:r>
      <w:r>
        <w:rPr>
          <w:rFonts w:ascii="Arial" w:cs="Arial" w:eastAsia="Arial" w:hAnsi="Arial"/>
          <w:sz w:val="18"/>
          <w:szCs w:val="18"/>
          <w:u w:val="single" w:color="auto"/>
          <w:color w:val="auto"/>
        </w:rPr>
        <w:t>investors.sabre.com</w:t>
      </w:r>
      <w:r>
        <w:rPr>
          <w:rFonts w:ascii="Arial" w:cs="Arial" w:eastAsia="Arial" w:hAnsi="Arial"/>
          <w:sz w:val="18"/>
          <w:szCs w:val="18"/>
          <w:color w:val="auto"/>
        </w:rPr>
        <w:t>, and any applicable law.</w:t>
      </w:r>
    </w:p>
    <w:p>
      <w:pPr>
        <w:spacing w:after="0" w:line="158" w:lineRule="exact"/>
        <w:rPr>
          <w:sz w:val="20"/>
          <w:szCs w:val="20"/>
          <w:color w:val="auto"/>
        </w:rPr>
      </w:pPr>
    </w:p>
    <w:p>
      <w:pPr>
        <w:ind w:left="580" w:right="140"/>
        <w:spacing w:after="0" w:line="233"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the Board of Directors, to be submitted to the stockholders for consideration at an annual meeting but without being including in the Company’s proxy statement. In order for any matter to be “properly brought” before a meeting in accordance with the advance notice procedures in our Bylaws,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or December 27, 2023 and January 26, 2024 for the 2024 Annual Meeting. Our Bylaws also specify requirements as to the form and content of a stockholder’s notice. Stockholders who intend to solicit proxies in support of director nominees other than the Company’s nominees must also comply with and provide the information required by Rule 14a-19 under the Exchange Act.</w:t>
      </w:r>
    </w:p>
    <w:p>
      <w:pPr>
        <w:spacing w:after="0" w:line="163" w:lineRule="exact"/>
        <w:rPr>
          <w:sz w:val="20"/>
          <w:szCs w:val="20"/>
          <w:color w:val="auto"/>
        </w:rPr>
      </w:pPr>
    </w:p>
    <w:p>
      <w:pPr>
        <w:ind w:left="580" w:right="480"/>
        <w:spacing w:after="0" w:line="267" w:lineRule="auto"/>
        <w:rPr>
          <w:sz w:val="20"/>
          <w:szCs w:val="20"/>
          <w:color w:val="auto"/>
        </w:rPr>
      </w:pPr>
      <w:r>
        <w:rPr>
          <w:rFonts w:ascii="Arial" w:cs="Arial" w:eastAsia="Arial" w:hAnsi="Arial"/>
          <w:sz w:val="18"/>
          <w:szCs w:val="18"/>
          <w:color w:val="auto"/>
        </w:rPr>
        <w:t>Under our Bylaws, the Board of Directors may authorize rules and regulations for the conduct of meetings. Except to the extent inconsistent with such rules and regulations adopted by the Board of Directors, the</w:t>
      </w:r>
    </w:p>
    <w:p>
      <w:pPr>
        <w:spacing w:after="0" w:line="72" w:lineRule="exact"/>
        <w:rPr>
          <w:sz w:val="20"/>
          <w:szCs w:val="20"/>
          <w:color w:val="auto"/>
        </w:rPr>
      </w:pPr>
    </w:p>
    <w:tbl>
      <w:tblPr>
        <w:tblLayout w:type="fixed"/>
        <w:tblInd w:w="6220" w:type="dxa"/>
        <w:tblCellMar>
          <w:top w:w="0" w:type="dxa"/>
          <w:left w:w="0" w:type="dxa"/>
          <w:bottom w:w="0" w:type="dxa"/>
          <w:right w:w="0" w:type="dxa"/>
        </w:tblCellMar>
      </w:tblPr>
      <w:tr>
        <w:trPr>
          <w:trHeight w:val="322"/>
        </w:trPr>
        <w:tc>
          <w:tcPr>
            <w:tcW w:w="4040" w:type="dxa"/>
            <w:vAlign w:val="bottom"/>
          </w:tcPr>
          <w:p>
            <w:pPr>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r>
              <w:rPr>
                <w:rFonts w:ascii="Arial" w:cs="Arial" w:eastAsia="Arial" w:hAnsi="Arial"/>
                <w:sz w:val="18"/>
                <w:szCs w:val="18"/>
                <w:b w:val="1"/>
                <w:bCs w:val="1"/>
                <w:color w:val="CF0A2C"/>
              </w:rPr>
              <w:t xml:space="preserve">   </w:t>
            </w:r>
            <w:r>
              <w:rPr>
                <w:rFonts w:ascii="Arial" w:cs="Arial" w:eastAsia="Arial" w:hAnsi="Arial"/>
                <w:sz w:val="23"/>
                <w:szCs w:val="23"/>
                <w:color w:val="666666"/>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666666"/>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-143510</wp:posOffset>
            </wp:positionV>
            <wp:extent cx="415925" cy="1022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194310</wp:posOffset>
            </wp:positionV>
            <wp:extent cx="1216660" cy="1492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16660" cy="149225"/>
                    </a:xfrm>
                    <a:prstGeom prst="rect">
                      <a:avLst/>
                    </a:prstGeom>
                    <a:noFill/>
                  </pic:spPr>
                </pic:pic>
              </a:graphicData>
            </a:graphic>
          </wp:anchor>
        </w:drawing>
      </w:r>
    </w:p>
    <w:p>
      <w:pPr>
        <w:spacing w:after="0" w:line="31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FFFFFF"/>
        </w:rPr>
        <w:t>OTHER INFORMATION</w:t>
      </w:r>
    </w:p>
    <w:p>
      <w:pPr>
        <w:spacing w:after="0" w:line="239" w:lineRule="exact"/>
        <w:rPr>
          <w:sz w:val="20"/>
          <w:szCs w:val="20"/>
          <w:color w:val="auto"/>
        </w:rPr>
      </w:pPr>
    </w:p>
    <w:p>
      <w:pPr>
        <w:ind w:left="580" w:right="380"/>
        <w:spacing w:after="0" w:line="242" w:lineRule="auto"/>
        <w:rPr>
          <w:sz w:val="20"/>
          <w:szCs w:val="20"/>
          <w:color w:val="auto"/>
        </w:rPr>
      </w:pPr>
      <w:r>
        <w:rPr>
          <w:rFonts w:ascii="Arial" w:cs="Arial" w:eastAsia="Arial" w:hAnsi="Arial"/>
          <w:sz w:val="18"/>
          <w:szCs w:val="18"/>
          <w:color w:val="auto"/>
        </w:rPr>
        <w:t>chairperson of the meeting of stockholders shall have the right to adopt rules and regulations for the conduct of meetings, which may have the effect of precluding the conduct of certain business at a meeting if the rules and regulations are not followed. These procedures are only a summary of the provisions regarding stockholder nominations of directors and proposals of other business in our Bylaws. Please refer to our Bylaws for more information on these requirements.</w:t>
      </w:r>
    </w:p>
    <w:p>
      <w:pPr>
        <w:spacing w:after="0" w:line="154" w:lineRule="exact"/>
        <w:rPr>
          <w:sz w:val="20"/>
          <w:szCs w:val="20"/>
          <w:color w:val="auto"/>
        </w:rPr>
      </w:pPr>
    </w:p>
    <w:p>
      <w:pPr>
        <w:ind w:left="580" w:right="20"/>
        <w:spacing w:after="0" w:line="237" w:lineRule="auto"/>
        <w:rPr>
          <w:sz w:val="20"/>
          <w:szCs w:val="20"/>
          <w:color w:val="auto"/>
        </w:rPr>
      </w:pPr>
      <w:r>
        <w:rPr>
          <w:rFonts w:ascii="Arial" w:cs="Arial" w:eastAsia="Arial" w:hAnsi="Arial"/>
          <w:sz w:val="18"/>
          <w:szCs w:val="18"/>
          <w:color w:val="auto"/>
        </w:rPr>
        <w:t>The chairperson or other officer presiding at the Annual Meeting has the sole authority to determine whether any nomination or other proposal has been properly brought before the meeting in accordance with our Bylaws. If we receive a proposal other than pursuant to Rule 14a-8 or a nomination for the 2023 Annual Meeting of Stockholders, and such nomination or other proposal was not delivered within the time frame specified in our Bylaws, then the persons appointed by the Board and named in the proxies for the 2023 Annual Meeting of Stockholders may exercise discretionary voting power if a vote is taken with respect to that nomination or other proposal.</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60"/>
        <w:spacing w:after="0" w:line="242" w:lineRule="auto"/>
        <w:rPr>
          <w:sz w:val="20"/>
          <w:szCs w:val="20"/>
          <w:color w:val="auto"/>
        </w:rPr>
      </w:pPr>
      <w:r>
        <w:rPr>
          <w:rFonts w:ascii="Arial" w:cs="Arial" w:eastAsia="Arial" w:hAnsi="Arial"/>
          <w:sz w:val="18"/>
          <w:szCs w:val="18"/>
          <w:color w:val="auto"/>
        </w:rPr>
        <w:t>Some stockholders as of the record date who have the same address and last name and have not previously requested electronic delivery of proxy materials will receive a single proxy package containing one annual report, one proxy statement, and multiple proxy cards for each stockholder. This procedure helps us reduce printing and postage costs associated with providing our proxy materials.</w:t>
      </w:r>
    </w:p>
    <w:p>
      <w:pPr>
        <w:spacing w:after="0" w:line="154" w:lineRule="exact"/>
        <w:rPr>
          <w:sz w:val="20"/>
          <w:szCs w:val="20"/>
          <w:color w:val="auto"/>
        </w:rPr>
      </w:pPr>
    </w:p>
    <w:p>
      <w:pPr>
        <w:ind w:left="580" w:right="60"/>
        <w:spacing w:after="0" w:line="242" w:lineRule="auto"/>
        <w:rPr>
          <w:sz w:val="20"/>
          <w:szCs w:val="20"/>
          <w:color w:val="auto"/>
        </w:rPr>
      </w:pPr>
      <w:r>
        <w:rPr>
          <w:rFonts w:ascii="Arial" w:cs="Arial" w:eastAsia="Arial" w:hAnsi="Arial"/>
          <w:sz w:val="18"/>
          <w:szCs w:val="18"/>
          <w:color w:val="auto"/>
        </w:rPr>
        <w:t>Once you have received notice that your broker or Sabre will be householding your materials, householding will continue until you are notified otherwise or you revoke your consent. You may request a separate copy of the Notice and/or set of our printed proxy materials by sending a written request to Sabre Corporation, 3150 Sabre Drive, Southlake, Texas 76092, Attention: Corporate Secretary, or by calling (682) 605-1000.</w:t>
      </w:r>
    </w:p>
    <w:p>
      <w:pPr>
        <w:spacing w:after="0" w:line="154"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If, at any time: (1) you no longer wish to participate in householding and would prefer to receive a separate set of our printed proxy materials or (2) you and another stockholder sharing the same address wish to participate in householding and prefer to receive one set of our printed proxy materials, please notify either your broker (if you hold your shares in street name) or Sabre (if you are a stockholder of record). You can notify Sabre by sending a written request to Sabre Corporation, 3150 Sabre Drive, Southlake, Texas 76092, Attention: Corporate Secretary.</w:t>
      </w:r>
    </w:p>
    <w:p>
      <w:pPr>
        <w:spacing w:after="0" w:line="18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156845</wp:posOffset>
            </wp:positionV>
            <wp:extent cx="1271905" cy="2432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1905"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Steve Milton</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Corporate Secretary</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SABRE CORPORATION</w:t>
      </w:r>
    </w:p>
    <w:p>
      <w:pPr>
        <w:ind w:left="580"/>
        <w:spacing w:after="0"/>
        <w:rPr>
          <w:sz w:val="20"/>
          <w:szCs w:val="20"/>
          <w:color w:val="auto"/>
        </w:rPr>
      </w:pPr>
      <w:r>
        <w:rPr>
          <w:rFonts w:ascii="Arial" w:cs="Arial" w:eastAsia="Arial" w:hAnsi="Arial"/>
          <w:sz w:val="18"/>
          <w:szCs w:val="18"/>
          <w:color w:val="auto"/>
        </w:rPr>
        <w:t>3150 Sabre Drive</w:t>
      </w:r>
    </w:p>
    <w:p>
      <w:pPr>
        <w:ind w:left="580"/>
        <w:spacing w:after="0" w:line="229" w:lineRule="auto"/>
        <w:rPr>
          <w:sz w:val="20"/>
          <w:szCs w:val="20"/>
          <w:color w:val="auto"/>
        </w:rPr>
      </w:pPr>
      <w:r>
        <w:rPr>
          <w:rFonts w:ascii="Arial" w:cs="Arial" w:eastAsia="Arial" w:hAnsi="Arial"/>
          <w:sz w:val="18"/>
          <w:szCs w:val="18"/>
          <w:color w:val="auto"/>
        </w:rPr>
        <w:t>Southlake, Texas 76092</w:t>
      </w:r>
    </w:p>
    <w:p>
      <w:pPr>
        <w:ind w:left="580"/>
        <w:spacing w:after="0"/>
        <w:rPr>
          <w:sz w:val="20"/>
          <w:szCs w:val="20"/>
          <w:color w:val="auto"/>
        </w:rPr>
      </w:pPr>
      <w:r>
        <w:rPr>
          <w:rFonts w:ascii="Arial" w:cs="Arial" w:eastAsia="Arial" w:hAnsi="Arial"/>
          <w:sz w:val="18"/>
          <w:szCs w:val="18"/>
          <w:color w:val="auto"/>
        </w:rPr>
        <w:t>Telephone: (682) 605-1000</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16, 2023</w:t>
      </w:r>
    </w:p>
    <w:p>
      <w:pPr>
        <w:spacing w:after="0" w:line="128" w:lineRule="exact"/>
        <w:rPr>
          <w:sz w:val="20"/>
          <w:szCs w:val="20"/>
          <w:color w:val="auto"/>
        </w:rPr>
      </w:pPr>
    </w:p>
    <w:p>
      <w:pPr>
        <w:ind w:left="580"/>
        <w:spacing w:after="0"/>
        <w:tabs>
          <w:tab w:leader="none" w:pos="980" w:val="left"/>
          <w:tab w:leader="none" w:pos="3800" w:val="left"/>
        </w:tabs>
        <w:rPr>
          <w:sz w:val="20"/>
          <w:szCs w:val="20"/>
          <w:color w:val="auto"/>
        </w:rPr>
      </w:pPr>
      <w:r>
        <w:rPr>
          <w:rFonts w:ascii="Arial" w:cs="Arial" w:eastAsia="Arial" w:hAnsi="Arial"/>
          <w:sz w:val="18"/>
          <w:szCs w:val="18"/>
          <w:b w:val="1"/>
          <w:bCs w:val="1"/>
          <w:color w:val="666666"/>
        </w:rPr>
        <w:t>96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APPENDIX A</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SABRE CORPORATION</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2023 OMNIBUS INCENTIVE COMPENSATION PLAN</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 Purpose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This Sabre Corporation 2023 Omnibus Incentive Compensation Plan is intended to promote the interests of the Company and its stockholders by providing the employees of the Company, who are responsible for the management, growth, and protection of the business of the Company, with incentives and rewards to encourage them to continue in the service of the Company. The Plan is designed to meet this intent by providing employees with a proprietary interest aligned with the long-term growth, profitability, and financial success of the Company.</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660"/>
        <w:spacing w:after="0" w:line="267" w:lineRule="auto"/>
        <w:rPr>
          <w:sz w:val="20"/>
          <w:szCs w:val="20"/>
          <w:color w:val="auto"/>
        </w:rPr>
      </w:pPr>
      <w:r>
        <w:rPr>
          <w:rFonts w:ascii="Arial" w:cs="Arial" w:eastAsia="Arial" w:hAnsi="Arial"/>
          <w:sz w:val="18"/>
          <w:szCs w:val="18"/>
          <w:color w:val="auto"/>
        </w:rPr>
        <w:t>As used in the Plan or in any instrument governing the terms of any Award, the following definitions apply to the terms indicated below:</w:t>
      </w:r>
    </w:p>
    <w:p>
      <w:pPr>
        <w:spacing w:after="0" w:line="133" w:lineRule="exact"/>
        <w:rPr>
          <w:sz w:val="20"/>
          <w:szCs w:val="20"/>
          <w:color w:val="auto"/>
        </w:rPr>
      </w:pPr>
    </w:p>
    <w:p>
      <w:pPr>
        <w:ind w:left="860" w:hanging="280"/>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the Company and any of its direct or indirect Subsidiaries.</w:t>
      </w:r>
    </w:p>
    <w:p>
      <w:pPr>
        <w:spacing w:after="0" w:line="188" w:lineRule="exact"/>
        <w:rPr>
          <w:rFonts w:ascii="Arial" w:cs="Arial" w:eastAsia="Arial" w:hAnsi="Arial"/>
          <w:sz w:val="18"/>
          <w:szCs w:val="18"/>
          <w:color w:val="auto"/>
        </w:rPr>
      </w:pPr>
    </w:p>
    <w:p>
      <w:pPr>
        <w:ind w:left="580" w:right="880"/>
        <w:spacing w:after="0" w:line="248" w:lineRule="auto"/>
        <w:tabs>
          <w:tab w:leader="none" w:pos="8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Affiliated Entity</w:t>
      </w:r>
      <w:r>
        <w:rPr>
          <w:rFonts w:ascii="Arial" w:cs="Arial" w:eastAsia="Arial" w:hAnsi="Arial"/>
          <w:sz w:val="18"/>
          <w:szCs w:val="18"/>
          <w:color w:val="auto"/>
        </w:rPr>
        <w:t>” means any entity related to the Company as a member of a controlled group of corporations in accordance with Section 414(b) of the Code or as a trade or business under common control in accordance with Section 414(c) of the Code, for so long as such entity is so related, including without limitation any Affiliate.</w:t>
      </w:r>
    </w:p>
    <w:p>
      <w:pPr>
        <w:spacing w:after="0" w:line="149" w:lineRule="exact"/>
        <w:rPr>
          <w:rFonts w:ascii="Arial" w:cs="Arial" w:eastAsia="Arial" w:hAnsi="Arial"/>
          <w:sz w:val="18"/>
          <w:szCs w:val="18"/>
          <w:color w:val="auto"/>
        </w:rPr>
      </w:pPr>
    </w:p>
    <w:p>
      <w:pPr>
        <w:ind w:left="580" w:right="40"/>
        <w:spacing w:after="0" w:line="248" w:lineRule="auto"/>
        <w:tabs>
          <w:tab w:leader="none" w:pos="8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Awards</w:t>
      </w:r>
      <w:r>
        <w:rPr>
          <w:rFonts w:ascii="Arial" w:cs="Arial" w:eastAsia="Arial" w:hAnsi="Arial"/>
          <w:sz w:val="18"/>
          <w:szCs w:val="18"/>
          <w:color w:val="auto"/>
        </w:rPr>
        <w:t>” mean all awards granted pursuant to the terms of the Plan including, but not limited to, Cash Incentive Awards, Incentive Stock Options, Non-Qualified Stock Options, Stock Appreciation Rights, restricted stock awards and restricted stock unit awards.</w:t>
      </w:r>
    </w:p>
    <w:p>
      <w:pPr>
        <w:spacing w:after="0" w:line="149" w:lineRule="exact"/>
        <w:rPr>
          <w:rFonts w:ascii="Arial" w:cs="Arial" w:eastAsia="Arial" w:hAnsi="Arial"/>
          <w:sz w:val="18"/>
          <w:szCs w:val="18"/>
          <w:color w:val="auto"/>
        </w:rPr>
      </w:pPr>
    </w:p>
    <w:p>
      <w:pPr>
        <w:ind w:left="580" w:right="120"/>
        <w:spacing w:after="0" w:line="267" w:lineRule="auto"/>
        <w:tabs>
          <w:tab w:leader="none" w:pos="8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the written agreement, in a form determined by the Committee from time to time, between the Company and a Participant that evidences the grant of an Award and sets out the terms and conditions of an Award.</w:t>
      </w:r>
    </w:p>
    <w:p>
      <w:pPr>
        <w:spacing w:after="0" w:line="132" w:lineRule="exact"/>
        <w:rPr>
          <w:rFonts w:ascii="Arial" w:cs="Arial" w:eastAsia="Arial" w:hAnsi="Arial"/>
          <w:sz w:val="18"/>
          <w:szCs w:val="18"/>
          <w:color w:val="auto"/>
        </w:rPr>
      </w:pPr>
    </w:p>
    <w:p>
      <w:pPr>
        <w:ind w:left="860" w:hanging="280"/>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Sabre Corporation.</w:t>
      </w:r>
    </w:p>
    <w:p>
      <w:pPr>
        <w:spacing w:after="0" w:line="188" w:lineRule="exact"/>
        <w:rPr>
          <w:rFonts w:ascii="Arial" w:cs="Arial" w:eastAsia="Arial" w:hAnsi="Arial"/>
          <w:sz w:val="18"/>
          <w:szCs w:val="18"/>
          <w:color w:val="auto"/>
        </w:rPr>
      </w:pPr>
    </w:p>
    <w:p>
      <w:pPr>
        <w:ind w:left="800" w:hanging="220"/>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Incentive Award</w:t>
      </w:r>
      <w:r>
        <w:rPr>
          <w:rFonts w:ascii="Arial" w:cs="Arial" w:eastAsia="Arial" w:hAnsi="Arial"/>
          <w:sz w:val="18"/>
          <w:szCs w:val="18"/>
          <w:color w:val="auto"/>
        </w:rPr>
        <w:t>” means an award granted pursuant to Section 8 of the Plan.</w:t>
      </w:r>
    </w:p>
    <w:p>
      <w:pPr>
        <w:spacing w:after="0" w:line="188" w:lineRule="exact"/>
        <w:rPr>
          <w:rFonts w:ascii="Arial" w:cs="Arial" w:eastAsia="Arial" w:hAnsi="Arial"/>
          <w:sz w:val="18"/>
          <w:szCs w:val="18"/>
          <w:color w:val="auto"/>
        </w:rPr>
      </w:pPr>
    </w:p>
    <w:p>
      <w:pPr>
        <w:ind w:left="580" w:right="140"/>
        <w:spacing w:after="0" w:line="236" w:lineRule="auto"/>
        <w:tabs>
          <w:tab w:leader="none" w:pos="8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mean, when used in connection with the termination of a Participant’s Employment, (i) if the Participant is a participant in the Sabre Corporation Executive Severance Plan as of the Grant Date, the definition used in such Executive Severance Plan as of the Grant Date, (ii) if the Participant is not a participant in the Sabre Corporation Executive Severance Plan as of the Grant Date but has an effective employment agreement with the Company or any Affiliated Entity as of the Grant Date, the definition used in such employment agreement as of the Grant Date, or (iii) if the Participant is not a participant in the Sabre Corporation Executive Severance Plan and does not have an effective employment agreement as of the Grant Date, unless otherwise provided in the Participant’s Award Agreement, the termination of the</w:t>
      </w:r>
    </w:p>
    <w:p>
      <w:pPr>
        <w:spacing w:after="0" w:line="97" w:lineRule="exact"/>
        <w:rPr>
          <w:sz w:val="20"/>
          <w:szCs w:val="20"/>
          <w:color w:val="auto"/>
        </w:rPr>
      </w:pPr>
    </w:p>
    <w:p>
      <w:pPr>
        <w:ind w:left="6140"/>
        <w:spacing w:after="0"/>
        <w:tabs>
          <w:tab w:leader="none" w:pos="7900" w:val="left"/>
          <w:tab w:leader="none" w:pos="9940" w:val="left"/>
          <w:tab w:leader="none" w:pos="103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spacing w:after="0" w:line="232" w:lineRule="auto"/>
        <w:rPr>
          <w:sz w:val="20"/>
          <w:szCs w:val="20"/>
          <w:color w:val="auto"/>
        </w:rPr>
      </w:pPr>
      <w:r>
        <w:rPr>
          <w:rFonts w:ascii="Arial" w:cs="Arial" w:eastAsia="Arial" w:hAnsi="Arial"/>
          <w:sz w:val="18"/>
          <w:szCs w:val="18"/>
          <w:color w:val="auto"/>
        </w:rPr>
        <w:t>Participant’s Employment on account of (i) a failure of the Participant to substantially perform his or her duties (other than as a result of physical or mental illness or injury); (ii) the Participant’s willful misconduct or gross negligence which is injurious to the Company or any Affiliated Entity (whether financially, reputationally or otherwise); (iii) a breach by a Participant of the Participant’s fiduciary duty or duty of loyalty to the Company or any Affiliated Entity; (iv) the Participant’s unauthorized removal from the premises of the Company or any Affiliated Entity of any document (in any medium or form) relating to the Company, any Affiliated Entity, or the customers of the Company or any Affiliated Entity other than in the good faith performance of the Participant’s duties; or (v) the indictment or a plea of nolo contendere by the Participant of any felony or other serious crime involving moral turpitude. Any rights the Company or any Affiliated Entity may have hereunder in respect of the events giving rise to Cause shall be in addition to the rights the Company or Affiliated Entity may have under any other agreement with the Employee or at law or in equity. If, subsequent to the termination of Employment of a Participant which is not a participant in the Sabre Corporation Executive Severance Plan as of the Grant Date or without an effective employment agreement as of the Grant Date, it is discovered that such Participant’s Employment could have been terminated for Cause, as such term is defined above (unless otherwise defined in a Grant Agreement), the Participant’s Employment shall, at the election of the Board, in its sole discretion, be deemed to have been terminated for Cause retroactively to the date the events giving rise to Cause occurred. Once an entity ceases to be an Affiliated Entity, even if an effective employment agreement as of the Grant Date was with such entity, such agreement shall continue to apply with regard to defining Cause (and for such purpose references to such entity shall be deemed to be references to the Company and any entity that continues to be an Affiliated Entity).</w:t>
      </w:r>
    </w:p>
    <w:p>
      <w:pPr>
        <w:spacing w:after="0" w:line="157" w:lineRule="exact"/>
        <w:rPr>
          <w:sz w:val="20"/>
          <w:szCs w:val="20"/>
          <w:color w:val="auto"/>
        </w:rPr>
      </w:pPr>
    </w:p>
    <w:p>
      <w:pPr>
        <w:ind w:left="580"/>
        <w:spacing w:after="0" w:line="232" w:lineRule="auto"/>
        <w:tabs>
          <w:tab w:leader="none" w:pos="8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(ii) the approval by the holders of the outstanding voting power of the Company of any plan or proposal for the liquidation or dissolution of the Company; (iii) any Person or Group(other than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 Common Stock in any such election; (iv)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(v) consummation of a merger or consolidation of the Company with another entity in which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Notwithstanding the foregoing, with respect to any Award that constitutes “non-qualified deferred compensation” within the meaning of Section 409A of the Code, an event shall not be considered to be a Change in Control under the Plan for purposes of any payment in respect of such Award unless such event is also a “change in ownership,” “change in effective control” or “change in the ownership of a substantial portion of the assets” of the Company within the meaning of Section 409A of the Code.</w:t>
      </w:r>
    </w:p>
    <w:p>
      <w:pPr>
        <w:spacing w:after="0" w:line="156" w:lineRule="exact"/>
        <w:rPr>
          <w:rFonts w:ascii="Arial" w:cs="Arial" w:eastAsia="Arial" w:hAnsi="Arial"/>
          <w:sz w:val="18"/>
          <w:szCs w:val="18"/>
          <w:color w:val="auto"/>
        </w:rPr>
      </w:pPr>
    </w:p>
    <w:p>
      <w:pPr>
        <w:ind w:left="580" w:right="120"/>
        <w:spacing w:after="0" w:line="267" w:lineRule="auto"/>
        <w:tabs>
          <w:tab w:leader="none" w:pos="7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and all regulations, interpretations, and administrative guidance issued thereunder.</w:t>
      </w:r>
    </w:p>
    <w:p>
      <w:pPr>
        <w:spacing w:after="0" w:line="72" w:lineRule="exact"/>
        <w:rPr>
          <w:sz w:val="20"/>
          <w:szCs w:val="20"/>
          <w:color w:val="auto"/>
        </w:rPr>
      </w:pPr>
    </w:p>
    <w:p>
      <w:pPr>
        <w:ind w:left="580"/>
        <w:spacing w:after="0"/>
        <w:tabs>
          <w:tab w:leader="none" w:pos="1060" w:val="left"/>
          <w:tab w:leader="none" w:pos="3880" w:val="left"/>
        </w:tabs>
        <w:rPr>
          <w:sz w:val="20"/>
          <w:szCs w:val="20"/>
          <w:color w:val="auto"/>
        </w:rPr>
      </w:pPr>
      <w:r>
        <w:rPr>
          <w:rFonts w:ascii="Arial" w:cs="Arial" w:eastAsia="Arial" w:hAnsi="Arial"/>
          <w:sz w:val="18"/>
          <w:szCs w:val="18"/>
          <w:b w:val="1"/>
          <w:bCs w:val="1"/>
          <w:color w:val="666666"/>
        </w:rPr>
        <w:t>A-2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right="240"/>
        <w:spacing w:after="0" w:line="248" w:lineRule="auto"/>
        <w:tabs>
          <w:tab w:leader="none" w:pos="79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such other committee as the Board shall appoint from time to time to administer the Plan and to otherwise exercise and perform the authority and functions assigned to the Committee under the terms of the Plan.</w:t>
      </w:r>
    </w:p>
    <w:p>
      <w:pPr>
        <w:spacing w:after="0" w:line="149" w:lineRule="exact"/>
        <w:rPr>
          <w:rFonts w:ascii="Arial" w:cs="Arial" w:eastAsia="Arial" w:hAnsi="Arial"/>
          <w:sz w:val="18"/>
          <w:szCs w:val="18"/>
          <w:color w:val="auto"/>
        </w:rPr>
      </w:pPr>
    </w:p>
    <w:p>
      <w:pPr>
        <w:ind w:left="580" w:right="280"/>
        <w:spacing w:after="0" w:line="267" w:lineRule="auto"/>
        <w:tabs>
          <w:tab w:leader="none" w:pos="8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Sabre Corporation Common Stock, $0.01 par value per share, or any other security into which the common stock shall be changed pursuant to the adjustment provisions of Section 11 of the Plan.</w:t>
      </w:r>
    </w:p>
    <w:p>
      <w:pPr>
        <w:spacing w:after="0" w:line="132" w:lineRule="exact"/>
        <w:rPr>
          <w:rFonts w:ascii="Arial" w:cs="Arial" w:eastAsia="Arial" w:hAnsi="Arial"/>
          <w:sz w:val="18"/>
          <w:szCs w:val="18"/>
          <w:color w:val="auto"/>
        </w:rPr>
      </w:pPr>
    </w:p>
    <w:p>
      <w:pPr>
        <w:ind w:left="580" w:right="20"/>
        <w:spacing w:after="0" w:line="267" w:lineRule="auto"/>
        <w:tabs>
          <w:tab w:leader="none" w:pos="79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Sabre Corporation and all of its Subsidiaries, collectively. For purposes of the Plan, the “Company” shall include any successor to the Company, subject to applicable law.</w:t>
      </w:r>
    </w:p>
    <w:p>
      <w:pPr>
        <w:spacing w:after="0" w:line="132" w:lineRule="exact"/>
        <w:rPr>
          <w:rFonts w:ascii="Arial" w:cs="Arial" w:eastAsia="Arial" w:hAnsi="Arial"/>
          <w:sz w:val="18"/>
          <w:szCs w:val="18"/>
          <w:color w:val="auto"/>
        </w:rPr>
      </w:pPr>
    </w:p>
    <w:p>
      <w:pPr>
        <w:ind w:left="580"/>
        <w:spacing w:after="0" w:line="267" w:lineRule="auto"/>
        <w:tabs>
          <w:tab w:leader="none" w:pos="9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Deferred Compensation Plan</w:t>
      </w:r>
      <w:r>
        <w:rPr>
          <w:rFonts w:ascii="Arial" w:cs="Arial" w:eastAsia="Arial" w:hAnsi="Arial"/>
          <w:sz w:val="18"/>
          <w:szCs w:val="18"/>
          <w:color w:val="auto"/>
        </w:rPr>
        <w:t>” means any plan, agreement or arrangement maintained by the Company from time to time that is established or maintained under this Plan and that provides opportunities for deferral of compensation.</w:t>
      </w:r>
    </w:p>
    <w:p>
      <w:pPr>
        <w:spacing w:after="0" w:line="132" w:lineRule="exact"/>
        <w:rPr>
          <w:rFonts w:ascii="Arial" w:cs="Arial" w:eastAsia="Arial" w:hAnsi="Arial"/>
          <w:sz w:val="18"/>
          <w:szCs w:val="18"/>
          <w:color w:val="auto"/>
        </w:rPr>
      </w:pPr>
    </w:p>
    <w:p>
      <w:pPr>
        <w:ind w:left="580"/>
        <w:spacing w:after="0" w:line="234" w:lineRule="auto"/>
        <w:tabs>
          <w:tab w:leader="none" w:pos="8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mean a permanent disability as defined in the Company’s or an Affiliate’s disability plans, or as determined from time to time by the Company, in its sole discretion, or as specified in the Participant’s Award Agreement, provided that (i) in the event the Participant is a participant in the Sabre Corporation Executive Severance Plan and such Executive Severance Plan contains a different definition of the term “Disability” (or any derivation of such term), the definition in such Executive Severance Plan shall control or (ii) in the event the Participant is not a participant in the Sabre Corporation Executive Severance Plan but is a party to an effective employment agreement with the Company or any Affiliated Entity as of the Grant Date, and such agreement contains or operates under a different definition of “Disability” (or any derivative of such term), the definition of Disability used in such agreement at the time of grant shall be substituted for the definition set forth above for all purposes hereunder.</w:t>
      </w:r>
    </w:p>
    <w:p>
      <w:pPr>
        <w:spacing w:after="0" w:line="161" w:lineRule="exact"/>
        <w:rPr>
          <w:rFonts w:ascii="Arial" w:cs="Arial" w:eastAsia="Arial" w:hAnsi="Arial"/>
          <w:sz w:val="18"/>
          <w:szCs w:val="18"/>
          <w:color w:val="auto"/>
        </w:rPr>
      </w:pPr>
    </w:p>
    <w:p>
      <w:pPr>
        <w:ind w:left="860" w:hanging="280"/>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the Plan is approved by the Company’s stockholders.</w:t>
      </w:r>
    </w:p>
    <w:p>
      <w:pPr>
        <w:spacing w:after="0" w:line="188" w:lineRule="exact"/>
        <w:rPr>
          <w:rFonts w:ascii="Arial" w:cs="Arial" w:eastAsia="Arial" w:hAnsi="Arial"/>
          <w:sz w:val="18"/>
          <w:szCs w:val="18"/>
          <w:color w:val="auto"/>
        </w:rPr>
      </w:pPr>
    </w:p>
    <w:p>
      <w:pPr>
        <w:ind w:left="580" w:right="120"/>
        <w:spacing w:after="0" w:line="236" w:lineRule="auto"/>
        <w:tabs>
          <w:tab w:leader="none" w:pos="8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w:t>
      </w:r>
      <w:r>
        <w:rPr>
          <w:rFonts w:ascii="Arial" w:cs="Arial" w:eastAsia="Arial" w:hAnsi="Arial"/>
          <w:sz w:val="18"/>
          <w:szCs w:val="18"/>
          <w:color w:val="auto"/>
        </w:rPr>
        <w:t>” shall mean, except as otherwise required by Section 409A of the Code, employment with the Company or any Affiliated Entity, and shall include the provision of services as a consultant for the Company or any Affiliated Entity. A Participant’s Employment shall terminate on the date the Participant is no longer employed by an entity that is at least one of</w:t>
      </w:r>
    </w:p>
    <w:p>
      <w:pPr>
        <w:ind w:left="580" w:right="80"/>
        <w:spacing w:after="0" w:line="246" w:lineRule="auto"/>
        <w:tabs>
          <w:tab w:leader="none" w:pos="79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(ii) an Affiliate, or (iii) an entity that is an Affiliated Entity as of such date. “</w:t>
      </w:r>
      <w:r>
        <w:rPr>
          <w:rFonts w:ascii="Arial" w:cs="Arial" w:eastAsia="Arial" w:hAnsi="Arial"/>
          <w:sz w:val="18"/>
          <w:szCs w:val="18"/>
          <w:i w:val="1"/>
          <w:iCs w:val="1"/>
          <w:color w:val="auto"/>
        </w:rPr>
        <w:t>Employed</w:t>
      </w:r>
      <w:r>
        <w:rPr>
          <w:rFonts w:ascii="Arial" w:cs="Arial" w:eastAsia="Arial" w:hAnsi="Arial"/>
          <w:sz w:val="18"/>
          <w:szCs w:val="18"/>
          <w:color w:val="auto"/>
        </w:rPr>
        <w:t>” shall have a correlative meaning.</w:t>
      </w:r>
    </w:p>
    <w:p>
      <w:pPr>
        <w:spacing w:after="0" w:line="151" w:lineRule="exact"/>
        <w:rPr>
          <w:rFonts w:ascii="Arial" w:cs="Arial" w:eastAsia="Arial" w:hAnsi="Arial"/>
          <w:sz w:val="18"/>
          <w:szCs w:val="18"/>
          <w:color w:val="auto"/>
        </w:rPr>
      </w:pPr>
    </w:p>
    <w:p>
      <w:pPr>
        <w:ind w:left="860" w:hanging="280"/>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88" w:lineRule="exact"/>
        <w:rPr>
          <w:rFonts w:ascii="Arial" w:cs="Arial" w:eastAsia="Arial" w:hAnsi="Arial"/>
          <w:sz w:val="18"/>
          <w:szCs w:val="18"/>
          <w:color w:val="auto"/>
        </w:rPr>
      </w:pPr>
    </w:p>
    <w:p>
      <w:pPr>
        <w:ind w:left="580" w:right="20"/>
        <w:spacing w:after="0" w:line="237" w:lineRule="auto"/>
        <w:tabs>
          <w:tab w:leader="none" w:pos="8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of Common Stock, as of the applicable date of determination (i) closing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w:t>
      </w:r>
    </w:p>
    <w:p>
      <w:pPr>
        <w:spacing w:after="0" w:line="158" w:lineRule="exact"/>
        <w:rPr>
          <w:rFonts w:ascii="Arial" w:cs="Arial" w:eastAsia="Arial" w:hAnsi="Arial"/>
          <w:sz w:val="18"/>
          <w:szCs w:val="18"/>
          <w:color w:val="auto"/>
        </w:rPr>
      </w:pPr>
    </w:p>
    <w:p>
      <w:pPr>
        <w:ind w:left="580" w:right="180"/>
        <w:spacing w:after="0" w:line="242" w:lineRule="auto"/>
        <w:tabs>
          <w:tab w:leader="none" w:pos="8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unless otherwise defined in a Participant’s Award Agreement (i) a material diminution in a Participant’s duties and responsibilities other than a change in such Participant’s duties and responsibilities that results from becoming part of a larger organization following a Change in Control, (ii) a decrease in a Participant’s base salary or bonus opportunity other than a proportionate decrease in bonus</w:t>
      </w:r>
    </w:p>
    <w:p>
      <w:pPr>
        <w:spacing w:after="0" w:line="93" w:lineRule="exact"/>
        <w:rPr>
          <w:sz w:val="20"/>
          <w:szCs w:val="20"/>
          <w:color w:val="auto"/>
        </w:rPr>
      </w:pPr>
    </w:p>
    <w:p>
      <w:pPr>
        <w:ind w:left="6140"/>
        <w:spacing w:after="0"/>
        <w:tabs>
          <w:tab w:leader="none" w:pos="7900" w:val="left"/>
          <w:tab w:leader="none" w:pos="9940" w:val="left"/>
          <w:tab w:leader="none" w:pos="103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right="20"/>
        <w:spacing w:after="0" w:line="232" w:lineRule="auto"/>
        <w:rPr>
          <w:sz w:val="20"/>
          <w:szCs w:val="20"/>
          <w:color w:val="auto"/>
        </w:rPr>
      </w:pPr>
      <w:r>
        <w:rPr>
          <w:rFonts w:ascii="Arial" w:cs="Arial" w:eastAsia="Arial" w:hAnsi="Arial"/>
          <w:sz w:val="18"/>
          <w:szCs w:val="18"/>
          <w:color w:val="auto"/>
        </w:rPr>
        <w:t>opportunity of less than 10% that applies to employees generally of the Company or its Affiliates otherwise eligible to participate in the affected plan, or (iii) a relocation of a Participant’s primary work location more than 50 miles from the Participant’s work location immediately prior to the Participant’s commencement of participation in the Plan, without the Participant’s prior written consent; provided, that, within twenty days following the occurrence of any of the events set forth herein, the Participant shall have delivered written notice to the Company of his or her intention to terminate his or her Employment for Good Reason, which notice specifies in reasonable detail the circumstances claimed to give rise to the Participant’s right to terminate Employment for Good Reason, and the Company shall not have cured such circumstances within thirty days following the Company’s receipt of such notice. Notwithstanding the foregoing, if, as of the Grant Date, the Participant is a participant in the Sabre Corporation Executive Severance Plan and such Executive Severance Plan contains a different definition of the term “Good Reason” (or any derivation of such term), the definition in such Executive Severance Plan as of the Grant Date shall control or, if the Participant is not a participant in the Sabre Corporation Executive Severance Plan but is a party to an effective employment with the Company or any Affiliated Entity that contains a different definition of the term “Good Reason” (or any derivation of such term), the definition in such employment agreement as of the Grant Date shall control. Once an entity ceases to be an Affiliated Entity, even if an effective employment agreement as of the Grant Date was with such entity, such agreement shall continue to apply with regard to defining Good Reason (and for such purpose references to such entity shall be deemed to be references to the Company and any entity that continues to be an Affiliated Entity).</w:t>
      </w:r>
    </w:p>
    <w:p>
      <w:pPr>
        <w:spacing w:after="0" w:line="159" w:lineRule="exact"/>
        <w:rPr>
          <w:sz w:val="20"/>
          <w:szCs w:val="20"/>
          <w:color w:val="auto"/>
        </w:rPr>
      </w:pPr>
    </w:p>
    <w:p>
      <w:pPr>
        <w:ind w:left="580" w:right="20"/>
        <w:spacing w:after="0" w:line="267" w:lineRule="auto"/>
        <w:tabs>
          <w:tab w:leader="none" w:pos="8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designated by the Committee and specified in the Award Agreement as the date the Award is granted.</w:t>
      </w:r>
    </w:p>
    <w:p>
      <w:pPr>
        <w:spacing w:after="0" w:line="132" w:lineRule="exact"/>
        <w:rPr>
          <w:rFonts w:ascii="Arial" w:cs="Arial" w:eastAsia="Arial" w:hAnsi="Arial"/>
          <w:sz w:val="18"/>
          <w:szCs w:val="18"/>
          <w:color w:val="auto"/>
        </w:rPr>
      </w:pPr>
    </w:p>
    <w:p>
      <w:pPr>
        <w:ind w:left="860" w:hanging="280"/>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qualified under Section 422 of the Code.</w:t>
      </w:r>
    </w:p>
    <w:p>
      <w:pPr>
        <w:spacing w:after="0" w:line="188" w:lineRule="exact"/>
        <w:rPr>
          <w:rFonts w:ascii="Arial" w:cs="Arial" w:eastAsia="Arial" w:hAnsi="Arial"/>
          <w:sz w:val="18"/>
          <w:szCs w:val="18"/>
          <w:color w:val="auto"/>
        </w:rPr>
      </w:pPr>
    </w:p>
    <w:p>
      <w:pPr>
        <w:ind w:left="580" w:right="80"/>
        <w:spacing w:after="0" w:line="267" w:lineRule="auto"/>
        <w:tabs>
          <w:tab w:leader="none" w:pos="8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 Option that is not an “incentive stock option” within the meaning of Section 422 of the Code.</w:t>
      </w:r>
    </w:p>
    <w:p>
      <w:pPr>
        <w:spacing w:after="0" w:line="132" w:lineRule="exact"/>
        <w:rPr>
          <w:rFonts w:ascii="Arial" w:cs="Arial" w:eastAsia="Arial" w:hAnsi="Arial"/>
          <w:sz w:val="18"/>
          <w:szCs w:val="18"/>
          <w:color w:val="auto"/>
        </w:rPr>
      </w:pPr>
    </w:p>
    <w:p>
      <w:pPr>
        <w:ind w:left="580" w:right="60"/>
        <w:spacing w:after="0" w:line="267" w:lineRule="auto"/>
        <w:tabs>
          <w:tab w:leader="none" w:pos="88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stock option to purchase shares of Common Stock granted to a Participant pursuant to Section 6 of the Plan.</w:t>
      </w:r>
    </w:p>
    <w:p>
      <w:pPr>
        <w:spacing w:after="0" w:line="132" w:lineRule="exact"/>
        <w:rPr>
          <w:rFonts w:ascii="Arial" w:cs="Arial" w:eastAsia="Arial" w:hAnsi="Arial"/>
          <w:sz w:val="18"/>
          <w:szCs w:val="18"/>
          <w:color w:val="auto"/>
        </w:rPr>
      </w:pPr>
    </w:p>
    <w:p>
      <w:pPr>
        <w:ind w:left="840" w:hanging="260"/>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granted to a Participant pursuant to Section 7 of the Plan.</w:t>
      </w:r>
    </w:p>
    <w:p>
      <w:pPr>
        <w:spacing w:after="0" w:line="188" w:lineRule="exact"/>
        <w:rPr>
          <w:rFonts w:ascii="Arial" w:cs="Arial" w:eastAsia="Arial" w:hAnsi="Arial"/>
          <w:sz w:val="18"/>
          <w:szCs w:val="18"/>
          <w:color w:val="auto"/>
        </w:rPr>
      </w:pPr>
    </w:p>
    <w:p>
      <w:pPr>
        <w:ind w:left="580"/>
        <w:spacing w:after="0" w:line="236" w:lineRule="auto"/>
        <w:tabs>
          <w:tab w:leader="none" w:pos="8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employee or other individual service provider of the Company who is eligible to participate in the Plan and to whom one or more Awards have been granted and, following the death of any such Person, his successors, heirs, executors, and administrators, as the case may be. For the avoidance of doubt, an individual who is serving as both an employee or individual consultant or other service provider in addition to his or her service as a member of the Board, such as an individual serving as an Executive Chair of the Board or in another similar position, will be eligible to participate in the Plan and receive Awards hereunder (to the extent determined by the Committee from time to time) in respect of such employment or other provision of services.</w:t>
      </w:r>
    </w:p>
    <w:p>
      <w:pPr>
        <w:spacing w:after="0" w:line="157" w:lineRule="exact"/>
        <w:rPr>
          <w:rFonts w:ascii="Arial" w:cs="Arial" w:eastAsia="Arial" w:hAnsi="Arial"/>
          <w:sz w:val="18"/>
          <w:szCs w:val="18"/>
          <w:color w:val="auto"/>
        </w:rPr>
      </w:pPr>
    </w:p>
    <w:p>
      <w:pPr>
        <w:ind w:left="840" w:hanging="260"/>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Measures</w:t>
      </w:r>
      <w:r>
        <w:rPr>
          <w:rFonts w:ascii="Arial" w:cs="Arial" w:eastAsia="Arial" w:hAnsi="Arial"/>
          <w:sz w:val="18"/>
          <w:szCs w:val="18"/>
          <w:color w:val="auto"/>
        </w:rPr>
        <w:t>” means such measures as are described in Section 9.</w:t>
      </w:r>
    </w:p>
    <w:p>
      <w:pPr>
        <w:spacing w:after="0" w:line="189" w:lineRule="exact"/>
        <w:rPr>
          <w:sz w:val="20"/>
          <w:szCs w:val="20"/>
          <w:color w:val="auto"/>
        </w:rPr>
      </w:pPr>
    </w:p>
    <w:p>
      <w:pPr>
        <w:ind w:left="580" w:right="100"/>
        <w:spacing w:after="0" w:line="267" w:lineRule="auto"/>
        <w:tabs>
          <w:tab w:leader="none" w:pos="9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such term is used in Sections 13(d) and 14(d) of the Exchange Act, including any “group” within the meaning of Section 13(d)(3) of the Exchange Act.</w:t>
      </w:r>
    </w:p>
    <w:p>
      <w:pPr>
        <w:spacing w:after="0" w:line="72" w:lineRule="exact"/>
        <w:rPr>
          <w:sz w:val="20"/>
          <w:szCs w:val="20"/>
          <w:color w:val="auto"/>
        </w:rPr>
      </w:pPr>
    </w:p>
    <w:p>
      <w:pPr>
        <w:ind w:left="580"/>
        <w:spacing w:after="0"/>
        <w:tabs>
          <w:tab w:leader="none" w:pos="1060" w:val="left"/>
          <w:tab w:leader="none" w:pos="3880" w:val="left"/>
        </w:tabs>
        <w:rPr>
          <w:sz w:val="20"/>
          <w:szCs w:val="20"/>
          <w:color w:val="auto"/>
        </w:rPr>
      </w:pPr>
      <w:r>
        <w:rPr>
          <w:rFonts w:ascii="Arial" w:cs="Arial" w:eastAsia="Arial" w:hAnsi="Arial"/>
          <w:sz w:val="18"/>
          <w:szCs w:val="18"/>
          <w:b w:val="1"/>
          <w:bCs w:val="1"/>
          <w:color w:val="666666"/>
        </w:rPr>
        <w:t>A-4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right="220"/>
        <w:spacing w:after="0" w:line="267" w:lineRule="auto"/>
        <w:rPr>
          <w:sz w:val="20"/>
          <w:szCs w:val="20"/>
          <w:color w:val="auto"/>
        </w:rPr>
      </w:pPr>
      <w:r>
        <w:rPr>
          <w:rFonts w:ascii="Arial" w:cs="Arial" w:eastAsia="Arial" w:hAnsi="Arial"/>
          <w:sz w:val="18"/>
          <w:szCs w:val="18"/>
          <w:color w:val="auto"/>
        </w:rPr>
        <w:t>(ab)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this Sabre Corporation 2023 Omnibus Incentive Compensation Plan, as it may be amended from time to time.</w:t>
      </w:r>
    </w:p>
    <w:p>
      <w:pPr>
        <w:spacing w:after="0" w:line="133" w:lineRule="exact"/>
        <w:rPr>
          <w:sz w:val="20"/>
          <w:szCs w:val="20"/>
          <w:color w:val="auto"/>
        </w:rPr>
      </w:pPr>
    </w:p>
    <w:p>
      <w:pPr>
        <w:ind w:left="580" w:right="220"/>
        <w:spacing w:after="0" w:line="239" w:lineRule="auto"/>
        <w:rPr>
          <w:sz w:val="20"/>
          <w:szCs w:val="20"/>
          <w:color w:val="auto"/>
        </w:rPr>
      </w:pPr>
      <w:r>
        <w:rPr>
          <w:rFonts w:ascii="Arial" w:cs="Arial" w:eastAsia="Arial" w:hAnsi="Arial"/>
          <w:sz w:val="18"/>
          <w:szCs w:val="18"/>
          <w:color w:val="auto"/>
        </w:rPr>
        <w:t xml:space="preserve">(ac) </w:t>
      </w:r>
      <w:r>
        <w:rPr>
          <w:rFonts w:ascii="Arial" w:cs="Arial" w:eastAsia="Arial" w:hAnsi="Arial"/>
          <w:sz w:val="18"/>
          <w:szCs w:val="18"/>
          <w:i w:val="1"/>
          <w:iCs w:val="1"/>
          <w:color w:val="auto"/>
        </w:rPr>
        <w:t>“Prior Plans”</w:t>
      </w:r>
      <w:r>
        <w:rPr>
          <w:rFonts w:ascii="Arial" w:cs="Arial" w:eastAsia="Arial" w:hAnsi="Arial"/>
          <w:sz w:val="18"/>
          <w:szCs w:val="18"/>
          <w:color w:val="auto"/>
        </w:rPr>
        <w:t xml:space="preserve"> mean the Sabre Corporation 2021 Omnibus Incentive Compensation Plan, the Sabre Corporation 2019 Omnibus Incentive Compensation Plan, the Sabre Corporation 2016 Omnibus Incentive Compensation Plan, the Sabre Corporation 2014 Omnibus Incentive Compensation Plan, the Sovereign Holdings, Inc. 2012 Management Equity Incentive Plan, the Sovereign Holdings, Inc. 2007 Management Equity Incentive Plan (as amended in 2010), and the Sovereign Holdings, Inc. Stock Incentive Plan.</w:t>
      </w:r>
    </w:p>
    <w:p>
      <w:pPr>
        <w:spacing w:after="0" w:line="156" w:lineRule="exact"/>
        <w:rPr>
          <w:sz w:val="20"/>
          <w:szCs w:val="20"/>
          <w:color w:val="auto"/>
        </w:rPr>
      </w:pPr>
    </w:p>
    <w:p>
      <w:pPr>
        <w:ind w:left="580" w:right="80"/>
        <w:spacing w:after="0" w:line="235" w:lineRule="auto"/>
        <w:rPr>
          <w:sz w:val="20"/>
          <w:szCs w:val="20"/>
          <w:color w:val="auto"/>
        </w:rPr>
      </w:pPr>
      <w:r>
        <w:rPr>
          <w:rFonts w:ascii="Arial" w:cs="Arial" w:eastAsia="Arial" w:hAnsi="Arial"/>
          <w:sz w:val="18"/>
          <w:szCs w:val="18"/>
          <w:color w:val="auto"/>
        </w:rPr>
        <w:t>(ad) “</w:t>
      </w:r>
      <w:r>
        <w:rPr>
          <w:rFonts w:ascii="Arial" w:cs="Arial" w:eastAsia="Arial" w:hAnsi="Arial"/>
          <w:sz w:val="18"/>
          <w:szCs w:val="18"/>
          <w:i w:val="1"/>
          <w:iCs w:val="1"/>
          <w:color w:val="auto"/>
        </w:rPr>
        <w:t>Qualifying Termination</w:t>
      </w:r>
      <w:r>
        <w:rPr>
          <w:rFonts w:ascii="Arial" w:cs="Arial" w:eastAsia="Arial" w:hAnsi="Arial"/>
          <w:sz w:val="18"/>
          <w:szCs w:val="18"/>
          <w:color w:val="auto"/>
        </w:rPr>
        <w:t>” shall mean, with respect to a Participant, (i) a termination of such Participant’s Employment by the Company, the surviving corporation, or any of the Company’s or the surviving corporation’s then-Affiliated Entities without Cause or by the Participant for Good Reason, or (ii) a termination of such Participant’s Employment in the event of a Participant’s death or Disability, in each of (i) or (ii), following a Change in Control of the Company. It is understood that a Participant shall not have a Qualifying Termination by virtue of ceasing to be Employed by an entity or its subsidiaries undergoing a Change in Control where, following such Change in Control, the Participant remains employed by an entity that was an Affiliated Entity of the entity or its subsidiaries undergoing a Change in Control immediately prior to such Change in Control.</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(ae) “</w:t>
      </w:r>
      <w:r>
        <w:rPr>
          <w:rFonts w:ascii="Arial" w:cs="Arial" w:eastAsia="Arial" w:hAnsi="Arial"/>
          <w:sz w:val="18"/>
          <w:szCs w:val="18"/>
          <w:i w:val="1"/>
          <w:iCs w:val="1"/>
          <w:color w:val="auto"/>
        </w:rPr>
        <w:t>Sabre Corporation</w:t>
      </w:r>
      <w:r>
        <w:rPr>
          <w:rFonts w:ascii="Arial" w:cs="Arial" w:eastAsia="Arial" w:hAnsi="Arial"/>
          <w:sz w:val="18"/>
          <w:szCs w:val="18"/>
          <w:color w:val="auto"/>
        </w:rPr>
        <w:t>” means Sabre Corporation, a Delaware corporation, and any successor thereto.</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(af) “</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 “</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within the meaning of Rule 405 under the Securities Act.</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3. Stock Subject to the Plan, Share Counting Rules, and Individual Award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00"/>
        <w:spacing w:after="0" w:line="239" w:lineRule="auto"/>
        <w:tabs>
          <w:tab w:leader="none" w:pos="8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adjustment as provided in Section 11 and the provisions of this Section 3, the number of shares of Common Stock that may be covered by Awards granted under the Plan shall be the sum of: (i) 14,000,000 shares of Common Stock,</w:t>
      </w:r>
    </w:p>
    <w:p>
      <w:pPr>
        <w:spacing w:after="0" w:line="1" w:lineRule="exact"/>
        <w:rPr>
          <w:rFonts w:ascii="Arial" w:cs="Arial" w:eastAsia="Arial" w:hAnsi="Arial"/>
          <w:sz w:val="18"/>
          <w:szCs w:val="18"/>
          <w:color w:val="auto"/>
        </w:rPr>
      </w:pPr>
    </w:p>
    <w:p>
      <w:pPr>
        <w:ind w:left="580" w:right="140"/>
        <w:spacing w:after="0" w:line="234" w:lineRule="auto"/>
        <w:tabs>
          <w:tab w:leader="none" w:pos="8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shares remaining available for issuance under the Prior Plans that are not the subject of outstanding Awards as of the Effective Date, and (iii) any shares subject to outstanding Awards under any Prior Plan as of the Effective Date that become available for issuance in accordance with the share counting provisions of such Prior Plans. Shares of Common Stock issued under the Plan may be either authorized and unissued shares or treasury shares, or both, in the sole discretion of the Committee.</w:t>
      </w:r>
    </w:p>
    <w:p>
      <w:pPr>
        <w:spacing w:after="0" w:line="159" w:lineRule="exact"/>
        <w:rPr>
          <w:rFonts w:ascii="Arial" w:cs="Arial" w:eastAsia="Arial" w:hAnsi="Arial"/>
          <w:sz w:val="18"/>
          <w:szCs w:val="18"/>
          <w:color w:val="auto"/>
        </w:rPr>
      </w:pPr>
    </w:p>
    <w:p>
      <w:pPr>
        <w:ind w:left="580"/>
        <w:spacing w:after="0" w:line="233" w:lineRule="auto"/>
        <w:tabs>
          <w:tab w:leader="none" w:pos="8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the preceding paragraph, shares of Common Stock covered by Awards shall only be counted as used or issued to the extent they are actually issued and delivered to a Participant (or such Participant’s permitted transferees as described in the Plan) pursuant to the Plan provided, however, that if the exercise price or tax withholding requirements related to any Award granted under the Plan is satisfied through the withholding by the Company of shares of Common Stock that are otherwise then deliverable in respect of such Award or through actual or constructive transfer to the Company of shares of Common Stock already owned, the number of shares of Common Stock withheld or transferred, will be deemed delivered for purposes of determining the number of shares of Common Stock available for issuance or transfer under the Plan. Furthermore, any shares of Common Stock received by a Participant in connection with an exercise of Options that are subsequently repurchased by the Company will be deemed delivered for purposes of determining the number of shares of Common Stock available for issuance or transfer under the Plan. However, if all or any portion of an Award issued pursuant to the Plan expires, or</w:t>
      </w:r>
    </w:p>
    <w:p>
      <w:pPr>
        <w:spacing w:after="0" w:line="102" w:lineRule="exact"/>
        <w:rPr>
          <w:sz w:val="20"/>
          <w:szCs w:val="20"/>
          <w:color w:val="auto"/>
        </w:rPr>
      </w:pPr>
    </w:p>
    <w:p>
      <w:pPr>
        <w:ind w:left="6140"/>
        <w:spacing w:after="0"/>
        <w:tabs>
          <w:tab w:leader="none" w:pos="7900" w:val="left"/>
          <w:tab w:leader="none" w:pos="9940" w:val="left"/>
          <w:tab w:leader="none" w:pos="103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spacing w:after="0" w:line="235" w:lineRule="auto"/>
        <w:rPr>
          <w:sz w:val="20"/>
          <w:szCs w:val="20"/>
          <w:color w:val="auto"/>
        </w:rPr>
      </w:pPr>
      <w:r>
        <w:rPr>
          <w:rFonts w:ascii="Arial" w:cs="Arial" w:eastAsia="Arial" w:hAnsi="Arial"/>
          <w:sz w:val="18"/>
          <w:szCs w:val="18"/>
          <w:color w:val="auto"/>
        </w:rPr>
        <w:t>is forfeited, terminated or cancelled, without the issuance of shares of Common Stock, or is exchanged with the Committee’s permission, prior to the issuance of shares of Common Stock, for an Award not involving shares of Common Stock, the number of shares of Common Stock subject to Awards that have been so forfeited, terminated, cancelled, or have expired, as the case may be, will again be available for issuance or transfer under the Plan. In addition,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w:t>
      </w:r>
    </w:p>
    <w:p>
      <w:pPr>
        <w:spacing w:after="0" w:line="159" w:lineRule="exact"/>
        <w:rPr>
          <w:sz w:val="20"/>
          <w:szCs w:val="20"/>
          <w:color w:val="auto"/>
        </w:rPr>
      </w:pPr>
    </w:p>
    <w:p>
      <w:pPr>
        <w:ind w:left="580" w:right="420"/>
        <w:spacing w:after="0" w:line="242" w:lineRule="auto"/>
        <w:tabs>
          <w:tab w:leader="none" w:pos="842"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11 of the Plan shall not count as used under the Plan for purposes of Section 3.</w:t>
      </w:r>
    </w:p>
    <w:p>
      <w:pPr>
        <w:spacing w:after="0" w:line="154" w:lineRule="exact"/>
        <w:rPr>
          <w:rFonts w:ascii="Arial" w:cs="Arial" w:eastAsia="Arial" w:hAnsi="Arial"/>
          <w:sz w:val="18"/>
          <w:szCs w:val="18"/>
          <w:color w:val="auto"/>
        </w:rPr>
      </w:pPr>
    </w:p>
    <w:p>
      <w:pPr>
        <w:ind w:left="860" w:hanging="280"/>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and subject to adjustment as provided in Section 11:</w:t>
      </w:r>
    </w:p>
    <w:p>
      <w:pPr>
        <w:spacing w:after="0" w:line="188" w:lineRule="exact"/>
        <w:rPr>
          <w:rFonts w:ascii="Arial" w:cs="Arial" w:eastAsia="Arial" w:hAnsi="Arial"/>
          <w:sz w:val="18"/>
          <w:szCs w:val="18"/>
          <w:color w:val="auto"/>
        </w:rPr>
      </w:pPr>
    </w:p>
    <w:p>
      <w:pPr>
        <w:ind w:left="580" w:right="880" w:firstLine="504"/>
        <w:spacing w:after="0" w:line="267"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number of shares of Common Stock that may be covered by Incentive Stock Options shall not exceed 14,000,000 shares of Common Stock in the aggregate;</w:t>
      </w:r>
    </w:p>
    <w:p>
      <w:pPr>
        <w:spacing w:after="0" w:line="132" w:lineRule="exact"/>
        <w:rPr>
          <w:rFonts w:ascii="Arial" w:cs="Arial" w:eastAsia="Arial" w:hAnsi="Arial"/>
          <w:sz w:val="18"/>
          <w:szCs w:val="18"/>
          <w:color w:val="auto"/>
        </w:rPr>
      </w:pPr>
    </w:p>
    <w:p>
      <w:pPr>
        <w:ind w:left="580" w:right="180" w:firstLine="504"/>
        <w:spacing w:after="0" w:line="242" w:lineRule="auto"/>
        <w:tabs>
          <w:tab w:leader="none" w:pos="133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number of shares of Common Stock that may be covered by Awards (other than Options or stock appreciation rights) granted under the Plan to any Participant in a single fiscal year of the Company may not exceed 3,000,000 shares, and the number of shares of Common Stock that may be covered by Options or stock appreciation rights granted under the Plan to any Participant in a single fiscal year of the Company may not exceed 3,000,000 shares; and</w:t>
      </w:r>
    </w:p>
    <w:p>
      <w:pPr>
        <w:spacing w:after="0" w:line="154" w:lineRule="exact"/>
        <w:rPr>
          <w:rFonts w:ascii="Arial" w:cs="Arial" w:eastAsia="Arial" w:hAnsi="Arial"/>
          <w:sz w:val="18"/>
          <w:szCs w:val="18"/>
          <w:color w:val="auto"/>
        </w:rPr>
      </w:pPr>
    </w:p>
    <w:p>
      <w:pPr>
        <w:ind w:left="580" w:right="80" w:firstLine="504"/>
        <w:spacing w:after="0" w:line="267" w:lineRule="auto"/>
        <w:tabs>
          <w:tab w:leader="none" w:pos="137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amount payable with respect to any Cash Incentive Award granted under the Plan to any Participant in a single fiscal year of the Company that is subject to performance-based vesting may not exceed $5,000,000.</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4.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860" w:hanging="280"/>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The Committee</w:t>
      </w:r>
    </w:p>
    <w:p>
      <w:pPr>
        <w:spacing w:after="0" w:line="187" w:lineRule="exact"/>
        <w:rPr>
          <w:sz w:val="20"/>
          <w:szCs w:val="20"/>
          <w:color w:val="auto"/>
        </w:rPr>
      </w:pPr>
    </w:p>
    <w:p>
      <w:pPr>
        <w:ind w:left="580" w:right="180" w:firstLine="504"/>
        <w:spacing w:after="0" w:line="242" w:lineRule="auto"/>
        <w:rPr>
          <w:sz w:val="20"/>
          <w:szCs w:val="20"/>
          <w:color w:val="auto"/>
        </w:rPr>
      </w:pPr>
      <w:r>
        <w:rPr>
          <w:rFonts w:ascii="Arial" w:cs="Arial" w:eastAsia="Arial" w:hAnsi="Arial"/>
          <w:sz w:val="18"/>
          <w:szCs w:val="18"/>
          <w:color w:val="auto"/>
        </w:rPr>
        <w:t>The Plan shall be administered by the Board or a Committee of the Board consisting of two or more persons, each of whom may, from time to time, qualify as a “non-employee director” (within the meaning of Rule 16b-3 promulgated under Section 16 of the Exchange Act) and as “independent” within the meaning of any applicable stock exchange or similar regulatory authority on which the Common Stock is then listed, in each case if and to the extent required by applicable law.</w:t>
      </w:r>
    </w:p>
    <w:p>
      <w:pPr>
        <w:spacing w:after="0" w:line="156" w:lineRule="exact"/>
        <w:rPr>
          <w:sz w:val="20"/>
          <w:szCs w:val="20"/>
          <w:color w:val="auto"/>
        </w:rPr>
      </w:pPr>
    </w:p>
    <w:p>
      <w:pPr>
        <w:ind w:left="860" w:hanging="280"/>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Grant of Awards</w:t>
      </w:r>
    </w:p>
    <w:p>
      <w:pPr>
        <w:spacing w:after="0" w:line="186" w:lineRule="exact"/>
        <w:rPr>
          <w:rFonts w:ascii="Arial" w:cs="Arial" w:eastAsia="Arial" w:hAnsi="Arial"/>
          <w:sz w:val="18"/>
          <w:szCs w:val="18"/>
          <w:color w:val="auto"/>
        </w:rPr>
      </w:pPr>
    </w:p>
    <w:p>
      <w:pPr>
        <w:ind w:left="580" w:right="100" w:firstLine="504"/>
        <w:spacing w:after="0" w:line="248" w:lineRule="auto"/>
        <w:tabs>
          <w:tab w:leader="none" w:pos="1296"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Committee shall, consistent with the terms of the Plan, from time to time designate those individuals who shall be granted Awards under the Plan and the amount, type, and other terms and conditions of such Awards, which need not be identical for each Participant. The Committee shall have full</w:t>
      </w:r>
    </w:p>
    <w:p>
      <w:pPr>
        <w:spacing w:after="0" w:line="88" w:lineRule="exact"/>
        <w:rPr>
          <w:sz w:val="20"/>
          <w:szCs w:val="20"/>
          <w:color w:val="auto"/>
        </w:rPr>
      </w:pPr>
    </w:p>
    <w:p>
      <w:pPr>
        <w:ind w:left="580"/>
        <w:spacing w:after="0"/>
        <w:tabs>
          <w:tab w:leader="none" w:pos="1060" w:val="left"/>
          <w:tab w:leader="none" w:pos="3880" w:val="left"/>
        </w:tabs>
        <w:rPr>
          <w:sz w:val="20"/>
          <w:szCs w:val="20"/>
          <w:color w:val="auto"/>
        </w:rPr>
      </w:pPr>
      <w:r>
        <w:rPr>
          <w:rFonts w:ascii="Arial" w:cs="Arial" w:eastAsia="Arial" w:hAnsi="Arial"/>
          <w:sz w:val="18"/>
          <w:szCs w:val="18"/>
          <w:b w:val="1"/>
          <w:bCs w:val="1"/>
          <w:color w:val="666666"/>
        </w:rPr>
        <w:t>A-6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20"/>
          </w:cols>
          <w:pgMar w:left="320" w:top="453" w:right="9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right="60"/>
        <w:spacing w:after="0" w:line="242" w:lineRule="auto"/>
        <w:rPr>
          <w:sz w:val="20"/>
          <w:szCs w:val="20"/>
          <w:color w:val="auto"/>
        </w:rPr>
      </w:pPr>
      <w:r>
        <w:rPr>
          <w:rFonts w:ascii="Arial" w:cs="Arial" w:eastAsia="Arial" w:hAnsi="Arial"/>
          <w:sz w:val="18"/>
          <w:szCs w:val="18"/>
          <w:color w:val="auto"/>
        </w:rPr>
        <w:t>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administration of the Plan as the Committee may deem necessary or appropriate. Decisions of the Committee shall be final, binding, and conclusive on all parties.</w:t>
      </w:r>
    </w:p>
    <w:p>
      <w:pPr>
        <w:spacing w:after="0" w:line="154" w:lineRule="exact"/>
        <w:rPr>
          <w:sz w:val="20"/>
          <w:szCs w:val="20"/>
          <w:color w:val="auto"/>
        </w:rPr>
      </w:pPr>
    </w:p>
    <w:p>
      <w:pPr>
        <w:ind w:left="580" w:right="100" w:firstLine="504"/>
        <w:spacing w:after="0" w:line="239" w:lineRule="auto"/>
        <w:tabs>
          <w:tab w:leader="none" w:pos="13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w:t>
      </w:r>
    </w:p>
    <w:p>
      <w:pPr>
        <w:spacing w:after="0" w:line="156" w:lineRule="exact"/>
        <w:rPr>
          <w:rFonts w:ascii="Arial" w:cs="Arial" w:eastAsia="Arial" w:hAnsi="Arial"/>
          <w:sz w:val="18"/>
          <w:szCs w:val="18"/>
          <w:color w:val="auto"/>
        </w:rPr>
      </w:pPr>
    </w:p>
    <w:p>
      <w:pPr>
        <w:ind w:left="580" w:firstLine="504"/>
        <w:spacing w:after="0" w:line="231" w:lineRule="auto"/>
        <w:tabs>
          <w:tab w:leader="none" w:pos="13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Employment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 (v) provide for the accrual and payment of dividends or dividend equivalents with respect to any such Award, provided that in the case of this (v), no dividend equivalents shall be paid on any Award until such time as the underlying Award has vested, and any dividends payable in respect of Awards of restricted stock shall not vest unless and until the restricted stock awards to which such dividends relate have also vested; provided, further, in each of (i) through (v) that the Committee shall not have any such authority and shall not take any such action to the extent that the grant of such authority or the taking of such action would cause any tax to become due under Section 409A of the Code and provided further, that the vesting period for ninety-five percent (95%) of the shares of Common Stock issued pursuant to Options and Other-Stock Based Awards shall be a minimum of one (1) year from the date of grant. Notwithstanding anything herein to the contrary, without the approval of the stockholders of the Company, the Company shall not reprice any stock option (within the meaning of NASDAQ Listing Rule 5635(c) and any other formal or informal guidance issued by the NASDAQ),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Awards, cash or other property; provided, however, that the foregoing transactions shall not be deemed a repricing if pursuant to an adjustment or other action authorized under Section 11.</w:t>
      </w:r>
    </w:p>
    <w:p>
      <w:pPr>
        <w:spacing w:after="0" w:line="166" w:lineRule="exact"/>
        <w:rPr>
          <w:rFonts w:ascii="Arial" w:cs="Arial" w:eastAsia="Arial" w:hAnsi="Arial"/>
          <w:sz w:val="18"/>
          <w:szCs w:val="18"/>
          <w:color w:val="auto"/>
        </w:rPr>
      </w:pPr>
    </w:p>
    <w:p>
      <w:pPr>
        <w:ind w:left="580" w:right="40" w:firstLine="504"/>
        <w:spacing w:after="0" w:line="239" w:lineRule="auto"/>
        <w:tabs>
          <w:tab w:leader="none" w:pos="13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w:t>
      </w:r>
    </w:p>
    <w:p>
      <w:pPr>
        <w:spacing w:after="0" w:line="95" w:lineRule="exact"/>
        <w:rPr>
          <w:sz w:val="20"/>
          <w:szCs w:val="20"/>
          <w:color w:val="auto"/>
        </w:rPr>
      </w:pPr>
    </w:p>
    <w:p>
      <w:pPr>
        <w:ind w:left="6140"/>
        <w:spacing w:after="0"/>
        <w:tabs>
          <w:tab w:leader="none" w:pos="7900" w:val="left"/>
          <w:tab w:leader="none" w:pos="9940" w:val="left"/>
          <w:tab w:leader="none" w:pos="103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right="80" w:firstLine="504"/>
        <w:spacing w:after="0" w:line="239" w:lineRule="auto"/>
        <w:tabs>
          <w:tab w:leader="none" w:pos="1346"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addition, the Committee may permit a Participant to defer such Participant’s receipt of the payment of cash or the delivery of shares of Common Stock that would otherwise be due to such Participant in connection with any Award. If any such deferral is required or permitted, the Committee shall, in its sole discretion, establish rules and procedures, in accordance with Section 409A of the Code (to the extent applicable), for such payment or Common Stock delivery deferrals and any notional earnings to be credited on such deferred amounts.</w:t>
      </w:r>
    </w:p>
    <w:p>
      <w:pPr>
        <w:spacing w:after="0" w:line="158" w:lineRule="exact"/>
        <w:rPr>
          <w:rFonts w:ascii="Arial" w:cs="Arial" w:eastAsia="Arial" w:hAnsi="Arial"/>
          <w:sz w:val="18"/>
          <w:szCs w:val="18"/>
          <w:color w:val="auto"/>
        </w:rPr>
      </w:pPr>
    </w:p>
    <w:p>
      <w:pPr>
        <w:ind w:left="840" w:hanging="260"/>
        <w:spacing w:after="0"/>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Delegation of Authority</w:t>
      </w:r>
    </w:p>
    <w:p>
      <w:pPr>
        <w:spacing w:after="0" w:line="186" w:lineRule="exact"/>
        <w:rPr>
          <w:rFonts w:ascii="Arial" w:cs="Arial" w:eastAsia="Arial" w:hAnsi="Arial"/>
          <w:sz w:val="18"/>
          <w:szCs w:val="18"/>
          <w:color w:val="auto"/>
        </w:rPr>
      </w:pPr>
    </w:p>
    <w:p>
      <w:pPr>
        <w:ind w:left="580" w:firstLine="504"/>
        <w:spacing w:after="0" w:line="236"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Awards to persons who are not “executive officers” of the Company (within the meaning of Rule 16a-1 under the Exchange Act), subject to such restrictions and limitations as the Committee may specify and to the requirements of Sections 152 and 157 of the Delaware General Corporation Law to the extent applicable.</w:t>
      </w:r>
    </w:p>
    <w:p>
      <w:pPr>
        <w:spacing w:after="0" w:line="158" w:lineRule="exact"/>
        <w:rPr>
          <w:sz w:val="20"/>
          <w:szCs w:val="20"/>
          <w:color w:val="auto"/>
        </w:rPr>
      </w:pPr>
    </w:p>
    <w:p>
      <w:pPr>
        <w:ind w:left="580" w:right="20" w:firstLine="504"/>
        <w:spacing w:after="0" w:line="232" w:lineRule="auto"/>
        <w:tabs>
          <w:tab w:leader="none" w:pos="1336"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addition, the Committee may delegate the administration of the Plan to one or more officers or employees of the Company, and such administrator(s) may have the authority to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inconsistent with Section 409A of the Code or (iii) to take any action inconsistent with Sections 152 or 157 of the Delaware General Corporation Law (to the extent applicable)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spacing w:after="0" w:line="167" w:lineRule="exact"/>
        <w:rPr>
          <w:rFonts w:ascii="Arial" w:cs="Arial" w:eastAsia="Arial" w:hAnsi="Arial"/>
          <w:sz w:val="18"/>
          <w:szCs w:val="18"/>
          <w:color w:val="auto"/>
        </w:rPr>
      </w:pPr>
    </w:p>
    <w:p>
      <w:pPr>
        <w:ind w:left="860" w:hanging="280"/>
        <w:spacing w:after="0"/>
        <w:tabs>
          <w:tab w:leader="none" w:pos="8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Payments by the Company and Registration of Common Stock</w:t>
      </w:r>
    </w:p>
    <w:p>
      <w:pPr>
        <w:spacing w:after="0" w:line="186" w:lineRule="exact"/>
        <w:rPr>
          <w:rFonts w:ascii="Arial" w:cs="Arial" w:eastAsia="Arial" w:hAnsi="Arial"/>
          <w:sz w:val="18"/>
          <w:szCs w:val="18"/>
          <w:color w:val="auto"/>
        </w:rPr>
      </w:pPr>
    </w:p>
    <w:p>
      <w:pPr>
        <w:ind w:left="580" w:right="80" w:firstLine="504"/>
        <w:spacing w:after="0" w:line="234" w:lineRule="auto"/>
        <w:tabs>
          <w:tab w:leader="none" w:pos="12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shall pay any amount payable with respect to an Award in accordance with the terms of such Award, provided that the Committee may, in its discretion, defer the payment of amounts payable with respect to an Award subject to and in accordance with the terms of any Deferred Compensation Plan, to the extent such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 provided that, with respect to any Award subject to Section 409A of the Code, such acceleration or payment shall comply with Section 409A of the Code.</w:t>
      </w:r>
    </w:p>
    <w:p>
      <w:pPr>
        <w:spacing w:after="0" w:line="101" w:lineRule="exact"/>
        <w:rPr>
          <w:sz w:val="20"/>
          <w:szCs w:val="20"/>
          <w:color w:val="auto"/>
        </w:rPr>
      </w:pPr>
    </w:p>
    <w:p>
      <w:pPr>
        <w:ind w:left="580"/>
        <w:spacing w:after="0"/>
        <w:tabs>
          <w:tab w:leader="none" w:pos="1060" w:val="left"/>
          <w:tab w:leader="none" w:pos="3880" w:val="left"/>
        </w:tabs>
        <w:rPr>
          <w:sz w:val="20"/>
          <w:szCs w:val="20"/>
          <w:color w:val="auto"/>
        </w:rPr>
      </w:pPr>
      <w:r>
        <w:rPr>
          <w:rFonts w:ascii="Arial" w:cs="Arial" w:eastAsia="Arial" w:hAnsi="Arial"/>
          <w:sz w:val="18"/>
          <w:szCs w:val="18"/>
          <w:b w:val="1"/>
          <w:bCs w:val="1"/>
          <w:color w:val="666666"/>
        </w:rPr>
        <w:t>A-8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right="80" w:firstLine="504"/>
        <w:spacing w:after="0" w:line="237" w:lineRule="auto"/>
        <w:tabs>
          <w:tab w:leader="none" w:pos="133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may, to the extent permitted by applicable law and permissible under Section 409A of the Code, deduct from and set off against any amounts the Company may owe to the Participant from time to time (including amounts payable in connection with any Award, owed as wages, fringe benefits, or other compensation owed to the Participant), such amounts as may be owed by the Participant to the Company, although the Participant shall remain liable for any part of the Participant’s payment obligation not satisfied through such deduction and setoff. By accepting any Award granted hereunder, the Participant agrees to any deduction or setoff under this Section 4.</w:t>
      </w:r>
    </w:p>
    <w:p>
      <w:pPr>
        <w:spacing w:after="0" w:line="158" w:lineRule="exact"/>
        <w:rPr>
          <w:rFonts w:ascii="Arial" w:cs="Arial" w:eastAsia="Arial" w:hAnsi="Arial"/>
          <w:sz w:val="18"/>
          <w:szCs w:val="18"/>
          <w:color w:val="auto"/>
        </w:rPr>
      </w:pPr>
    </w:p>
    <w:p>
      <w:pPr>
        <w:ind w:left="580" w:right="20" w:firstLine="504"/>
        <w:spacing w:after="0" w:line="237" w:lineRule="auto"/>
        <w:tabs>
          <w:tab w:leader="none" w:pos="1376" w:val="left"/>
        </w:tabs>
        <w:numPr>
          <w:ilvl w:val="1"/>
          <w:numId w:val="99"/>
        </w:numPr>
        <w:rPr>
          <w:rFonts w:ascii="Arial" w:cs="Arial" w:eastAsia="Arial" w:hAnsi="Arial"/>
          <w:sz w:val="18"/>
          <w:szCs w:val="18"/>
          <w:color w:val="auto"/>
        </w:rPr>
      </w:pPr>
      <w:r>
        <w:rPr>
          <w:rFonts w:ascii="Arial" w:cs="Arial" w:eastAsia="Arial" w:hAnsi="Arial"/>
          <w:sz w:val="18"/>
          <w:szCs w:val="18"/>
          <w:color w:val="auto"/>
        </w:rPr>
        <w:t>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obligated to cause to be issued or delivered any certificates evidencing shares of Common Stock pursuant to the Plan unless and until Sabre Corporation is advised by its counsel that the issuance and delivery of such certificates is in compliance with all applicable laws, regulations of governmental authority and the requirements of any securities exchange on which shares of Common Stock are traded.</w:t>
      </w:r>
    </w:p>
    <w:p>
      <w:pPr>
        <w:spacing w:after="0" w:line="158" w:lineRule="exact"/>
        <w:rPr>
          <w:rFonts w:ascii="Arial" w:cs="Arial" w:eastAsia="Arial" w:hAnsi="Arial"/>
          <w:sz w:val="18"/>
          <w:szCs w:val="18"/>
          <w:color w:val="auto"/>
        </w:rPr>
      </w:pPr>
    </w:p>
    <w:p>
      <w:pPr>
        <w:ind w:left="580" w:right="60" w:firstLine="504"/>
        <w:spacing w:after="0" w:line="235" w:lineRule="auto"/>
        <w:tabs>
          <w:tab w:leader="none" w:pos="1386" w:val="left"/>
        </w:tabs>
        <w:numPr>
          <w:ilvl w:val="1"/>
          <w:numId w:val="99"/>
        </w:numPr>
        <w:rPr>
          <w:rFonts w:ascii="Arial" w:cs="Arial" w:eastAsia="Arial" w:hAnsi="Arial"/>
          <w:sz w:val="18"/>
          <w:szCs w:val="18"/>
          <w:color w:val="auto"/>
        </w:rPr>
      </w:pPr>
      <w:r>
        <w:rPr>
          <w:rFonts w:ascii="Arial" w:cs="Arial" w:eastAsia="Arial" w:hAnsi="Arial"/>
          <w:sz w:val="18"/>
          <w:szCs w:val="18"/>
          <w:color w:val="auto"/>
        </w:rPr>
        <w:t>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 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preceding the Change in Control.</w:t>
      </w:r>
    </w:p>
    <w:p>
      <w:pPr>
        <w:spacing w:after="0" w:line="25" w:lineRule="exact"/>
        <w:rPr>
          <w:rFonts w:ascii="Arial" w:cs="Arial" w:eastAsia="Arial" w:hAnsi="Arial"/>
          <w:sz w:val="18"/>
          <w:szCs w:val="18"/>
          <w:color w:val="auto"/>
        </w:rPr>
      </w:pPr>
    </w:p>
    <w:p>
      <w:pPr>
        <w:ind w:left="860" w:hanging="280"/>
        <w:spacing w:after="0"/>
        <w:tabs>
          <w:tab w:leader="none" w:pos="8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Limitation on Liability</w:t>
      </w:r>
    </w:p>
    <w:p>
      <w:pPr>
        <w:spacing w:after="0" w:line="186" w:lineRule="exact"/>
        <w:rPr>
          <w:rFonts w:ascii="Arial" w:cs="Arial" w:eastAsia="Arial" w:hAnsi="Arial"/>
          <w:sz w:val="18"/>
          <w:szCs w:val="18"/>
          <w:color w:val="auto"/>
        </w:rPr>
      </w:pPr>
    </w:p>
    <w:p>
      <w:pPr>
        <w:ind w:left="580" w:firstLine="504"/>
        <w:spacing w:after="0" w:line="237" w:lineRule="auto"/>
        <w:tabs>
          <w:tab w:leader="none" w:pos="129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w:t>
      </w:r>
    </w:p>
    <w:p>
      <w:pPr>
        <w:spacing w:after="0" w:line="158" w:lineRule="exact"/>
        <w:rPr>
          <w:rFonts w:ascii="Arial" w:cs="Arial" w:eastAsia="Arial" w:hAnsi="Arial"/>
          <w:sz w:val="18"/>
          <w:szCs w:val="18"/>
          <w:color w:val="auto"/>
        </w:rPr>
      </w:pPr>
    </w:p>
    <w:p>
      <w:pPr>
        <w:ind w:left="580" w:right="360" w:firstLine="504"/>
        <w:spacing w:after="0" w:line="267" w:lineRule="auto"/>
        <w:tabs>
          <w:tab w:leader="none" w:pos="133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member of the Committee, nor any person acting pursuant to authority delegated by the Committee, nor any officer, director, or employee of the Company acting at the direction or on behalf of</w:t>
      </w:r>
    </w:p>
    <w:p>
      <w:pPr>
        <w:spacing w:after="0" w:line="72" w:lineRule="exact"/>
        <w:rPr>
          <w:sz w:val="20"/>
          <w:szCs w:val="20"/>
          <w:color w:val="auto"/>
        </w:rPr>
      </w:pPr>
    </w:p>
    <w:p>
      <w:pPr>
        <w:ind w:left="6140"/>
        <w:spacing w:after="0"/>
        <w:tabs>
          <w:tab w:leader="none" w:pos="7900" w:val="left"/>
          <w:tab w:leader="none" w:pos="9940" w:val="left"/>
          <w:tab w:leader="none" w:pos="103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spacing w:after="0" w:line="235" w:lineRule="auto"/>
        <w:rPr>
          <w:sz w:val="20"/>
          <w:szCs w:val="20"/>
          <w:color w:val="auto"/>
        </w:rPr>
      </w:pPr>
      <w:r>
        <w:rPr>
          <w:rFonts w:ascii="Arial" w:cs="Arial" w:eastAsia="Arial" w:hAnsi="Arial"/>
          <w:sz w:val="18"/>
          <w:szCs w:val="18"/>
          <w:color w:val="auto"/>
        </w:rPr>
        <w:t>the Committee, shall be liable for any action, omission, or determination relating to the Plan, and Sabre Corporation shall, to the fullest extent permitted by law, indemnify and hold harmless each member of the 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5.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80"/>
        <w:spacing w:after="0" w:line="239" w:lineRule="auto"/>
        <w:rPr>
          <w:sz w:val="20"/>
          <w:szCs w:val="20"/>
          <w:color w:val="auto"/>
        </w:rPr>
      </w:pPr>
      <w:r>
        <w:rPr>
          <w:rFonts w:ascii="Arial" w:cs="Arial" w:eastAsia="Arial" w:hAnsi="Arial"/>
          <w:sz w:val="18"/>
          <w:szCs w:val="18"/>
          <w:color w:val="auto"/>
        </w:rPr>
        <w:t>The Persons who shall be eligible to receive Awards pursuant to the Plan shall be those employees of the Company whom the Committee shall select from time to time. Eligible persons shall include any Person who has been offered Employment by the Company, provided that such prospective employee may not receive any payment or exercise any right relating to an Award until such person has commenced Employment. Each Award granted under the Plan shall be evidenced by an instrument in writing in form and substance approved by the Committee.</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6.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Committee may from time to time grant Options, subject to the following terms and conditions:</w:t>
      </w:r>
    </w:p>
    <w:p>
      <w:pPr>
        <w:spacing w:after="0" w:line="191" w:lineRule="exact"/>
        <w:rPr>
          <w:sz w:val="20"/>
          <w:szCs w:val="20"/>
          <w:color w:val="auto"/>
        </w:rPr>
      </w:pPr>
    </w:p>
    <w:p>
      <w:pPr>
        <w:ind w:left="860" w:hanging="280"/>
        <w:spacing w:after="0"/>
        <w:tabs>
          <w:tab w:leader="none" w:pos="8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Exercise Price</w:t>
      </w:r>
    </w:p>
    <w:p>
      <w:pPr>
        <w:spacing w:after="0" w:line="187" w:lineRule="exact"/>
        <w:rPr>
          <w:sz w:val="20"/>
          <w:szCs w:val="20"/>
          <w:color w:val="auto"/>
        </w:rPr>
      </w:pPr>
    </w:p>
    <w:p>
      <w:pPr>
        <w:ind w:left="580"/>
        <w:spacing w:after="0" w:line="248" w:lineRule="auto"/>
        <w:rPr>
          <w:sz w:val="20"/>
          <w:szCs w:val="20"/>
          <w:color w:val="auto"/>
        </w:rPr>
      </w:pPr>
      <w:r>
        <w:rPr>
          <w:rFonts w:ascii="Arial" w:cs="Arial" w:eastAsia="Arial" w:hAnsi="Arial"/>
          <w:sz w:val="18"/>
          <w:szCs w:val="18"/>
          <w:color w:val="auto"/>
        </w:rPr>
        <w:t>The exercise price per share of Common Stock covered by any Option shall be not less than 100% of the Fair Market Value of a share of Common Stock on the Grant Date. The Award Agreement of each Option shall fix the exercise price and clearly identify such Option as either an Incentive Stock Option or as a Non-Qualified Stock Option.</w:t>
      </w:r>
    </w:p>
    <w:p>
      <w:pPr>
        <w:spacing w:after="0" w:line="152" w:lineRule="exact"/>
        <w:rPr>
          <w:sz w:val="20"/>
          <w:szCs w:val="20"/>
          <w:color w:val="auto"/>
        </w:rPr>
      </w:pPr>
    </w:p>
    <w:p>
      <w:pPr>
        <w:ind w:left="860" w:hanging="280"/>
        <w:spacing w:after="0"/>
        <w:tabs>
          <w:tab w:leader="none" w:pos="8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p>
    <w:p>
      <w:pPr>
        <w:spacing w:after="0" w:line="186" w:lineRule="exact"/>
        <w:rPr>
          <w:rFonts w:ascii="Arial" w:cs="Arial" w:eastAsia="Arial" w:hAnsi="Arial"/>
          <w:sz w:val="18"/>
          <w:szCs w:val="18"/>
          <w:color w:val="auto"/>
        </w:rPr>
      </w:pPr>
    </w:p>
    <w:p>
      <w:pPr>
        <w:ind w:left="580" w:firstLine="504"/>
        <w:spacing w:after="0" w:line="239" w:lineRule="auto"/>
        <w:tabs>
          <w:tab w:leader="none" w:pos="129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w:t>
      </w:r>
    </w:p>
    <w:p>
      <w:pPr>
        <w:spacing w:after="0" w:line="156" w:lineRule="exact"/>
        <w:rPr>
          <w:rFonts w:ascii="Arial" w:cs="Arial" w:eastAsia="Arial" w:hAnsi="Arial"/>
          <w:sz w:val="18"/>
          <w:szCs w:val="18"/>
          <w:color w:val="auto"/>
        </w:rPr>
      </w:pPr>
    </w:p>
    <w:p>
      <w:pPr>
        <w:ind w:left="580" w:right="200" w:firstLine="504"/>
        <w:spacing w:after="0" w:line="267" w:lineRule="auto"/>
        <w:tabs>
          <w:tab w:leader="none" w:pos="133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Option may be exercised in whole or in part. The partial exercise of an Option shall not cause the expiration, termination, or cancellation of the remaining portion thereof.</w:t>
      </w:r>
    </w:p>
    <w:p>
      <w:pPr>
        <w:spacing w:after="0" w:line="132" w:lineRule="exact"/>
        <w:rPr>
          <w:rFonts w:ascii="Arial" w:cs="Arial" w:eastAsia="Arial" w:hAnsi="Arial"/>
          <w:sz w:val="18"/>
          <w:szCs w:val="18"/>
          <w:color w:val="auto"/>
        </w:rPr>
      </w:pPr>
    </w:p>
    <w:p>
      <w:pPr>
        <w:ind w:left="580" w:right="380" w:firstLine="504"/>
        <w:spacing w:after="0" w:line="267" w:lineRule="auto"/>
        <w:tabs>
          <w:tab w:leader="none" w:pos="137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 Option shall be exercised by such methods and procedures as the Committee determines from time to time, including, without limitation, through net physical settlement.</w:t>
      </w:r>
    </w:p>
    <w:p>
      <w:pPr>
        <w:spacing w:after="0" w:line="132" w:lineRule="exact"/>
        <w:rPr>
          <w:rFonts w:ascii="Arial" w:cs="Arial" w:eastAsia="Arial" w:hAnsi="Arial"/>
          <w:sz w:val="18"/>
          <w:szCs w:val="18"/>
          <w:color w:val="auto"/>
        </w:rPr>
      </w:pPr>
    </w:p>
    <w:p>
      <w:pPr>
        <w:jc w:val="both"/>
        <w:ind w:left="580" w:right="40" w:firstLine="504"/>
        <w:spacing w:after="0" w:line="248" w:lineRule="auto"/>
        <w:tabs>
          <w:tab w:leader="none" w:pos="138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w:t>
      </w:r>
    </w:p>
    <w:p>
      <w:pPr>
        <w:spacing w:after="0" w:line="88" w:lineRule="exact"/>
        <w:rPr>
          <w:sz w:val="20"/>
          <w:szCs w:val="20"/>
          <w:color w:val="auto"/>
        </w:rPr>
      </w:pPr>
    </w:p>
    <w:p>
      <w:pPr>
        <w:ind w:left="580"/>
        <w:spacing w:after="0"/>
        <w:tabs>
          <w:tab w:leader="none" w:pos="1160" w:val="left"/>
          <w:tab w:leader="none" w:pos="3980" w:val="left"/>
        </w:tabs>
        <w:rPr>
          <w:sz w:val="20"/>
          <w:szCs w:val="20"/>
          <w:color w:val="auto"/>
        </w:rPr>
      </w:pPr>
      <w:r>
        <w:rPr>
          <w:rFonts w:ascii="Arial" w:cs="Arial" w:eastAsia="Arial" w:hAnsi="Arial"/>
          <w:sz w:val="18"/>
          <w:szCs w:val="18"/>
          <w:b w:val="1"/>
          <w:bCs w:val="1"/>
          <w:color w:val="666666"/>
        </w:rPr>
        <w:t>A-10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Non-Qualified Stock Options to be sold, pledged, assigned, hypothecated, transferred, or disposed of, on a general or specific basis, subject to such conditions and limitations as the Committee may determine. In addition, the Committee may impose such restrictions on any shares acquired pursuant to the exercise of 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58" w:lineRule="exact"/>
        <w:rPr>
          <w:sz w:val="20"/>
          <w:szCs w:val="20"/>
          <w:color w:val="auto"/>
        </w:rPr>
      </w:pPr>
    </w:p>
    <w:p>
      <w:pPr>
        <w:ind w:left="1340" w:hanging="256"/>
        <w:spacing w:after="0"/>
        <w:tabs>
          <w:tab w:leader="none" w:pos="13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Options granted under the Plan are intended to be exempt from Section 409A of the Code.</w:t>
      </w:r>
    </w:p>
    <w:p>
      <w:pPr>
        <w:spacing w:after="0" w:line="190" w:lineRule="exact"/>
        <w:rPr>
          <w:rFonts w:ascii="Arial" w:cs="Arial" w:eastAsia="Arial" w:hAnsi="Arial"/>
          <w:sz w:val="18"/>
          <w:szCs w:val="18"/>
          <w:color w:val="auto"/>
        </w:rPr>
      </w:pPr>
    </w:p>
    <w:p>
      <w:pPr>
        <w:ind w:left="840" w:hanging="260"/>
        <w:spacing w:after="0"/>
        <w:tabs>
          <w:tab w:leader="none" w:pos="84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Special Rules for Incentive Stock Options</w:t>
      </w:r>
    </w:p>
    <w:p>
      <w:pPr>
        <w:spacing w:after="0" w:line="186" w:lineRule="exact"/>
        <w:rPr>
          <w:rFonts w:ascii="Arial" w:cs="Arial" w:eastAsia="Arial" w:hAnsi="Arial"/>
          <w:sz w:val="18"/>
          <w:szCs w:val="18"/>
          <w:color w:val="auto"/>
        </w:rPr>
      </w:pPr>
    </w:p>
    <w:p>
      <w:pPr>
        <w:ind w:left="580" w:right="60" w:firstLine="504"/>
        <w:spacing w:after="0" w:line="233" w:lineRule="auto"/>
        <w:tabs>
          <w:tab w:leader="none" w:pos="129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aggregate Fair Market Value of shares of Common Stock with respect to which Incentive Stock Options are exercisable for the first time by a Participant during any calendar year under the Plan and any other stock option plan of the Company shall not exceed $100,000. Such Fair Market Value shall be determined as of the Grant Date of such Incentive Stock Option.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Incentive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Incentive Stock Options shall remain unchanged.</w:t>
      </w:r>
    </w:p>
    <w:p>
      <w:pPr>
        <w:spacing w:after="0" w:line="160" w:lineRule="exact"/>
        <w:rPr>
          <w:sz w:val="20"/>
          <w:szCs w:val="20"/>
          <w:color w:val="auto"/>
        </w:rPr>
      </w:pPr>
    </w:p>
    <w:p>
      <w:pPr>
        <w:ind w:left="580" w:right="60" w:firstLine="504"/>
        <w:spacing w:after="0" w:line="237" w:lineRule="auto"/>
        <w:tabs>
          <w:tab w:leader="none" w:pos="133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Incentive Stock Options may only be granted to individuals who are employees of the Company. No Incentive Stock Option may be granted to an individual if, at the time of the proposed grant, such individual owns stock possessing more than ten percent (10%) of the total combined voting power of all classes of stock of Sabre Corporation or any of its Subsidiaries, unless (i) the exercise price of such Incentive Stock Option is at least one hundred and ten percent (110%) of the Fair Market Value of a share of Common Stock at the time such Incentive Stock Option is granted and (ii) such Incentive Stock Option is not exercisable after the expiration of five years from the date such Incentive Stock Option is granted.</w:t>
      </w:r>
    </w:p>
    <w:p>
      <w:pPr>
        <w:spacing w:after="0" w:line="255" w:lineRule="exact"/>
        <w:rPr>
          <w:rFonts w:ascii="Arial" w:cs="Arial" w:eastAsia="Arial" w:hAnsi="Arial"/>
          <w:sz w:val="18"/>
          <w:szCs w:val="18"/>
          <w:color w:val="auto"/>
        </w:rPr>
      </w:pPr>
    </w:p>
    <w:p>
      <w:pPr>
        <w:ind w:left="840" w:hanging="260"/>
        <w:spacing w:after="0"/>
        <w:tabs>
          <w:tab w:leader="none" w:pos="840" w:val="left"/>
        </w:tabs>
        <w:numPr>
          <w:ilvl w:val="0"/>
          <w:numId w:val="106"/>
        </w:numPr>
        <w:rPr>
          <w:rFonts w:ascii="Arial" w:cs="Arial" w:eastAsia="Arial" w:hAnsi="Arial"/>
          <w:sz w:val="23"/>
          <w:szCs w:val="23"/>
          <w:b w:val="1"/>
          <w:bCs w:val="1"/>
          <w:color w:val="CF0A2C"/>
        </w:rPr>
      </w:pPr>
      <w:r>
        <w:rPr>
          <w:rFonts w:ascii="Arial" w:cs="Arial" w:eastAsia="Arial" w:hAnsi="Arial"/>
          <w:sz w:val="23"/>
          <w:szCs w:val="23"/>
          <w:b w:val="1"/>
          <w:bCs w:val="1"/>
          <w:color w:val="CF0A2C"/>
        </w:rPr>
        <w:t>Other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The Committee may from time to time grant equity,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w:t>
      </w:r>
    </w:p>
    <w:p>
      <w:pPr>
        <w:spacing w:after="0" w:line="101" w:lineRule="exact"/>
        <w:rPr>
          <w:sz w:val="20"/>
          <w:szCs w:val="20"/>
          <w:color w:val="auto"/>
        </w:rPr>
      </w:pPr>
    </w:p>
    <w:p>
      <w:pPr>
        <w:ind w:left="6040"/>
        <w:spacing w:after="0"/>
        <w:tabs>
          <w:tab w:leader="none" w:pos="7820" w:val="left"/>
          <w:tab w:leader="none" w:pos="9840" w:val="left"/>
          <w:tab w:leader="none" w:pos="102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-107315</wp:posOffset>
            </wp:positionV>
            <wp:extent cx="415925" cy="1022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right="160"/>
        <w:spacing w:after="0" w:line="242" w:lineRule="auto"/>
        <w:rPr>
          <w:sz w:val="20"/>
          <w:szCs w:val="20"/>
          <w:color w:val="auto"/>
        </w:rPr>
      </w:pPr>
      <w:r>
        <w:rPr>
          <w:rFonts w:ascii="Arial" w:cs="Arial" w:eastAsia="Arial" w:hAnsi="Arial"/>
          <w:sz w:val="18"/>
          <w:szCs w:val="18"/>
          <w:color w:val="auto"/>
        </w:rPr>
        <w:t>that is specified at the time of the grant of such award. Notwithstanding the foregoing, to the extent any such Other Stock-Based Award is subject to Section 409A of the Code, the Award Agreement of such Other Stock-Based Award shall contain terms and conditions (including, without limitation and to the extent applicable, deferral and payment provisions) that comply with Section 409A of the Code.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8.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0"/>
        <w:spacing w:after="0" w:line="237" w:lineRule="auto"/>
        <w:rPr>
          <w:sz w:val="20"/>
          <w:szCs w:val="20"/>
          <w:color w:val="auto"/>
        </w:rPr>
      </w:pPr>
      <w:r>
        <w:rPr>
          <w:rFonts w:ascii="Arial" w:cs="Arial" w:eastAsia="Arial" w:hAnsi="Arial"/>
          <w:sz w:val="18"/>
          <w:szCs w:val="18"/>
          <w:color w:val="auto"/>
        </w:rPr>
        <w:t>The Committee may grant to any Participant Cash Incentive Awards that are subject to the terms and conditions of the Plan. Cash Incentive Awards granted under the Plan may be settled in cash or in other property, including shares of Common Stock, provided that the term “Cash Incentive Award” shall exclude any Option or Other Stock-Based Award. Without limiting the generality of the foregoing, a Cash Incentive Award may provide for target awards based on allocation among Participants of a bonus or incentive pool. For the avoidance of doubt, nothing herein is intended to limit or shall limit the Company’s ability to grant cash-based awards that are not subject to the Plan.</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9.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0" w:lineRule="auto"/>
        <w:tabs>
          <w:tab w:leader="none" w:pos="8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Committee may issue Awards under the Plan, the grant, payment or vesting of which is conditioned upon the satisfaction of Performance Measures. Such Performance Measures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 or such other measures as the Committee may determine from time to time. A Performance Measure (i) may relate to the performance of the Participant, Sabre Corporation, a Subsidiary, any business group, business unit or other subdivision of the Company, or any combination of the foregoing, as the Committee deems appropriate and</w:t>
      </w:r>
    </w:p>
    <w:p>
      <w:pPr>
        <w:spacing w:after="0" w:line="10" w:lineRule="exact"/>
        <w:rPr>
          <w:rFonts w:ascii="Arial" w:cs="Arial" w:eastAsia="Arial" w:hAnsi="Arial"/>
          <w:sz w:val="18"/>
          <w:szCs w:val="18"/>
          <w:color w:val="auto"/>
        </w:rPr>
      </w:pPr>
    </w:p>
    <w:p>
      <w:pPr>
        <w:ind w:left="580" w:right="160"/>
        <w:spacing w:after="0" w:line="232" w:lineRule="auto"/>
        <w:tabs>
          <w:tab w:leader="none" w:pos="8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 Performance goals may differ for Awards granted to any one Participant or to different Participants. 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w:t>
      </w:r>
    </w:p>
    <w:p>
      <w:pPr>
        <w:spacing w:after="0" w:line="161" w:lineRule="exact"/>
        <w:rPr>
          <w:rFonts w:ascii="Arial" w:cs="Arial" w:eastAsia="Arial" w:hAnsi="Arial"/>
          <w:sz w:val="18"/>
          <w:szCs w:val="18"/>
          <w:color w:val="auto"/>
        </w:rPr>
      </w:pPr>
    </w:p>
    <w:p>
      <w:pPr>
        <w:ind w:left="580" w:right="300"/>
        <w:spacing w:after="0" w:line="248" w:lineRule="auto"/>
        <w:tabs>
          <w:tab w:leader="none" w:pos="8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Committee shall determine the length of the measurement or performance period applicable to each Award whose grant, vesting or payment is subject to the achievement of Performance Measures. Such measurement or performance periods may be overlapping.</w:t>
      </w:r>
    </w:p>
    <w:p>
      <w:pPr>
        <w:spacing w:after="0" w:line="88" w:lineRule="exact"/>
        <w:rPr>
          <w:sz w:val="20"/>
          <w:szCs w:val="20"/>
          <w:color w:val="auto"/>
        </w:rPr>
      </w:pPr>
    </w:p>
    <w:p>
      <w:pPr>
        <w:ind w:left="580"/>
        <w:spacing w:after="0"/>
        <w:tabs>
          <w:tab w:leader="none" w:pos="1160" w:val="left"/>
          <w:tab w:leader="none" w:pos="3980" w:val="left"/>
        </w:tabs>
        <w:rPr>
          <w:sz w:val="20"/>
          <w:szCs w:val="20"/>
          <w:color w:val="auto"/>
        </w:rPr>
      </w:pPr>
      <w:r>
        <w:rPr>
          <w:rFonts w:ascii="Arial" w:cs="Arial" w:eastAsia="Arial" w:hAnsi="Arial"/>
          <w:sz w:val="18"/>
          <w:szCs w:val="18"/>
          <w:b w:val="1"/>
          <w:bCs w:val="1"/>
          <w:color w:val="666666"/>
        </w:rPr>
        <w:t>A-12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spacing w:after="0" w:line="248" w:lineRule="auto"/>
        <w:tabs>
          <w:tab w:leader="none" w:pos="8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Nothing in this Section 9 is intended to limit the Committee’s discretion to adopt conditions with respect to any Award, or to require the Committee to issue Awards. The Committee may, subject to the terms of the Plan, amend previously granted Awards whose grant, vesting or payment is subject to Performance Measures.</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10. Effect of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20"/>
        <w:spacing w:after="0" w:line="248" w:lineRule="auto"/>
        <w:tabs>
          <w:tab w:leader="none" w:pos="8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Award Agreement shall set forth the effect of the Participant’s termination of Employment on any outstanding Awards. Such provisions shall be determined in the sole discretion of the Committee, need not be uniform among all Awards issued, and may reflect distinctions based on the reasons for the termination of Employment.</w:t>
      </w:r>
    </w:p>
    <w:p>
      <w:pPr>
        <w:spacing w:after="0" w:line="149" w:lineRule="exact"/>
        <w:rPr>
          <w:rFonts w:ascii="Arial" w:cs="Arial" w:eastAsia="Arial" w:hAnsi="Arial"/>
          <w:sz w:val="18"/>
          <w:szCs w:val="18"/>
          <w:color w:val="auto"/>
        </w:rPr>
      </w:pPr>
    </w:p>
    <w:p>
      <w:pPr>
        <w:ind w:left="580"/>
        <w:spacing w:after="0" w:line="232" w:lineRule="auto"/>
        <w:tabs>
          <w:tab w:leader="none" w:pos="8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to any awards constituting stock rights exempt from Section 409A of the Code, termination of Employment shall mean a ‘separation from service’ within the meaning of Section 409A, unless the Participant is retained as a consultant pursuant to a written agreement and such agreement provides otherwise. The Employment of a Participant with the Company shall be deemed to have terminated for all purposes of the Plan if such person is employed by or provides services to a Person that is a Subsidiary of the Company and such Person ceases to be a Subsidiary of the Company, unless the Committee determines otherwise. Subject to Section 409A and unless otherwise determined by the Committee, (i) a Participant who ceases to be an employee of the Company but continues, or simultaneously commences, services as a director on the Board shall not be deemed to have had a termination of Employment for purposes of the Plan and (ii) a Participant who ceases to be an employee of the Company but continues, or simultaneously commences, services as an independent contractor or consultant to the Company shall be deemed to have had a termination of Employment for purposes of the Plan. Without limiting the generality of the foregoing, the Committee shall determine whether an authorized leave of absence, or absence in military or government service, shall constitute termination of Employment. Furthermore, no payment shall be made with respect to any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p>
      <w:pPr>
        <w:spacing w:after="0" w:line="261"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11. Adjustment Upon Certain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860" w:hanging="280"/>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Shares Available for Grants</w:t>
      </w:r>
    </w:p>
    <w:p>
      <w:pPr>
        <w:spacing w:after="0" w:line="187" w:lineRule="exact"/>
        <w:rPr>
          <w:sz w:val="20"/>
          <w:szCs w:val="20"/>
          <w:color w:val="auto"/>
        </w:rPr>
      </w:pPr>
    </w:p>
    <w:p>
      <w:pPr>
        <w:ind w:left="580" w:right="40"/>
        <w:spacing w:after="0" w:line="235" w:lineRule="auto"/>
        <w:rPr>
          <w:sz w:val="20"/>
          <w:szCs w:val="20"/>
          <w:color w:val="auto"/>
        </w:rPr>
      </w:pPr>
      <w:r>
        <w:rPr>
          <w:rFonts w:ascii="Arial" w:cs="Arial" w:eastAsia="Arial" w:hAnsi="Arial"/>
          <w:sz w:val="18"/>
          <w:szCs w:val="18"/>
          <w:color w:val="auto"/>
        </w:rPr>
        <w:t>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w:t>
      </w:r>
    </w:p>
    <w:p>
      <w:pPr>
        <w:spacing w:after="0" w:line="98" w:lineRule="exact"/>
        <w:rPr>
          <w:sz w:val="20"/>
          <w:szCs w:val="20"/>
          <w:color w:val="auto"/>
        </w:rPr>
      </w:pPr>
    </w:p>
    <w:p>
      <w:pPr>
        <w:ind w:left="6040"/>
        <w:spacing w:after="0"/>
        <w:tabs>
          <w:tab w:leader="none" w:pos="7800" w:val="left"/>
          <w:tab w:leader="none" w:pos="9840" w:val="left"/>
          <w:tab w:leader="none" w:pos="102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-107315</wp:posOffset>
            </wp:positionV>
            <wp:extent cx="415925" cy="1022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41" w:lineRule="exact"/>
        <w:rPr>
          <w:sz w:val="20"/>
          <w:szCs w:val="20"/>
          <w:color w:val="auto"/>
        </w:rPr>
      </w:pPr>
    </w:p>
    <w:p>
      <w:pPr>
        <w:ind w:left="860" w:hanging="280"/>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Increase or Decrease in Issued Shares Without Consideration</w:t>
      </w:r>
    </w:p>
    <w:p>
      <w:pPr>
        <w:spacing w:after="0" w:line="187" w:lineRule="exact"/>
        <w:rPr>
          <w:sz w:val="20"/>
          <w:szCs w:val="20"/>
          <w:color w:val="auto"/>
        </w:rPr>
      </w:pPr>
    </w:p>
    <w:p>
      <w:pPr>
        <w:ind w:left="580" w:right="20"/>
        <w:spacing w:after="0" w:line="237" w:lineRule="auto"/>
        <w:rPr>
          <w:sz w:val="20"/>
          <w:szCs w:val="20"/>
          <w:color w:val="auto"/>
        </w:rPr>
      </w:pPr>
      <w:r>
        <w:rPr>
          <w:rFonts w:ascii="Arial" w:cs="Arial" w:eastAsia="Arial" w:hAnsi="Arial"/>
          <w:sz w:val="18"/>
          <w:szCs w:val="18"/>
          <w:color w:val="auto"/>
        </w:rPr>
        <w:t>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appropriately adjust the number of shares of Common Stock subject to each outstanding Award and the exercise price per share of Common Stock of each such Award.</w:t>
      </w:r>
    </w:p>
    <w:p>
      <w:pPr>
        <w:spacing w:after="0" w:line="160" w:lineRule="exact"/>
        <w:rPr>
          <w:sz w:val="20"/>
          <w:szCs w:val="20"/>
          <w:color w:val="auto"/>
        </w:rPr>
      </w:pPr>
    </w:p>
    <w:p>
      <w:pPr>
        <w:ind w:left="840" w:hanging="260"/>
        <w:spacing w:after="0"/>
        <w:tabs>
          <w:tab w:leader="none" w:pos="8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Certain Mergers</w:t>
      </w:r>
    </w:p>
    <w:p>
      <w:pPr>
        <w:spacing w:after="0" w:line="187" w:lineRule="exact"/>
        <w:rPr>
          <w:sz w:val="20"/>
          <w:szCs w:val="20"/>
          <w:color w:val="auto"/>
        </w:rPr>
      </w:pPr>
    </w:p>
    <w:p>
      <w:pPr>
        <w:ind w:left="580"/>
        <w:spacing w:after="0" w:line="239" w:lineRule="auto"/>
        <w:rPr>
          <w:sz w:val="20"/>
          <w:szCs w:val="20"/>
          <w:color w:val="auto"/>
        </w:rPr>
      </w:pPr>
      <w:r>
        <w:rPr>
          <w:rFonts w:ascii="Arial" w:cs="Arial" w:eastAsia="Arial" w:hAnsi="Arial"/>
          <w:sz w:val="18"/>
          <w:szCs w:val="18"/>
          <w:color w:val="auto"/>
        </w:rPr>
        <w:t>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w:t>
      </w:r>
    </w:p>
    <w:p>
      <w:pPr>
        <w:spacing w:after="0" w:line="158" w:lineRule="exact"/>
        <w:rPr>
          <w:sz w:val="20"/>
          <w:szCs w:val="20"/>
          <w:color w:val="auto"/>
        </w:rPr>
      </w:pPr>
    </w:p>
    <w:p>
      <w:pPr>
        <w:ind w:left="860" w:hanging="280"/>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Certain Other Transactions</w:t>
      </w:r>
    </w:p>
    <w:p>
      <w:pPr>
        <w:spacing w:after="0" w:line="187" w:lineRule="exact"/>
        <w:rPr>
          <w:sz w:val="20"/>
          <w:szCs w:val="20"/>
          <w:color w:val="auto"/>
        </w:rPr>
      </w:pPr>
    </w:p>
    <w:p>
      <w:pPr>
        <w:ind w:left="580" w:right="60"/>
        <w:spacing w:after="0" w:line="237" w:lineRule="auto"/>
        <w:rPr>
          <w:sz w:val="20"/>
          <w:szCs w:val="20"/>
          <w:color w:val="auto"/>
        </w:rPr>
      </w:pPr>
      <w:r>
        <w:rPr>
          <w:rFonts w:ascii="Arial" w:cs="Arial" w:eastAsia="Arial" w:hAnsi="Arial"/>
          <w:sz w:val="18"/>
          <w:szCs w:val="18"/>
          <w:color w:val="auto"/>
        </w:rPr>
        <w:t>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w:t>
      </w:r>
    </w:p>
    <w:p>
      <w:pPr>
        <w:spacing w:after="0" w:line="158" w:lineRule="exact"/>
        <w:rPr>
          <w:sz w:val="20"/>
          <w:szCs w:val="20"/>
          <w:color w:val="auto"/>
        </w:rPr>
      </w:pPr>
    </w:p>
    <w:p>
      <w:pPr>
        <w:ind w:left="580" w:firstLine="504"/>
        <w:spacing w:after="0"/>
        <w:tabs>
          <w:tab w:leader="none" w:pos="12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cancel, effective immediately prior to the occurrence of such event, each Award (whether or not then exercisable, and including, without limitation, Awards with an exercise price that exceeds the then-current Fair Market Value of the Common Stock),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if any, of (A) the value, as determined by the Committee in its reasonable discretion, of the property (including cash) received by the holder of a share of Common Stock as a result of such event over (B) the exercise price of such Option; and</w:t>
      </w:r>
    </w:p>
    <w:p>
      <w:pPr>
        <w:spacing w:after="0" w:line="331" w:lineRule="exact"/>
        <w:rPr>
          <w:rFonts w:ascii="Arial" w:cs="Arial" w:eastAsia="Arial" w:hAnsi="Arial"/>
          <w:sz w:val="18"/>
          <w:szCs w:val="18"/>
          <w:color w:val="auto"/>
        </w:rPr>
      </w:pPr>
    </w:p>
    <w:p>
      <w:pPr>
        <w:ind w:left="1340" w:hanging="256"/>
        <w:spacing w:after="0"/>
        <w:tabs>
          <w:tab w:leader="none" w:pos="13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provide for the exchange of each Award (whether or not then exercisable or vested) for an Award with respect to</w:t>
      </w:r>
    </w:p>
    <w:p>
      <w:pPr>
        <w:spacing w:after="0" w:line="8" w:lineRule="exact"/>
        <w:rPr>
          <w:rFonts w:ascii="Arial" w:cs="Arial" w:eastAsia="Arial" w:hAnsi="Arial"/>
          <w:sz w:val="18"/>
          <w:szCs w:val="18"/>
          <w:color w:val="auto"/>
        </w:rPr>
      </w:pPr>
    </w:p>
    <w:p>
      <w:pPr>
        <w:ind w:left="580"/>
        <w:spacing w:after="0" w:line="234" w:lineRule="auto"/>
        <w:tabs>
          <w:tab w:leader="none" w:pos="8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w:t>
      </w:r>
    </w:p>
    <w:p>
      <w:pPr>
        <w:spacing w:after="0" w:line="162" w:lineRule="exact"/>
        <w:rPr>
          <w:sz w:val="20"/>
          <w:szCs w:val="20"/>
          <w:color w:val="auto"/>
        </w:rPr>
      </w:pPr>
    </w:p>
    <w:p>
      <w:pPr>
        <w:ind w:left="860" w:hanging="280"/>
        <w:spacing w:after="0"/>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Other Changes</w:t>
      </w:r>
    </w:p>
    <w:p>
      <w:pPr>
        <w:spacing w:after="0" w:line="187" w:lineRule="exact"/>
        <w:rPr>
          <w:sz w:val="20"/>
          <w:szCs w:val="20"/>
          <w:color w:val="auto"/>
        </w:rPr>
      </w:pPr>
    </w:p>
    <w:p>
      <w:pPr>
        <w:ind w:left="580" w:right="660"/>
        <w:spacing w:after="0" w:line="267" w:lineRule="auto"/>
        <w:rPr>
          <w:sz w:val="20"/>
          <w:szCs w:val="20"/>
          <w:color w:val="auto"/>
        </w:rPr>
      </w:pPr>
      <w:r>
        <w:rPr>
          <w:rFonts w:ascii="Arial" w:cs="Arial" w:eastAsia="Arial" w:hAnsi="Arial"/>
          <w:sz w:val="18"/>
          <w:szCs w:val="18"/>
          <w:color w:val="auto"/>
        </w:rPr>
        <w:t>In the event of any change in the capitalization of Sabre Corporation or corporate change other than those specifically referred to in paragraphs (b), (c), or (d), including, without limitation, an extraordinary cash</w:t>
      </w:r>
    </w:p>
    <w:p>
      <w:pPr>
        <w:spacing w:after="0" w:line="72" w:lineRule="exact"/>
        <w:rPr>
          <w:sz w:val="20"/>
          <w:szCs w:val="20"/>
          <w:color w:val="auto"/>
        </w:rPr>
      </w:pPr>
    </w:p>
    <w:p>
      <w:pPr>
        <w:ind w:left="580"/>
        <w:spacing w:after="0"/>
        <w:tabs>
          <w:tab w:leader="none" w:pos="1160" w:val="left"/>
          <w:tab w:leader="none" w:pos="3980" w:val="left"/>
        </w:tabs>
        <w:rPr>
          <w:sz w:val="20"/>
          <w:szCs w:val="20"/>
          <w:color w:val="auto"/>
        </w:rPr>
      </w:pPr>
      <w:r>
        <w:rPr>
          <w:rFonts w:ascii="Arial" w:cs="Arial" w:eastAsia="Arial" w:hAnsi="Arial"/>
          <w:sz w:val="18"/>
          <w:szCs w:val="18"/>
          <w:b w:val="1"/>
          <w:bCs w:val="1"/>
          <w:color w:val="666666"/>
        </w:rPr>
        <w:t>A-14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9" w:lineRule="exact"/>
        <w:rPr>
          <w:sz w:val="20"/>
          <w:szCs w:val="20"/>
          <w:color w:val="auto"/>
        </w:rPr>
      </w:pPr>
    </w:p>
    <w:p>
      <w:pPr>
        <w:ind w:left="580" w:right="100"/>
        <w:spacing w:after="0" w:line="248" w:lineRule="auto"/>
        <w:rPr>
          <w:sz w:val="20"/>
          <w:szCs w:val="20"/>
          <w:color w:val="auto"/>
        </w:rPr>
      </w:pPr>
      <w:r>
        <w:rPr>
          <w:rFonts w:ascii="Arial" w:cs="Arial" w:eastAsia="Arial" w:hAnsi="Arial"/>
          <w:sz w:val="18"/>
          <w:szCs w:val="18"/>
          <w:color w:val="auto"/>
        </w:rPr>
        <w:t>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w:t>
      </w:r>
    </w:p>
    <w:p>
      <w:pPr>
        <w:spacing w:after="0" w:line="152" w:lineRule="exact"/>
        <w:rPr>
          <w:sz w:val="20"/>
          <w:szCs w:val="20"/>
          <w:color w:val="auto"/>
        </w:rPr>
      </w:pPr>
    </w:p>
    <w:p>
      <w:pPr>
        <w:ind w:left="800" w:hanging="220"/>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Cash Incentive Awards</w:t>
      </w:r>
    </w:p>
    <w:p>
      <w:pPr>
        <w:spacing w:after="0" w:line="187" w:lineRule="exact"/>
        <w:rPr>
          <w:sz w:val="20"/>
          <w:szCs w:val="20"/>
          <w:color w:val="auto"/>
        </w:rPr>
      </w:pPr>
    </w:p>
    <w:p>
      <w:pPr>
        <w:ind w:left="580"/>
        <w:spacing w:after="0" w:line="248" w:lineRule="auto"/>
        <w:rPr>
          <w:sz w:val="20"/>
          <w:szCs w:val="20"/>
          <w:color w:val="auto"/>
        </w:rPr>
      </w:pPr>
      <w:r>
        <w:rPr>
          <w:rFonts w:ascii="Arial" w:cs="Arial" w:eastAsia="Arial" w:hAnsi="Arial"/>
          <w:sz w:val="18"/>
          <w:szCs w:val="18"/>
          <w:color w:val="auto"/>
        </w:rPr>
        <w:t>In the event of any transaction or event described in this Section 11, including without limitation any corporate change referred to in paragraph (e) hereof, the Committee may, as the Committee may consider appropriate in respect of such transaction or event, make such adjustments in the terms and conditions of any Cash Incentive Awards.</w:t>
      </w:r>
    </w:p>
    <w:p>
      <w:pPr>
        <w:spacing w:after="0" w:line="152" w:lineRule="exact"/>
        <w:rPr>
          <w:sz w:val="20"/>
          <w:szCs w:val="20"/>
          <w:color w:val="auto"/>
        </w:rPr>
      </w:pPr>
    </w:p>
    <w:p>
      <w:pPr>
        <w:ind w:left="860" w:hanging="280"/>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Other Rights</w:t>
      </w:r>
    </w:p>
    <w:p>
      <w:pPr>
        <w:spacing w:after="0" w:line="187" w:lineRule="exact"/>
        <w:rPr>
          <w:sz w:val="20"/>
          <w:szCs w:val="20"/>
          <w:color w:val="auto"/>
        </w:rPr>
      </w:pPr>
    </w:p>
    <w:p>
      <w:pPr>
        <w:ind w:left="580" w:right="80"/>
        <w:spacing w:after="0" w:line="236" w:lineRule="auto"/>
        <w:rPr>
          <w:sz w:val="20"/>
          <w:szCs w:val="20"/>
          <w:color w:val="auto"/>
        </w:rPr>
      </w:pPr>
      <w:r>
        <w:rPr>
          <w:rFonts w:ascii="Arial" w:cs="Arial" w:eastAsia="Arial" w:hAnsi="Arial"/>
          <w:sz w:val="18"/>
          <w:szCs w:val="18"/>
          <w:color w:val="auto"/>
        </w:rPr>
        <w:t>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60" w:lineRule="exact"/>
        <w:rPr>
          <w:sz w:val="20"/>
          <w:szCs w:val="20"/>
          <w:color w:val="auto"/>
        </w:rPr>
      </w:pPr>
    </w:p>
    <w:p>
      <w:pPr>
        <w:ind w:left="860" w:hanging="280"/>
        <w:spacing w:after="0"/>
        <w:tabs>
          <w:tab w:leader="none" w:pos="86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Savings Clause</w:t>
      </w:r>
    </w:p>
    <w:p>
      <w:pPr>
        <w:spacing w:after="0" w:line="187" w:lineRule="exact"/>
        <w:rPr>
          <w:sz w:val="20"/>
          <w:szCs w:val="20"/>
          <w:color w:val="auto"/>
        </w:rPr>
      </w:pPr>
    </w:p>
    <w:p>
      <w:pPr>
        <w:ind w:left="580" w:right="240"/>
        <w:spacing w:after="0" w:line="248" w:lineRule="auto"/>
        <w:rPr>
          <w:sz w:val="20"/>
          <w:szCs w:val="20"/>
          <w:color w:val="auto"/>
        </w:rPr>
      </w:pPr>
      <w:r>
        <w:rPr>
          <w:rFonts w:ascii="Arial" w:cs="Arial" w:eastAsia="Arial" w:hAnsi="Arial"/>
          <w:sz w:val="18"/>
          <w:szCs w:val="18"/>
          <w:color w:val="auto"/>
        </w:rPr>
        <w:t>No provision of this Section 11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12.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jc w:val="both"/>
        <w:ind w:left="580" w:right="180"/>
        <w:spacing w:after="0" w:line="248" w:lineRule="auto"/>
        <w:rPr>
          <w:sz w:val="20"/>
          <w:szCs w:val="20"/>
          <w:color w:val="auto"/>
        </w:rPr>
      </w:pPr>
      <w:r>
        <w:rPr>
          <w:rFonts w:ascii="Arial" w:cs="Arial" w:eastAsia="Arial" w:hAnsi="Arial"/>
          <w:sz w:val="18"/>
          <w:szCs w:val="18"/>
          <w:color w:val="auto"/>
        </w:rPr>
        <w:t>Except as otherwise set forth in a Participant’s Award Agreement, in the event (a) a Participant has a Qualifying Termination following a Change in Control of the Company or (b) of a Change in Control in which outstanding Awards are not assumed, continued, or substituted by the surviving corporation:</w:t>
      </w:r>
    </w:p>
    <w:p>
      <w:pPr>
        <w:spacing w:after="0" w:line="150" w:lineRule="exact"/>
        <w:rPr>
          <w:sz w:val="20"/>
          <w:szCs w:val="20"/>
          <w:color w:val="auto"/>
        </w:rPr>
      </w:pPr>
    </w:p>
    <w:p>
      <w:pPr>
        <w:ind w:left="580" w:right="240" w:firstLine="504"/>
        <w:spacing w:after="0" w:line="248" w:lineRule="auto"/>
        <w:tabs>
          <w:tab w:leader="none" w:pos="12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deferral of settlement, forfeiture conditions and other restrictions applicable to Awards granted under the Plan shall lapse and such Awards shall be deemed fully vested as of the time of the Change in Control without regard to deferral and vesting conditions; and</w:t>
      </w:r>
    </w:p>
    <w:p>
      <w:pPr>
        <w:spacing w:after="0" w:line="149" w:lineRule="exact"/>
        <w:rPr>
          <w:rFonts w:ascii="Arial" w:cs="Arial" w:eastAsia="Arial" w:hAnsi="Arial"/>
          <w:sz w:val="18"/>
          <w:szCs w:val="18"/>
          <w:color w:val="auto"/>
        </w:rPr>
      </w:pPr>
    </w:p>
    <w:p>
      <w:pPr>
        <w:ind w:left="580" w:right="20" w:firstLine="504"/>
        <w:spacing w:after="0" w:line="267" w:lineRule="auto"/>
        <w:tabs>
          <w:tab w:leader="none" w:pos="13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Award carrying a right to exercise that was not previously exercisable and vested shall become fully exercisable and vested as of the time of the Change in Control.</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13. Rights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60"/>
        <w:spacing w:after="0" w:line="242" w:lineRule="auto"/>
        <w:tabs>
          <w:tab w:leader="none" w:pos="8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11 hereof, no adjustment of any Award shall be made for dividends or other rights for which the record date occurs</w:t>
      </w:r>
    </w:p>
    <w:p>
      <w:pPr>
        <w:spacing w:after="0" w:line="93" w:lineRule="exact"/>
        <w:rPr>
          <w:sz w:val="20"/>
          <w:szCs w:val="20"/>
          <w:color w:val="auto"/>
        </w:rPr>
      </w:pPr>
    </w:p>
    <w:p>
      <w:pPr>
        <w:ind w:left="6040"/>
        <w:spacing w:after="0"/>
        <w:tabs>
          <w:tab w:leader="none" w:pos="7800" w:val="left"/>
          <w:tab w:leader="none" w:pos="9840" w:val="left"/>
          <w:tab w:leader="none" w:pos="102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-107315</wp:posOffset>
            </wp:positionV>
            <wp:extent cx="415925" cy="1022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right="440"/>
        <w:spacing w:after="0" w:line="248" w:lineRule="auto"/>
        <w:rPr>
          <w:sz w:val="20"/>
          <w:szCs w:val="20"/>
          <w:color w:val="auto"/>
        </w:rPr>
      </w:pPr>
      <w:r>
        <w:rPr>
          <w:rFonts w:ascii="Arial" w:cs="Arial" w:eastAsia="Arial" w:hAnsi="Arial"/>
          <w:sz w:val="18"/>
          <w:szCs w:val="18"/>
          <w:color w:val="auto"/>
        </w:rPr>
        <w:t>prior to the date such stock certificate is issued. Nothing in this Section 13 is intended, or should be construed, to limit authority of the Committee to cause the Company to make payments based on the dividends that would be payable with respect to any share of Common Stock if it were issued or outstanding, or to grant rights related to such dividends.</w:t>
      </w:r>
    </w:p>
    <w:p>
      <w:pPr>
        <w:spacing w:after="0" w:line="150" w:lineRule="exact"/>
        <w:rPr>
          <w:sz w:val="20"/>
          <w:szCs w:val="20"/>
          <w:color w:val="auto"/>
        </w:rPr>
      </w:pPr>
    </w:p>
    <w:p>
      <w:pPr>
        <w:ind w:left="580" w:right="40"/>
        <w:spacing w:after="0" w:line="237" w:lineRule="auto"/>
        <w:tabs>
          <w:tab w:leader="none" w:pos="8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as creating any limitations on the power of the Board of Directors or Committee to adopt such other compensation arrangements as it may deem desirable for any Participant.</w:t>
      </w:r>
    </w:p>
    <w:p>
      <w:pPr>
        <w:spacing w:after="0" w:line="158" w:lineRule="exact"/>
        <w:rPr>
          <w:rFonts w:ascii="Arial" w:cs="Arial" w:eastAsia="Arial" w:hAnsi="Arial"/>
          <w:sz w:val="18"/>
          <w:szCs w:val="18"/>
          <w:color w:val="auto"/>
        </w:rPr>
      </w:pPr>
    </w:p>
    <w:p>
      <w:pPr>
        <w:ind w:left="580" w:right="140"/>
        <w:spacing w:after="0" w:line="237" w:lineRule="auto"/>
        <w:tabs>
          <w:tab w:leader="none" w:pos="84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14. No Special Employment Rights; No Right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40"/>
        <w:spacing w:after="0" w:line="242" w:lineRule="auto"/>
        <w:tabs>
          <w:tab w:leader="none" w:pos="8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Award.</w:t>
      </w:r>
    </w:p>
    <w:p>
      <w:pPr>
        <w:spacing w:after="0" w:line="154" w:lineRule="exact"/>
        <w:rPr>
          <w:rFonts w:ascii="Arial" w:cs="Arial" w:eastAsia="Arial" w:hAnsi="Arial"/>
          <w:sz w:val="18"/>
          <w:szCs w:val="18"/>
          <w:color w:val="auto"/>
        </w:rPr>
      </w:pPr>
    </w:p>
    <w:p>
      <w:pPr>
        <w:ind w:left="580" w:right="240"/>
        <w:spacing w:after="0" w:line="242" w:lineRule="auto"/>
        <w:tabs>
          <w:tab w:leader="none" w:pos="8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person shall have any claim or right to receive an Award hereunder. The Committee’s granting of an Award to a Participant at any time shall neither require the Committee to grant an Award to such Participant or any other Participant or other person at any time nor preclude the Committee from making subsequent grants to such Participant or any other Participant or other person.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15. Tax Provisions &amp;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9" w:lineRule="exact"/>
        <w:rPr>
          <w:sz w:val="20"/>
          <w:szCs w:val="20"/>
          <w:color w:val="auto"/>
        </w:rPr>
      </w:pPr>
    </w:p>
    <w:p>
      <w:pPr>
        <w:ind w:left="860" w:hanging="280"/>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Cash Remittance</w:t>
      </w:r>
    </w:p>
    <w:p>
      <w:pPr>
        <w:spacing w:after="0" w:line="187" w:lineRule="exact"/>
        <w:rPr>
          <w:sz w:val="20"/>
          <w:szCs w:val="20"/>
          <w:color w:val="auto"/>
        </w:rPr>
      </w:pPr>
    </w:p>
    <w:p>
      <w:pPr>
        <w:ind w:left="580"/>
        <w:spacing w:after="0" w:line="234" w:lineRule="auto"/>
        <w:rPr>
          <w:sz w:val="20"/>
          <w:szCs w:val="20"/>
          <w:color w:val="auto"/>
        </w:rPr>
      </w:pPr>
      <w:r>
        <w:rPr>
          <w:rFonts w:ascii="Arial" w:cs="Arial" w:eastAsia="Arial" w:hAnsi="Arial"/>
          <w:sz w:val="18"/>
          <w:szCs w:val="18"/>
          <w:color w:val="auto"/>
        </w:rPr>
        <w:t>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 or the effectiveness of the 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w:t>
      </w:r>
    </w:p>
    <w:p>
      <w:pPr>
        <w:spacing w:after="0" w:line="97" w:lineRule="exact"/>
        <w:rPr>
          <w:sz w:val="20"/>
          <w:szCs w:val="20"/>
          <w:color w:val="auto"/>
        </w:rPr>
      </w:pPr>
    </w:p>
    <w:p>
      <w:pPr>
        <w:ind w:left="580"/>
        <w:spacing w:after="0"/>
        <w:tabs>
          <w:tab w:leader="none" w:pos="1160" w:val="left"/>
          <w:tab w:leader="none" w:pos="3980" w:val="left"/>
        </w:tabs>
        <w:rPr>
          <w:sz w:val="20"/>
          <w:szCs w:val="20"/>
          <w:color w:val="auto"/>
        </w:rPr>
      </w:pPr>
      <w:r>
        <w:rPr>
          <w:rFonts w:ascii="Arial" w:cs="Arial" w:eastAsia="Arial" w:hAnsi="Arial"/>
          <w:sz w:val="18"/>
          <w:szCs w:val="18"/>
          <w:b w:val="1"/>
          <w:bCs w:val="1"/>
          <w:color w:val="666666"/>
        </w:rPr>
        <w:t>A-16</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41" w:lineRule="exact"/>
        <w:rPr>
          <w:sz w:val="20"/>
          <w:szCs w:val="20"/>
          <w:color w:val="auto"/>
        </w:rPr>
      </w:pPr>
    </w:p>
    <w:p>
      <w:pPr>
        <w:ind w:left="860" w:hanging="280"/>
        <w:spacing w:after="0"/>
        <w:tabs>
          <w:tab w:leader="none" w:pos="8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Stock Remittance</w:t>
      </w:r>
    </w:p>
    <w:p>
      <w:pPr>
        <w:spacing w:after="0" w:line="187" w:lineRule="exact"/>
        <w:rPr>
          <w:sz w:val="20"/>
          <w:szCs w:val="20"/>
          <w:color w:val="auto"/>
        </w:rPr>
      </w:pPr>
    </w:p>
    <w:p>
      <w:pPr>
        <w:ind w:left="580" w:right="40"/>
        <w:spacing w:after="0" w:line="234" w:lineRule="auto"/>
        <w:rPr>
          <w:sz w:val="20"/>
          <w:szCs w:val="20"/>
          <w:color w:val="auto"/>
        </w:rPr>
      </w:pPr>
      <w:r>
        <w:rPr>
          <w:rFonts w:ascii="Arial" w:cs="Arial" w:eastAsia="Arial" w:hAnsi="Arial"/>
          <w:sz w:val="18"/>
          <w:szCs w:val="18"/>
          <w:color w:val="auto"/>
        </w:rPr>
        <w:t>At the election of the Participant, subject to the approval of the Committee, when shares of Common Stock are to be issued upon the exercise, grant, or vesting of an Award, the Participant may tender to Sabre Corporation a number of shares of Common Stock that have been owned by the Participant for at 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w:t>
      </w:r>
    </w:p>
    <w:p>
      <w:pPr>
        <w:spacing w:after="0" w:line="160" w:lineRule="exact"/>
        <w:rPr>
          <w:sz w:val="20"/>
          <w:szCs w:val="20"/>
          <w:color w:val="auto"/>
        </w:rPr>
      </w:pPr>
    </w:p>
    <w:p>
      <w:pPr>
        <w:ind w:left="840" w:hanging="260"/>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Stock Withholding</w:t>
      </w:r>
    </w:p>
    <w:p>
      <w:pPr>
        <w:spacing w:after="0" w:line="187" w:lineRule="exact"/>
        <w:rPr>
          <w:sz w:val="20"/>
          <w:szCs w:val="20"/>
          <w:color w:val="auto"/>
        </w:rPr>
      </w:pPr>
    </w:p>
    <w:p>
      <w:pPr>
        <w:ind w:left="580" w:right="60"/>
        <w:spacing w:after="0" w:line="235" w:lineRule="auto"/>
        <w:rPr>
          <w:sz w:val="20"/>
          <w:szCs w:val="20"/>
          <w:color w:val="auto"/>
        </w:rPr>
      </w:pPr>
      <w:r>
        <w:rPr>
          <w:rFonts w:ascii="Arial" w:cs="Arial" w:eastAsia="Arial" w:hAnsi="Arial"/>
          <w:sz w:val="18"/>
          <w:szCs w:val="18"/>
          <w:color w:val="auto"/>
        </w:rPr>
        <w:t>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w:t>
      </w:r>
    </w:p>
    <w:p>
      <w:pPr>
        <w:spacing w:after="0" w:line="161" w:lineRule="exact"/>
        <w:rPr>
          <w:sz w:val="20"/>
          <w:szCs w:val="20"/>
          <w:color w:val="auto"/>
        </w:rPr>
      </w:pPr>
    </w:p>
    <w:p>
      <w:pPr>
        <w:ind w:left="860" w:hanging="280"/>
        <w:spacing w:after="0"/>
        <w:tabs>
          <w:tab w:leader="none" w:pos="8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Consent to and Notification of Section 83(b) Election</w:t>
      </w:r>
    </w:p>
    <w:p>
      <w:pPr>
        <w:spacing w:after="0" w:line="187" w:lineRule="exact"/>
        <w:rPr>
          <w:sz w:val="20"/>
          <w:szCs w:val="20"/>
          <w:color w:val="auto"/>
        </w:rPr>
      </w:pPr>
    </w:p>
    <w:p>
      <w:pPr>
        <w:ind w:left="580"/>
        <w:spacing w:after="0" w:line="236" w:lineRule="auto"/>
        <w:rPr>
          <w:sz w:val="20"/>
          <w:szCs w:val="20"/>
          <w:color w:val="auto"/>
        </w:rPr>
      </w:pPr>
      <w:r>
        <w:rPr>
          <w:rFonts w:ascii="Arial" w:cs="Arial" w:eastAsia="Arial" w:hAnsi="Arial"/>
          <w:sz w:val="18"/>
          <w:szCs w:val="18"/>
          <w:color w:val="auto"/>
        </w:rPr>
        <w:t>No election under Section 83(b) of the Code (to include in gross income in the year of transfer the amounts specified in Section 83(b) of the Code) or under a similar provision of the laws of a jurisdiction outside the United States may be made unless 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w:t>
      </w:r>
    </w:p>
    <w:p>
      <w:pPr>
        <w:spacing w:after="0" w:line="160" w:lineRule="exact"/>
        <w:rPr>
          <w:sz w:val="20"/>
          <w:szCs w:val="20"/>
          <w:color w:val="auto"/>
        </w:rPr>
      </w:pPr>
    </w:p>
    <w:p>
      <w:pPr>
        <w:ind w:left="860" w:hanging="280"/>
        <w:spacing w:after="0"/>
        <w:tabs>
          <w:tab w:leader="none" w:pos="8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Notification Upon Disqualifying Disposition Under Section 421(b)</w:t>
      </w:r>
    </w:p>
    <w:p>
      <w:pPr>
        <w:spacing w:after="0" w:line="187" w:lineRule="exact"/>
        <w:rPr>
          <w:sz w:val="20"/>
          <w:szCs w:val="20"/>
          <w:color w:val="auto"/>
        </w:rPr>
      </w:pPr>
    </w:p>
    <w:p>
      <w:pPr>
        <w:ind w:left="580" w:right="220"/>
        <w:spacing w:after="0" w:line="248" w:lineRule="auto"/>
        <w:rPr>
          <w:sz w:val="20"/>
          <w:szCs w:val="20"/>
          <w:color w:val="auto"/>
        </w:rPr>
      </w:pPr>
      <w:r>
        <w:rPr>
          <w:rFonts w:ascii="Arial" w:cs="Arial" w:eastAsia="Arial" w:hAnsi="Arial"/>
          <w:sz w:val="18"/>
          <w:szCs w:val="18"/>
          <w:color w:val="auto"/>
        </w:rPr>
        <w:t>If any Participant shall make any disposition of shares of Common Stock delivered pursuant to the exercise of an Incentive Stock Option under the circumstances described in Section 421(b) of the Code (i.e., a disqualifying disposition), such Participant shall notify the Company of such disposition within ten days thereof.</w:t>
      </w:r>
    </w:p>
    <w:p>
      <w:pPr>
        <w:spacing w:after="0" w:line="247"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16. Amendment or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40"/>
        <w:spacing w:after="0" w:line="267" w:lineRule="auto"/>
        <w:tabs>
          <w:tab w:leader="none" w:pos="8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Board may at any time suspend or discontinue the Plan or revise or amend it in any respect whatsoever; provided, however, that to the extent that any applicable law, regulation, or rule of a stock</w:t>
      </w:r>
    </w:p>
    <w:p>
      <w:pPr>
        <w:spacing w:after="0" w:line="72" w:lineRule="exact"/>
        <w:rPr>
          <w:sz w:val="20"/>
          <w:szCs w:val="20"/>
          <w:color w:val="auto"/>
        </w:rPr>
      </w:pPr>
    </w:p>
    <w:p>
      <w:pPr>
        <w:jc w:val="right"/>
        <w:spacing w:after="0"/>
        <w:tabs>
          <w:tab w:leader="none" w:pos="2760" w:val="left"/>
          <w:tab w:leader="none" w:pos="720" w:val="left"/>
          <w:tab w:leader="none" w:pos="36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-107315</wp:posOffset>
            </wp:positionV>
            <wp:extent cx="415925" cy="1022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right="160"/>
        <w:spacing w:after="0" w:line="239" w:lineRule="auto"/>
        <w:rPr>
          <w:sz w:val="20"/>
          <w:szCs w:val="20"/>
          <w:color w:val="auto"/>
        </w:rPr>
      </w:pPr>
      <w:r>
        <w:rPr>
          <w:rFonts w:ascii="Arial" w:cs="Arial" w:eastAsia="Arial" w:hAnsi="Arial"/>
          <w:sz w:val="18"/>
          <w:szCs w:val="18"/>
          <w:color w:val="auto"/>
        </w:rPr>
        <w:t>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16 shall be given effect to the extent that such provision would cause any tax to become due under Section 409A of the Code.</w:t>
      </w:r>
    </w:p>
    <w:p>
      <w:pPr>
        <w:spacing w:after="0" w:line="156" w:lineRule="exact"/>
        <w:rPr>
          <w:sz w:val="20"/>
          <w:szCs w:val="20"/>
          <w:color w:val="auto"/>
        </w:rPr>
      </w:pPr>
    </w:p>
    <w:p>
      <w:pPr>
        <w:ind w:left="580" w:right="640"/>
        <w:spacing w:after="0" w:line="267" w:lineRule="auto"/>
        <w:tabs>
          <w:tab w:leader="none" w:pos="8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expressly provided in the Plan, no action hereunder may, without the consent of a Participant, materially adversely affect the Participant’s rights under any previously granted and outstanding Award.</w:t>
      </w:r>
    </w:p>
    <w:p>
      <w:pPr>
        <w:spacing w:after="0" w:line="132" w:lineRule="exact"/>
        <w:rPr>
          <w:rFonts w:ascii="Arial" w:cs="Arial" w:eastAsia="Arial" w:hAnsi="Arial"/>
          <w:sz w:val="18"/>
          <w:szCs w:val="18"/>
          <w:color w:val="auto"/>
        </w:rPr>
      </w:pPr>
    </w:p>
    <w:p>
      <w:pPr>
        <w:ind w:left="840" w:hanging="260"/>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Nothing in the Plan shall limit the right of the Company to pay compensation of any kind outside the terms of the Plan.</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17. No Obligation to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grant to a Participant of an Award shall impose no obligation upon such Participant to exercise such Award.</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18.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20"/>
        <w:spacing w:after="0" w:line="234" w:lineRule="auto"/>
        <w:tabs>
          <w:tab w:leader="none" w:pos="85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 have been furnished with</w:t>
      </w:r>
    </w:p>
    <w:p>
      <w:pPr>
        <w:spacing w:after="0" w:line="1" w:lineRule="exact"/>
        <w:rPr>
          <w:rFonts w:ascii="Arial" w:cs="Arial" w:eastAsia="Arial" w:hAnsi="Arial"/>
          <w:sz w:val="18"/>
          <w:szCs w:val="18"/>
          <w:color w:val="auto"/>
        </w:rPr>
      </w:pPr>
    </w:p>
    <w:p>
      <w:pPr>
        <w:ind w:left="580"/>
        <w:spacing w:after="0" w:line="236" w:lineRule="auto"/>
        <w:tabs>
          <w:tab w:leader="none" w:pos="8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w:t>
      </w:r>
    </w:p>
    <w:p>
      <w:pPr>
        <w:spacing w:after="0" w:line="156" w:lineRule="exact"/>
        <w:rPr>
          <w:rFonts w:ascii="Arial" w:cs="Arial" w:eastAsia="Arial" w:hAnsi="Arial"/>
          <w:sz w:val="18"/>
          <w:szCs w:val="18"/>
          <w:color w:val="auto"/>
        </w:rPr>
      </w:pPr>
    </w:p>
    <w:p>
      <w:pPr>
        <w:ind w:left="580"/>
        <w:spacing w:after="0" w:line="232" w:lineRule="auto"/>
        <w:tabs>
          <w:tab w:leader="none" w:pos="8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w:t>
      </w:r>
    </w:p>
    <w:p>
      <w:pPr>
        <w:spacing w:after="0" w:line="105" w:lineRule="exact"/>
        <w:rPr>
          <w:sz w:val="20"/>
          <w:szCs w:val="20"/>
          <w:color w:val="auto"/>
        </w:rPr>
      </w:pPr>
    </w:p>
    <w:p>
      <w:pPr>
        <w:ind w:left="580"/>
        <w:spacing w:after="0"/>
        <w:tabs>
          <w:tab w:leader="none" w:pos="1160" w:val="left"/>
          <w:tab w:leader="none" w:pos="3980" w:val="left"/>
        </w:tabs>
        <w:rPr>
          <w:sz w:val="20"/>
          <w:szCs w:val="20"/>
          <w:color w:val="auto"/>
        </w:rPr>
      </w:pPr>
      <w:r>
        <w:rPr>
          <w:rFonts w:ascii="Arial" w:cs="Arial" w:eastAsia="Arial" w:hAnsi="Arial"/>
          <w:sz w:val="18"/>
          <w:szCs w:val="18"/>
          <w:b w:val="1"/>
          <w:bCs w:val="1"/>
          <w:color w:val="666666"/>
        </w:rPr>
        <w:t>A-18</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40"/>
          </w:cols>
          <w:pgMar w:left="320" w:top="453" w:right="9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19. Retirement and Welfare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00"/>
        <w:spacing w:after="0" w:line="239" w:lineRule="auto"/>
        <w:rPr>
          <w:sz w:val="20"/>
          <w:szCs w:val="20"/>
          <w:color w:val="auto"/>
        </w:rPr>
      </w:pPr>
      <w:r>
        <w:rPr>
          <w:rFonts w:ascii="Arial" w:cs="Arial" w:eastAsia="Arial" w:hAnsi="Arial"/>
          <w:sz w:val="18"/>
          <w:szCs w:val="18"/>
          <w:color w:val="auto"/>
        </w:rPr>
        <w:t>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such other plan expressly provides that such compensation shall be taken into account in computing a Participant’s benefit or except as the Committee may otherwise determine in its discretion.</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20. Certain Limitations on Awards to Ensure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20"/>
        <w:spacing w:after="0" w:line="234" w:lineRule="auto"/>
        <w:tabs>
          <w:tab w:leader="none" w:pos="8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 For purposes of Section 409A of the Code, each installment payment provided under the Plan shall be treated as a separate payment.</w:t>
      </w:r>
    </w:p>
    <w:p>
      <w:pPr>
        <w:spacing w:after="0" w:line="157" w:lineRule="exact"/>
        <w:rPr>
          <w:rFonts w:ascii="Arial" w:cs="Arial" w:eastAsia="Arial" w:hAnsi="Arial"/>
          <w:sz w:val="18"/>
          <w:szCs w:val="18"/>
          <w:color w:val="auto"/>
        </w:rPr>
      </w:pPr>
    </w:p>
    <w:p>
      <w:pPr>
        <w:ind w:left="580"/>
        <w:spacing w:after="0" w:line="239" w:lineRule="auto"/>
        <w:tabs>
          <w:tab w:leader="none" w:pos="8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anything herein or in any Award Agreement to the contrary, in the event that a Participant is a “specified employee” (within the meaning of Section 409A(2)(B) of the Code) as of the date of such Participant’s termination of Employment, any Awards subject to Section 409A of the Code payable to such Participant as a result of his or her termination of Employment, shall be paid on the first business day of the first calendar month that begins after the six-month anniversary of the date of the Participant’s termination of Employment, or, if earlier, the date of the Participant’s death.</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21. Participants Based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Notwithstanding any provision of the Plan to the contrary, in order to comply with the laws in other countries in which the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Company operates or has employees, the Committee, in its sole discretion, shall have the power and authority to:</w:t>
      </w:r>
    </w:p>
    <w:p>
      <w:pPr>
        <w:spacing w:after="0" w:line="171" w:lineRule="exact"/>
        <w:rPr>
          <w:sz w:val="20"/>
          <w:szCs w:val="20"/>
          <w:color w:val="auto"/>
        </w:rPr>
      </w:pPr>
    </w:p>
    <w:p>
      <w:pPr>
        <w:ind w:left="860" w:hanging="280"/>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the Plan;</w:t>
      </w:r>
    </w:p>
    <w:p>
      <w:pPr>
        <w:spacing w:after="0" w:line="188" w:lineRule="exact"/>
        <w:rPr>
          <w:rFonts w:ascii="Arial" w:cs="Arial" w:eastAsia="Arial" w:hAnsi="Arial"/>
          <w:sz w:val="18"/>
          <w:szCs w:val="18"/>
          <w:color w:val="auto"/>
        </w:rPr>
      </w:pPr>
    </w:p>
    <w:p>
      <w:pPr>
        <w:ind w:left="860" w:hanging="280"/>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which employees outside the United States are eligible to participate in the Plan;</w:t>
      </w:r>
    </w:p>
    <w:p>
      <w:pPr>
        <w:spacing w:after="0" w:line="188" w:lineRule="exact"/>
        <w:rPr>
          <w:rFonts w:ascii="Arial" w:cs="Arial" w:eastAsia="Arial" w:hAnsi="Arial"/>
          <w:sz w:val="18"/>
          <w:szCs w:val="18"/>
          <w:color w:val="auto"/>
        </w:rPr>
      </w:pPr>
    </w:p>
    <w:p>
      <w:pPr>
        <w:ind w:left="580" w:right="200"/>
        <w:spacing w:after="0" w:line="267" w:lineRule="auto"/>
        <w:tabs>
          <w:tab w:leader="none" w:pos="8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outside the United States to comply with applicable foreign laws;</w:t>
      </w:r>
    </w:p>
    <w:p>
      <w:pPr>
        <w:spacing w:after="0" w:line="132" w:lineRule="exact"/>
        <w:rPr>
          <w:rFonts w:ascii="Arial" w:cs="Arial" w:eastAsia="Arial" w:hAnsi="Arial"/>
          <w:sz w:val="18"/>
          <w:szCs w:val="18"/>
          <w:color w:val="auto"/>
        </w:rPr>
      </w:pPr>
    </w:p>
    <w:p>
      <w:pPr>
        <w:jc w:val="both"/>
        <w:ind w:left="580" w:right="160"/>
        <w:spacing w:after="0" w:line="248" w:lineRule="auto"/>
        <w:tabs>
          <w:tab w:leader="none" w:pos="8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21 by the Committee shall be attached to the Plan document as appendices; and</w:t>
      </w:r>
    </w:p>
    <w:p>
      <w:pPr>
        <w:spacing w:after="0" w:line="88" w:lineRule="exact"/>
        <w:rPr>
          <w:sz w:val="20"/>
          <w:szCs w:val="20"/>
          <w:color w:val="auto"/>
        </w:rPr>
      </w:pPr>
    </w:p>
    <w:p>
      <w:pPr>
        <w:ind w:left="6040"/>
        <w:spacing w:after="0"/>
        <w:tabs>
          <w:tab w:leader="none" w:pos="7800" w:val="left"/>
          <w:tab w:leader="none" w:pos="9840" w:val="left"/>
          <w:tab w:leader="none" w:pos="102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-107315</wp:posOffset>
            </wp:positionV>
            <wp:extent cx="415925" cy="1022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40"/>
          </w:cols>
          <w:pgMar w:left="320" w:top="453" w:right="9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A</w:t>
      </w:r>
    </w:p>
    <w:p>
      <w:pPr>
        <w:spacing w:after="0" w:line="239" w:lineRule="exact"/>
        <w:rPr>
          <w:sz w:val="20"/>
          <w:szCs w:val="20"/>
          <w:color w:val="auto"/>
        </w:rPr>
      </w:pPr>
    </w:p>
    <w:p>
      <w:pPr>
        <w:ind w:left="580" w:right="820"/>
        <w:spacing w:after="0" w:line="267" w:lineRule="auto"/>
        <w:tabs>
          <w:tab w:leader="none" w:pos="8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33" w:lineRule="exact"/>
        <w:rPr>
          <w:sz w:val="20"/>
          <w:szCs w:val="20"/>
          <w:color w:val="auto"/>
        </w:rPr>
      </w:pPr>
    </w:p>
    <w:p>
      <w:pPr>
        <w:ind w:left="580" w:right="180"/>
        <w:spacing w:after="0" w:line="267"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22.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620"/>
        <w:spacing w:after="0" w:line="267" w:lineRule="auto"/>
        <w:rPr>
          <w:sz w:val="20"/>
          <w:szCs w:val="20"/>
          <w:color w:val="auto"/>
        </w:rPr>
      </w:pPr>
      <w:r>
        <w:rPr>
          <w:rFonts w:ascii="Arial" w:cs="Arial" w:eastAsia="Arial" w:hAnsi="Arial"/>
          <w:sz w:val="18"/>
          <w:szCs w:val="18"/>
          <w:color w:val="auto"/>
        </w:rPr>
        <w:t>The certificates or book entry for shares of Common Stock may include any legend or coding, as applicable, which the Committee deems appropriate to reflect any restrictions on transfer of such shares.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23. Severability; 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40"/>
        <w:spacing w:after="0" w:line="234" w:lineRule="auto"/>
        <w:rPr>
          <w:sz w:val="20"/>
          <w:szCs w:val="20"/>
          <w:color w:val="auto"/>
        </w:rPr>
      </w:pPr>
      <w:r>
        <w:rPr>
          <w:rFonts w:ascii="Arial" w:cs="Arial" w:eastAsia="Arial" w:hAnsi="Arial"/>
          <w:sz w:val="18"/>
          <w:szCs w:val="18"/>
          <w:color w:val="auto"/>
        </w:rPr>
        <w:t>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24. Descriptive 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66040</wp:posOffset>
            </wp:positionV>
            <wp:extent cx="640588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74" w:lineRule="exact"/>
        <w:rPr>
          <w:sz w:val="20"/>
          <w:szCs w:val="20"/>
          <w:color w:val="auto"/>
        </w:rPr>
      </w:pPr>
    </w:p>
    <w:p>
      <w:pPr>
        <w:ind w:left="580"/>
        <w:spacing w:after="0" w:line="267" w:lineRule="auto"/>
        <w:rPr>
          <w:sz w:val="20"/>
          <w:szCs w:val="20"/>
          <w:color w:val="auto"/>
        </w:rPr>
      </w:pPr>
      <w:r>
        <w:rPr>
          <w:rFonts w:ascii="Arial" w:cs="Arial" w:eastAsia="Arial" w:hAnsi="Arial"/>
          <w:sz w:val="18"/>
          <w:szCs w:val="18"/>
          <w:color w:val="auto"/>
        </w:rPr>
        <w:t>The headings in the Plan are for convenience of reference only and shall not limit or otherwise affect the meaning of the terms contained herein.</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25.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right="120"/>
        <w:spacing w:after="0" w:line="267" w:lineRule="auto"/>
        <w:rPr>
          <w:sz w:val="20"/>
          <w:szCs w:val="20"/>
          <w:color w:val="auto"/>
        </w:rPr>
      </w:pPr>
      <w:r>
        <w:rPr>
          <w:rFonts w:ascii="Arial" w:cs="Arial" w:eastAsia="Arial" w:hAnsi="Arial"/>
          <w:sz w:val="18"/>
          <w:szCs w:val="18"/>
          <w:color w:val="auto"/>
        </w:rPr>
        <w:t>The Plan and the rights of all persons under the Plan shall be construed and administered in accordance with the laws of the State of Delaware without regard to its conflict of law principles.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26.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Notwithstanding anything herein to the contrary, the Company will be entitled, to the extent permitted or required by applicable law, Company policy including without limitation the Executive Compensation Recovery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Awards pursuant to the Plan and any Award Agreement, agrees to comply with any Company request or demand for such recoupment.</w:t>
      </w:r>
    </w:p>
    <w:p>
      <w:pPr>
        <w:spacing w:after="0" w:line="97" w:lineRule="exact"/>
        <w:rPr>
          <w:sz w:val="20"/>
          <w:szCs w:val="20"/>
          <w:color w:val="auto"/>
        </w:rPr>
      </w:pPr>
    </w:p>
    <w:p>
      <w:pPr>
        <w:ind w:left="580"/>
        <w:spacing w:after="0"/>
        <w:tabs>
          <w:tab w:leader="none" w:pos="1160" w:val="left"/>
          <w:tab w:leader="none" w:pos="3980" w:val="left"/>
        </w:tabs>
        <w:rPr>
          <w:sz w:val="20"/>
          <w:szCs w:val="20"/>
          <w:color w:val="auto"/>
        </w:rPr>
      </w:pPr>
      <w:r>
        <w:rPr>
          <w:rFonts w:ascii="Arial" w:cs="Arial" w:eastAsia="Arial" w:hAnsi="Arial"/>
          <w:sz w:val="18"/>
          <w:szCs w:val="18"/>
          <w:b w:val="1"/>
          <w:bCs w:val="1"/>
          <w:color w:val="666666"/>
        </w:rPr>
        <w:t>A-20</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A</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27. Effective Date and Term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74295</wp:posOffset>
            </wp:positionV>
            <wp:extent cx="640588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405880" cy="7620"/>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Plan was initially adopted and shall be effective as of the Effective Date. The Plan shall terminate automatically on the ten</w:t>
      </w:r>
    </w:p>
    <w:p>
      <w:pPr>
        <w:spacing w:after="0" w:line="9" w:lineRule="exact"/>
        <w:rPr>
          <w:sz w:val="20"/>
          <w:szCs w:val="20"/>
          <w:color w:val="auto"/>
        </w:rPr>
      </w:pPr>
    </w:p>
    <w:p>
      <w:pPr>
        <w:ind w:left="580" w:right="560"/>
        <w:spacing w:after="0" w:line="246" w:lineRule="auto"/>
        <w:tabs>
          <w:tab w:leader="none" w:pos="9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year anniversary of the Effective Date and may be terminated on any earlier date as provided in Section 16, but all Awards made on or prior to such date will continue in effect thereafter subject to the terms thereof and of the Plan.</w:t>
      </w:r>
    </w:p>
    <w:p>
      <w:pPr>
        <w:spacing w:after="0" w:line="200" w:lineRule="exact"/>
        <w:rPr>
          <w:sz w:val="20"/>
          <w:szCs w:val="20"/>
          <w:color w:val="auto"/>
        </w:rPr>
      </w:pPr>
    </w:p>
    <w:p>
      <w:pPr>
        <w:spacing w:after="0" w:line="224" w:lineRule="exact"/>
        <w:rPr>
          <w:sz w:val="20"/>
          <w:szCs w:val="20"/>
          <w:color w:val="auto"/>
        </w:rPr>
      </w:pPr>
    </w:p>
    <w:p>
      <w:pPr>
        <w:ind w:left="6040"/>
        <w:spacing w:after="0"/>
        <w:tabs>
          <w:tab w:leader="none" w:pos="7800" w:val="left"/>
          <w:tab w:leader="none" w:pos="9840" w:val="left"/>
          <w:tab w:leader="none" w:pos="102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-107315</wp:posOffset>
            </wp:positionV>
            <wp:extent cx="415925" cy="1022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B</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APPENDIX B</w:t>
      </w:r>
    </w:p>
    <w:p>
      <w:pPr>
        <w:spacing w:after="0" w:line="200" w:lineRule="exact"/>
        <w:rPr>
          <w:sz w:val="20"/>
          <w:szCs w:val="20"/>
          <w:color w:val="auto"/>
        </w:rPr>
      </w:pPr>
    </w:p>
    <w:p>
      <w:pPr>
        <w:spacing w:after="0" w:line="202"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RECONCILIATIONS OF</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36"/>
          <w:szCs w:val="36"/>
          <w:b w:val="1"/>
          <w:bCs w:val="1"/>
          <w:color w:val="CF0A2C"/>
        </w:rPr>
        <w:t>NON-GAAP AND GAAP FINANCIAL MEASURES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Non-GAAP Financial Measures</w:t>
      </w:r>
    </w:p>
    <w:p>
      <w:pPr>
        <w:spacing w:after="0" w:line="108" w:lineRule="exact"/>
        <w:rPr>
          <w:sz w:val="20"/>
          <w:szCs w:val="20"/>
          <w:color w:val="auto"/>
        </w:rPr>
      </w:pPr>
    </w:p>
    <w:p>
      <w:pPr>
        <w:ind w:left="580" w:right="220"/>
        <w:spacing w:after="0" w:line="236" w:lineRule="auto"/>
        <w:rPr>
          <w:sz w:val="20"/>
          <w:szCs w:val="20"/>
          <w:color w:val="auto"/>
        </w:rPr>
      </w:pPr>
      <w:r>
        <w:rPr>
          <w:rFonts w:ascii="Arial" w:cs="Arial" w:eastAsia="Arial" w:hAnsi="Arial"/>
          <w:sz w:val="18"/>
          <w:szCs w:val="18"/>
          <w:color w:val="auto"/>
        </w:rPr>
        <w:t>We have included both financial measures compiled in accordance with GAAP and certain non-GAAP financial measures, including Adjusted Operating Income (Loss), Adjusted Net Loss from continuing operations (“Adjusted Net Loss”), Adjusted EBITDA, Adjusted EPS, Free Cash Flow and ratios based on these financial measures. As a result of our business realignment in the third quarter of 2020, we have separated our technology costs from cost of revenue and moved certain expenses previously classified as cost of revenue to selling, general and administrative to provide increased visibility to our technology costs for analytical and decision-making purposes and to align costs with the current leadership and operational organizational structure.</w:t>
      </w:r>
    </w:p>
    <w:p>
      <w:pPr>
        <w:spacing w:after="0" w:line="158" w:lineRule="exact"/>
        <w:rPr>
          <w:sz w:val="20"/>
          <w:szCs w:val="20"/>
          <w:color w:val="auto"/>
        </w:rPr>
      </w:pPr>
    </w:p>
    <w:p>
      <w:pPr>
        <w:ind w:left="580" w:right="140"/>
        <w:spacing w:after="0" w:line="248" w:lineRule="auto"/>
        <w:rPr>
          <w:sz w:val="20"/>
          <w:szCs w:val="20"/>
          <w:color w:val="auto"/>
        </w:rPr>
      </w:pPr>
      <w:r>
        <w:rPr>
          <w:rFonts w:ascii="Arial" w:cs="Arial" w:eastAsia="Arial" w:hAnsi="Arial"/>
          <w:sz w:val="18"/>
          <w:szCs w:val="18"/>
          <w:color w:val="auto"/>
        </w:rPr>
        <w:t>We define Adjusted Operating Income (Loss) as operating loss adjusted for equity method income (loss), impairment and related charges, acquisition-related amortization, restructuring and other costs, acquisition-related costs, litigation costs, net, and stock-based compensation.</w:t>
      </w:r>
    </w:p>
    <w:p>
      <w:pPr>
        <w:spacing w:after="0" w:line="150" w:lineRule="exact"/>
        <w:rPr>
          <w:sz w:val="20"/>
          <w:szCs w:val="20"/>
          <w:color w:val="auto"/>
        </w:rPr>
      </w:pPr>
    </w:p>
    <w:p>
      <w:pPr>
        <w:ind w:left="580"/>
        <w:spacing w:after="0" w:line="242" w:lineRule="auto"/>
        <w:rPr>
          <w:sz w:val="20"/>
          <w:szCs w:val="20"/>
          <w:color w:val="auto"/>
        </w:rPr>
      </w:pPr>
      <w:r>
        <w:rPr>
          <w:rFonts w:ascii="Arial" w:cs="Arial" w:eastAsia="Arial" w:hAnsi="Arial"/>
          <w:sz w:val="18"/>
          <w:szCs w:val="18"/>
          <w:color w:val="auto"/>
        </w:rPr>
        <w:t>We define Adjusted Net Loss as net loss attributable to common stockholders adjusted for loss (income) from discontinued operations, net of tax, net income attributable to noncontrolling interests, preferred stock dividends, impairment and related charges, acquisition-related amortization, restructuring and other costs, loss on extinguishment of debt, other, net, acquisition-related costs, litigation costs, net, stock-based compensation, and the tax impact of adjustments.</w:t>
      </w:r>
    </w:p>
    <w:p>
      <w:pPr>
        <w:spacing w:after="0" w:line="154" w:lineRule="exact"/>
        <w:rPr>
          <w:sz w:val="20"/>
          <w:szCs w:val="20"/>
          <w:color w:val="auto"/>
        </w:rPr>
      </w:pPr>
    </w:p>
    <w:p>
      <w:pPr>
        <w:ind w:left="580"/>
        <w:spacing w:after="0" w:line="237" w:lineRule="auto"/>
        <w:rPr>
          <w:sz w:val="20"/>
          <w:szCs w:val="20"/>
          <w:color w:val="auto"/>
        </w:rPr>
      </w:pPr>
      <w:r>
        <w:rPr>
          <w:rFonts w:ascii="Arial" w:cs="Arial" w:eastAsia="Arial" w:hAnsi="Arial"/>
          <w:sz w:val="18"/>
          <w:szCs w:val="18"/>
          <w:color w:val="auto"/>
        </w:rPr>
        <w:t>We define Adjusted EBITDA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We have revised our calculation of Adjusted EBITDA to no longer exclude the amortization of upfront incentive consideration in all periods presented.</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define Adjusted EPS as Adjusted Net Loss divided by adjusted diluted weighted-average common shares outstanding.</w:t>
      </w:r>
    </w:p>
    <w:p>
      <w:pPr>
        <w:spacing w:after="0" w:line="189" w:lineRule="exact"/>
        <w:rPr>
          <w:sz w:val="20"/>
          <w:szCs w:val="20"/>
          <w:color w:val="auto"/>
        </w:rPr>
      </w:pPr>
    </w:p>
    <w:p>
      <w:pPr>
        <w:ind w:left="580" w:right="480"/>
        <w:spacing w:after="0" w:line="267" w:lineRule="auto"/>
        <w:rPr>
          <w:sz w:val="20"/>
          <w:szCs w:val="20"/>
          <w:color w:val="auto"/>
        </w:rPr>
      </w:pPr>
      <w:r>
        <w:rPr>
          <w:rFonts w:ascii="Arial" w:cs="Arial" w:eastAsia="Arial" w:hAnsi="Arial"/>
          <w:sz w:val="18"/>
          <w:szCs w:val="18"/>
          <w:color w:val="auto"/>
        </w:rPr>
        <w:t>We define Free Cash Flow as cash provided by (used in) operating activities less cash used in additions to property and equipment.</w:t>
      </w:r>
    </w:p>
    <w:p>
      <w:pPr>
        <w:spacing w:after="0" w:line="133" w:lineRule="exact"/>
        <w:rPr>
          <w:sz w:val="20"/>
          <w:szCs w:val="20"/>
          <w:color w:val="auto"/>
        </w:rPr>
      </w:pPr>
    </w:p>
    <w:p>
      <w:pPr>
        <w:ind w:left="580" w:right="800"/>
        <w:spacing w:after="0" w:line="267" w:lineRule="auto"/>
        <w:rPr>
          <w:sz w:val="20"/>
          <w:szCs w:val="20"/>
          <w:color w:val="auto"/>
        </w:rPr>
      </w:pPr>
      <w:r>
        <w:rPr>
          <w:rFonts w:ascii="Arial" w:cs="Arial" w:eastAsia="Arial" w:hAnsi="Arial"/>
          <w:sz w:val="18"/>
          <w:szCs w:val="18"/>
          <w:color w:val="auto"/>
        </w:rPr>
        <w:t>We define Adjusted Net Loss from continuing operations per share as Adjusted Net Loss divided by adjusted diluted weighted-average common shares outstanding.</w:t>
      </w:r>
    </w:p>
    <w:p>
      <w:pPr>
        <w:spacing w:after="0" w:line="133" w:lineRule="exact"/>
        <w:rPr>
          <w:sz w:val="20"/>
          <w:szCs w:val="20"/>
          <w:color w:val="auto"/>
        </w:rPr>
      </w:pPr>
    </w:p>
    <w:p>
      <w:pPr>
        <w:ind w:left="580" w:right="40"/>
        <w:spacing w:after="0" w:line="267" w:lineRule="auto"/>
        <w:rPr>
          <w:sz w:val="20"/>
          <w:szCs w:val="20"/>
          <w:color w:val="auto"/>
        </w:rPr>
      </w:pPr>
      <w:r>
        <w:rPr>
          <w:rFonts w:ascii="Arial" w:cs="Arial" w:eastAsia="Arial" w:hAnsi="Arial"/>
          <w:sz w:val="18"/>
          <w:szCs w:val="18"/>
          <w:color w:val="auto"/>
        </w:rPr>
        <w:t>These non-GAAP financial measures are key metrics used by management and our board of directors to monitor our ongoing core operations because historical results have been significantly impacted by events</w:t>
      </w:r>
    </w:p>
    <w:p>
      <w:pPr>
        <w:spacing w:after="0" w:line="72" w:lineRule="exact"/>
        <w:rPr>
          <w:sz w:val="20"/>
          <w:szCs w:val="20"/>
          <w:color w:val="auto"/>
        </w:rPr>
      </w:pPr>
    </w:p>
    <w:p>
      <w:pPr>
        <w:ind w:left="6140"/>
        <w:spacing w:after="0"/>
        <w:tabs>
          <w:tab w:leader="none" w:pos="7900" w:val="left"/>
          <w:tab w:leader="none" w:pos="9940" w:val="left"/>
          <w:tab w:leader="none" w:pos="1030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B</w:t>
      </w:r>
    </w:p>
    <w:p>
      <w:pPr>
        <w:spacing w:after="0" w:line="239" w:lineRule="exact"/>
        <w:rPr>
          <w:sz w:val="20"/>
          <w:szCs w:val="20"/>
          <w:color w:val="auto"/>
        </w:rPr>
      </w:pPr>
    </w:p>
    <w:p>
      <w:pPr>
        <w:ind w:left="580"/>
        <w:spacing w:after="0" w:line="235" w:lineRule="auto"/>
        <w:rPr>
          <w:sz w:val="20"/>
          <w:szCs w:val="20"/>
          <w:color w:val="auto"/>
        </w:rPr>
      </w:pPr>
      <w:r>
        <w:rPr>
          <w:rFonts w:ascii="Arial" w:cs="Arial" w:eastAsia="Arial" w:hAnsi="Arial"/>
          <w:sz w:val="18"/>
          <w:szCs w:val="18"/>
          <w:color w:val="auto"/>
        </w:rPr>
        <w:t>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fund our investments in technology transformation, and meet working capital requirements. We also believe that Adjusted Operating (Loss) Income, Adjusted Net (Loss) Income, Adjusted EBITDA, Adjusted EBITDA Margin and Adjusted EPS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59" w:lineRule="exact"/>
        <w:rPr>
          <w:sz w:val="20"/>
          <w:szCs w:val="20"/>
          <w:color w:val="auto"/>
        </w:rPr>
      </w:pPr>
    </w:p>
    <w:p>
      <w:pPr>
        <w:ind w:left="580" w:right="140"/>
        <w:spacing w:after="0" w:line="235" w:lineRule="auto"/>
        <w:rPr>
          <w:sz w:val="20"/>
          <w:szCs w:val="20"/>
          <w:color w:val="auto"/>
        </w:rPr>
      </w:pPr>
      <w:r>
        <w:rPr>
          <w:rFonts w:ascii="Arial" w:cs="Arial" w:eastAsia="Arial" w:hAnsi="Arial"/>
          <w:sz w:val="18"/>
          <w:szCs w:val="18"/>
          <w:color w:val="auto"/>
        </w:rPr>
        <w:t>Adjusted Operating Income (Loss), Adjusted Net Loss, Adjusted EBITDA, Adjusted EBITDA Margin, Adjusted EPS,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72" w:lineRule="exact"/>
        <w:rPr>
          <w:sz w:val="20"/>
          <w:szCs w:val="20"/>
          <w:color w:val="auto"/>
        </w:rPr>
      </w:pPr>
    </w:p>
    <w:p>
      <w:pPr>
        <w:ind w:left="1080" w:right="200" w:hanging="401"/>
        <w:spacing w:after="0" w:line="186" w:lineRule="auto"/>
        <w:tabs>
          <w:tab w:leader="none" w:pos="1080" w:val="left"/>
        </w:tabs>
        <w:numPr>
          <w:ilvl w:val="0"/>
          <w:numId w:val="139"/>
        </w:numPr>
        <w:rPr>
          <w:rFonts w:ascii="Arial" w:cs="Arial" w:eastAsia="Arial" w:hAnsi="Arial"/>
          <w:sz w:val="34"/>
          <w:szCs w:val="34"/>
          <w:color w:val="auto"/>
          <w:vertAlign w:val="subscript"/>
        </w:rPr>
      </w:pPr>
      <w:r>
        <w:rPr>
          <w:rFonts w:ascii="Arial" w:cs="Arial" w:eastAsia="Arial" w:hAnsi="Arial"/>
          <w:sz w:val="15"/>
          <w:szCs w:val="15"/>
          <w:color w:val="auto"/>
        </w:rPr>
        <w:t>these non-GAAP financial measures exclude certain recurring, non-cash charges such as stock-based compensation expense and amortization of acquired intangible assets;</w:t>
      </w:r>
    </w:p>
    <w:p>
      <w:pPr>
        <w:spacing w:after="0" w:line="70" w:lineRule="exact"/>
        <w:rPr>
          <w:rFonts w:ascii="Arial" w:cs="Arial" w:eastAsia="Arial" w:hAnsi="Arial"/>
          <w:sz w:val="34"/>
          <w:szCs w:val="34"/>
          <w:color w:val="auto"/>
          <w:vertAlign w:val="subscript"/>
        </w:rPr>
      </w:pPr>
    </w:p>
    <w:p>
      <w:pPr>
        <w:ind w:left="1080" w:hanging="401"/>
        <w:spacing w:after="0" w:line="186" w:lineRule="auto"/>
        <w:tabs>
          <w:tab w:leader="none" w:pos="1080" w:val="left"/>
        </w:tabs>
        <w:numPr>
          <w:ilvl w:val="0"/>
          <w:numId w:val="139"/>
        </w:numPr>
        <w:rPr>
          <w:rFonts w:ascii="Arial" w:cs="Arial" w:eastAsia="Arial" w:hAnsi="Arial"/>
          <w:sz w:val="34"/>
          <w:szCs w:val="34"/>
          <w:color w:val="auto"/>
          <w:vertAlign w:val="subscript"/>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requirements for such replacements;</w:t>
      </w:r>
    </w:p>
    <w:p>
      <w:pPr>
        <w:spacing w:after="0" w:line="70" w:lineRule="exact"/>
        <w:rPr>
          <w:rFonts w:ascii="Arial" w:cs="Arial" w:eastAsia="Arial" w:hAnsi="Arial"/>
          <w:sz w:val="34"/>
          <w:szCs w:val="34"/>
          <w:color w:val="auto"/>
          <w:vertAlign w:val="subscript"/>
        </w:rPr>
      </w:pPr>
    </w:p>
    <w:p>
      <w:pPr>
        <w:ind w:left="1080" w:right="680" w:hanging="401"/>
        <w:spacing w:after="0" w:line="186" w:lineRule="auto"/>
        <w:tabs>
          <w:tab w:leader="none" w:pos="1080" w:val="left"/>
        </w:tabs>
        <w:numPr>
          <w:ilvl w:val="0"/>
          <w:numId w:val="139"/>
        </w:numPr>
        <w:rPr>
          <w:rFonts w:ascii="Arial" w:cs="Arial" w:eastAsia="Arial" w:hAnsi="Arial"/>
          <w:sz w:val="34"/>
          <w:szCs w:val="34"/>
          <w:color w:val="auto"/>
          <w:vertAlign w:val="subscript"/>
        </w:rPr>
      </w:pPr>
      <w:r>
        <w:rPr>
          <w:rFonts w:ascii="Arial" w:cs="Arial" w:eastAsia="Arial" w:hAnsi="Arial"/>
          <w:sz w:val="15"/>
          <w:szCs w:val="15"/>
          <w:color w:val="auto"/>
        </w:rPr>
        <w:t>Adjusted EBITDA does not reflect amortization of capitalized implementation costs associated with our revenue contracts, which may require future working capital or cash needs in the future;</w:t>
      </w:r>
    </w:p>
    <w:p>
      <w:pPr>
        <w:spacing w:after="0" w:line="70" w:lineRule="exact"/>
        <w:rPr>
          <w:rFonts w:ascii="Arial" w:cs="Arial" w:eastAsia="Arial" w:hAnsi="Arial"/>
          <w:sz w:val="34"/>
          <w:szCs w:val="34"/>
          <w:color w:val="auto"/>
          <w:vertAlign w:val="subscript"/>
        </w:rPr>
      </w:pPr>
    </w:p>
    <w:p>
      <w:pPr>
        <w:ind w:left="1080" w:right="740" w:hanging="401"/>
        <w:spacing w:after="0" w:line="186" w:lineRule="auto"/>
        <w:tabs>
          <w:tab w:leader="none" w:pos="1080" w:val="left"/>
        </w:tabs>
        <w:numPr>
          <w:ilvl w:val="0"/>
          <w:numId w:val="139"/>
        </w:numPr>
        <w:rPr>
          <w:rFonts w:ascii="Arial" w:cs="Arial" w:eastAsia="Arial" w:hAnsi="Arial"/>
          <w:sz w:val="34"/>
          <w:szCs w:val="34"/>
          <w:color w:val="auto"/>
          <w:vertAlign w:val="subscript"/>
        </w:rPr>
      </w:pPr>
      <w:r>
        <w:rPr>
          <w:rFonts w:ascii="Arial" w:cs="Arial" w:eastAsia="Arial" w:hAnsi="Arial"/>
          <w:sz w:val="15"/>
          <w:szCs w:val="15"/>
          <w:color w:val="auto"/>
        </w:rPr>
        <w:t>Adjusted Operating Income (Loss), Adjusted Net Loss and Adjusted EBITDA do not reflect changes in, or cash requirements for, our working capital needs;</w:t>
      </w:r>
    </w:p>
    <w:p>
      <w:pPr>
        <w:spacing w:after="0" w:line="70" w:lineRule="exact"/>
        <w:rPr>
          <w:rFonts w:ascii="Arial" w:cs="Arial" w:eastAsia="Arial" w:hAnsi="Arial"/>
          <w:sz w:val="34"/>
          <w:szCs w:val="34"/>
          <w:color w:val="auto"/>
          <w:vertAlign w:val="subscript"/>
        </w:rPr>
      </w:pPr>
    </w:p>
    <w:p>
      <w:pPr>
        <w:ind w:left="1080" w:right="600" w:hanging="401"/>
        <w:spacing w:after="0" w:line="186" w:lineRule="auto"/>
        <w:tabs>
          <w:tab w:leader="none" w:pos="1080" w:val="left"/>
        </w:tabs>
        <w:numPr>
          <w:ilvl w:val="0"/>
          <w:numId w:val="139"/>
        </w:numPr>
        <w:rPr>
          <w:rFonts w:ascii="Arial" w:cs="Arial" w:eastAsia="Arial" w:hAnsi="Arial"/>
          <w:sz w:val="34"/>
          <w:szCs w:val="34"/>
          <w:color w:val="auto"/>
          <w:vertAlign w:val="subscript"/>
        </w:rPr>
      </w:pPr>
      <w:r>
        <w:rPr>
          <w:rFonts w:ascii="Arial" w:cs="Arial" w:eastAsia="Arial" w:hAnsi="Arial"/>
          <w:sz w:val="15"/>
          <w:szCs w:val="15"/>
          <w:color w:val="auto"/>
        </w:rPr>
        <w:t>Adjusted EBITDA does not reflect the interest expense or the cash requirements necessary to service interest or principal payments on our indebtedness;</w:t>
      </w:r>
    </w:p>
    <w:p>
      <w:pPr>
        <w:spacing w:after="0" w:line="1" w:lineRule="exact"/>
        <w:rPr>
          <w:rFonts w:ascii="Arial" w:cs="Arial" w:eastAsia="Arial" w:hAnsi="Arial"/>
          <w:sz w:val="34"/>
          <w:szCs w:val="34"/>
          <w:color w:val="auto"/>
          <w:vertAlign w:val="subscript"/>
        </w:rPr>
      </w:pPr>
    </w:p>
    <w:p>
      <w:pPr>
        <w:ind w:left="1080" w:hanging="401"/>
        <w:spacing w:after="0" w:line="184" w:lineRule="auto"/>
        <w:tabs>
          <w:tab w:leader="none" w:pos="1080" w:val="left"/>
        </w:tabs>
        <w:numPr>
          <w:ilvl w:val="0"/>
          <w:numId w:val="139"/>
        </w:numPr>
        <w:rPr>
          <w:rFonts w:ascii="Arial" w:cs="Arial" w:eastAsia="Arial" w:hAnsi="Arial"/>
          <w:sz w:val="35"/>
          <w:szCs w:val="35"/>
          <w:color w:val="auto"/>
          <w:vertAlign w:val="subscript"/>
        </w:rPr>
      </w:pPr>
      <w:r>
        <w:rPr>
          <w:rFonts w:ascii="Arial" w:cs="Arial" w:eastAsia="Arial" w:hAnsi="Arial"/>
          <w:sz w:val="16"/>
          <w:szCs w:val="16"/>
          <w:color w:val="auto"/>
        </w:rPr>
        <w:t>Adjusted EBITDA does not reflect tax payments that may represent a reduction in cash available to us;</w:t>
      </w:r>
    </w:p>
    <w:p>
      <w:pPr>
        <w:spacing w:after="0" w:line="143" w:lineRule="exact"/>
        <w:rPr>
          <w:rFonts w:ascii="Arial" w:cs="Arial" w:eastAsia="Arial" w:hAnsi="Arial"/>
          <w:sz w:val="35"/>
          <w:szCs w:val="35"/>
          <w:color w:val="auto"/>
          <w:vertAlign w:val="subscript"/>
        </w:rPr>
      </w:pPr>
    </w:p>
    <w:p>
      <w:pPr>
        <w:ind w:left="1080" w:right="20" w:hanging="401"/>
        <w:spacing w:after="0" w:line="186" w:lineRule="auto"/>
        <w:tabs>
          <w:tab w:leader="none" w:pos="1080" w:val="left"/>
        </w:tabs>
        <w:numPr>
          <w:ilvl w:val="0"/>
          <w:numId w:val="139"/>
        </w:numPr>
        <w:rPr>
          <w:rFonts w:ascii="Arial" w:cs="Arial" w:eastAsia="Arial" w:hAnsi="Arial"/>
          <w:sz w:val="34"/>
          <w:szCs w:val="34"/>
          <w:color w:val="auto"/>
          <w:vertAlign w:val="subscript"/>
        </w:rPr>
      </w:pPr>
      <w:r>
        <w:rPr>
          <w:rFonts w:ascii="Arial" w:cs="Arial" w:eastAsia="Arial" w:hAnsi="Arial"/>
          <w:sz w:val="15"/>
          <w:szCs w:val="15"/>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70" w:lineRule="exact"/>
        <w:rPr>
          <w:rFonts w:ascii="Arial" w:cs="Arial" w:eastAsia="Arial" w:hAnsi="Arial"/>
          <w:sz w:val="34"/>
          <w:szCs w:val="34"/>
          <w:color w:val="auto"/>
          <w:vertAlign w:val="subscript"/>
        </w:rPr>
      </w:pPr>
    </w:p>
    <w:p>
      <w:pPr>
        <w:ind w:left="1080" w:right="180" w:hanging="401"/>
        <w:spacing w:after="0" w:line="221" w:lineRule="auto"/>
        <w:tabs>
          <w:tab w:leader="none" w:pos="1080" w:val="left"/>
        </w:tabs>
        <w:numPr>
          <w:ilvl w:val="0"/>
          <w:numId w:val="139"/>
        </w:numPr>
        <w:rPr>
          <w:rFonts w:ascii="Arial" w:cs="Arial" w:eastAsia="Arial" w:hAnsi="Arial"/>
          <w:sz w:val="43"/>
          <w:szCs w:val="43"/>
          <w:color w:val="auto"/>
          <w:vertAlign w:val="subscript"/>
        </w:rPr>
      </w:pPr>
      <w:r>
        <w:rPr>
          <w:rFonts w:ascii="Arial" w:cs="Arial" w:eastAsia="Arial" w:hAnsi="Arial"/>
          <w:sz w:val="17"/>
          <w:szCs w:val="17"/>
          <w:color w:val="auto"/>
        </w:rPr>
        <w:t>other companies, including companies in our industry, may calculate Adjusted Operating Income (Loss), Adjusted Net Loss, Adjusted EBITDA, Adjusted EPS or Free Cash Flow differently, which reduces their usefulness as comparative measures.</w:t>
      </w:r>
    </w:p>
    <w:p>
      <w:pPr>
        <w:spacing w:after="0" w:line="95" w:lineRule="exact"/>
        <w:rPr>
          <w:sz w:val="20"/>
          <w:szCs w:val="20"/>
          <w:color w:val="auto"/>
        </w:rPr>
      </w:pPr>
    </w:p>
    <w:p>
      <w:pPr>
        <w:ind w:left="580"/>
        <w:spacing w:after="0"/>
        <w:tabs>
          <w:tab w:leader="none" w:pos="1060" w:val="left"/>
          <w:tab w:leader="none" w:pos="3880" w:val="left"/>
        </w:tabs>
        <w:rPr>
          <w:sz w:val="20"/>
          <w:szCs w:val="20"/>
          <w:color w:val="auto"/>
        </w:rPr>
      </w:pPr>
      <w:r>
        <w:rPr>
          <w:rFonts w:ascii="Arial" w:cs="Arial" w:eastAsia="Arial" w:hAnsi="Arial"/>
          <w:sz w:val="18"/>
          <w:szCs w:val="18"/>
          <w:b w:val="1"/>
          <w:bCs w:val="1"/>
          <w:color w:val="666666"/>
        </w:rPr>
        <w:t>B-2</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B</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Tabular Reconciliations for Non-GAAP Measures</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(In thousands, except per share amounts; unaudited)</w:t>
      </w:r>
    </w:p>
    <w:p>
      <w:pPr>
        <w:spacing w:after="0" w:line="90" w:lineRule="exact"/>
        <w:rPr>
          <w:sz w:val="20"/>
          <w:szCs w:val="20"/>
          <w:color w:val="auto"/>
        </w:rPr>
      </w:pPr>
    </w:p>
    <w:p>
      <w:pPr>
        <w:ind w:left="580" w:right="320"/>
        <w:spacing w:after="0" w:line="265" w:lineRule="auto"/>
        <w:rPr>
          <w:sz w:val="20"/>
          <w:szCs w:val="20"/>
          <w:color w:val="auto"/>
        </w:rPr>
      </w:pPr>
      <w:r>
        <w:rPr>
          <w:rFonts w:ascii="Arial" w:cs="Arial" w:eastAsia="Arial" w:hAnsi="Arial"/>
          <w:sz w:val="18"/>
          <w:szCs w:val="18"/>
          <w:i w:val="1"/>
          <w:iCs w:val="1"/>
          <w:color w:val="auto"/>
        </w:rPr>
        <w:t>Reconciliation of net loss attributable to common stockholders to Adjusted Net Loss from continuing operations, Operating loss to Adjusted Operating Loss, and loss from continuing operations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114300</wp:posOffset>
            </wp:positionV>
            <wp:extent cx="1256030" cy="800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56030" cy="800735"/>
                    </a:xfrm>
                    <a:prstGeom prst="rect">
                      <a:avLst/>
                    </a:prstGeom>
                    <a:noFill/>
                  </pic:spPr>
                </pic:pic>
              </a:graphicData>
            </a:graphic>
          </wp:anchor>
        </w:drawing>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4800" w:type="dxa"/>
            <w:vAlign w:val="bottom"/>
            <w:shd w:val="clear" w:color="auto" w:fill="666666"/>
          </w:tcPr>
          <w:p>
            <w:pPr>
              <w:spacing w:after="0"/>
              <w:rPr>
                <w:sz w:val="19"/>
                <w:szCs w:val="19"/>
                <w:color w:val="auto"/>
              </w:rPr>
            </w:pPr>
          </w:p>
        </w:tc>
        <w:tc>
          <w:tcPr>
            <w:tcW w:w="5280" w:type="dxa"/>
            <w:vAlign w:val="bottom"/>
            <w:gridSpan w:val="9"/>
            <w:shd w:val="clear" w:color="auto" w:fill="666666"/>
          </w:tcPr>
          <w:p>
            <w:pPr>
              <w:jc w:val="right"/>
              <w:spacing w:after="0"/>
              <w:rPr>
                <w:sz w:val="20"/>
                <w:szCs w:val="20"/>
                <w:color w:val="auto"/>
              </w:rPr>
            </w:pPr>
            <w:r>
              <w:rPr>
                <w:rFonts w:ascii="Arial" w:cs="Arial" w:eastAsia="Arial" w:hAnsi="Arial"/>
                <w:sz w:val="15"/>
                <w:szCs w:val="15"/>
                <w:b w:val="1"/>
                <w:bCs w:val="1"/>
                <w:color w:val="FFFFFF"/>
              </w:rPr>
              <w:t>Year Ended December 31,</w:t>
            </w:r>
          </w:p>
        </w:tc>
      </w:tr>
      <w:tr>
        <w:trPr>
          <w:trHeight w:val="292"/>
        </w:trPr>
        <w:tc>
          <w:tcPr>
            <w:tcW w:w="4800" w:type="dxa"/>
            <w:vAlign w:val="bottom"/>
            <w:shd w:val="clear" w:color="auto" w:fill="666666"/>
          </w:tcPr>
          <w:p>
            <w:pPr>
              <w:spacing w:after="0"/>
              <w:rPr>
                <w:sz w:val="24"/>
                <w:szCs w:val="24"/>
                <w:color w:val="auto"/>
              </w:rPr>
            </w:pPr>
          </w:p>
        </w:tc>
        <w:tc>
          <w:tcPr>
            <w:tcW w:w="3480" w:type="dxa"/>
            <w:vAlign w:val="bottom"/>
            <w:shd w:val="clear" w:color="auto" w:fill="666666"/>
          </w:tcPr>
          <w:p>
            <w:pPr>
              <w:spacing w:after="0"/>
              <w:rPr>
                <w:sz w:val="24"/>
                <w:szCs w:val="24"/>
                <w:color w:val="auto"/>
              </w:rPr>
            </w:pPr>
          </w:p>
        </w:tc>
        <w:tc>
          <w:tcPr>
            <w:tcW w:w="100" w:type="dxa"/>
            <w:vAlign w:val="bottom"/>
            <w:shd w:val="clear" w:color="auto" w:fill="666666"/>
          </w:tcPr>
          <w:p>
            <w:pPr>
              <w:spacing w:after="0"/>
              <w:rPr>
                <w:sz w:val="24"/>
                <w:szCs w:val="24"/>
                <w:color w:val="auto"/>
              </w:rPr>
            </w:pPr>
          </w:p>
        </w:tc>
        <w:tc>
          <w:tcPr>
            <w:tcW w:w="660" w:type="dxa"/>
            <w:vAlign w:val="bottom"/>
            <w:shd w:val="clear" w:color="auto" w:fill="666666"/>
          </w:tcPr>
          <w:p>
            <w:pPr>
              <w:jc w:val="right"/>
              <w:ind w:right="118"/>
              <w:spacing w:after="0"/>
              <w:rPr>
                <w:sz w:val="20"/>
                <w:szCs w:val="20"/>
                <w:color w:val="auto"/>
              </w:rPr>
            </w:pPr>
            <w:r>
              <w:rPr>
                <w:rFonts w:ascii="Arial" w:cs="Arial" w:eastAsia="Arial" w:hAnsi="Arial"/>
                <w:sz w:val="15"/>
                <w:szCs w:val="15"/>
                <w:b w:val="1"/>
                <w:bCs w:val="1"/>
                <w:color w:val="FFFFFF"/>
              </w:rPr>
              <w:t>2022</w:t>
            </w:r>
          </w:p>
        </w:tc>
        <w:tc>
          <w:tcPr>
            <w:tcW w:w="160" w:type="dxa"/>
            <w:vAlign w:val="bottom"/>
            <w:shd w:val="clear" w:color="auto" w:fill="666666"/>
          </w:tcPr>
          <w:p>
            <w:pPr>
              <w:spacing w:after="0"/>
              <w:rPr>
                <w:sz w:val="24"/>
                <w:szCs w:val="24"/>
                <w:color w:val="auto"/>
              </w:rPr>
            </w:pPr>
          </w:p>
        </w:tc>
        <w:tc>
          <w:tcPr>
            <w:tcW w:w="80" w:type="dxa"/>
            <w:vAlign w:val="bottom"/>
            <w:shd w:val="clear" w:color="auto" w:fill="666666"/>
          </w:tcPr>
          <w:p>
            <w:pPr>
              <w:spacing w:after="0"/>
              <w:rPr>
                <w:sz w:val="24"/>
                <w:szCs w:val="24"/>
                <w:color w:val="auto"/>
              </w:rPr>
            </w:pPr>
          </w:p>
        </w:tc>
        <w:tc>
          <w:tcPr>
            <w:tcW w:w="80" w:type="dxa"/>
            <w:vAlign w:val="bottom"/>
            <w:shd w:val="clear" w:color="auto" w:fill="666666"/>
          </w:tcPr>
          <w:p>
            <w:pPr>
              <w:spacing w:after="0"/>
              <w:rPr>
                <w:sz w:val="24"/>
                <w:szCs w:val="24"/>
                <w:color w:val="auto"/>
              </w:rPr>
            </w:pPr>
          </w:p>
        </w:tc>
        <w:tc>
          <w:tcPr>
            <w:tcW w:w="100" w:type="dxa"/>
            <w:vAlign w:val="bottom"/>
            <w:shd w:val="clear" w:color="auto" w:fill="666666"/>
          </w:tcPr>
          <w:p>
            <w:pPr>
              <w:spacing w:after="0"/>
              <w:rPr>
                <w:sz w:val="24"/>
                <w:szCs w:val="24"/>
                <w:color w:val="auto"/>
              </w:rPr>
            </w:pPr>
          </w:p>
        </w:tc>
        <w:tc>
          <w:tcPr>
            <w:tcW w:w="560" w:type="dxa"/>
            <w:vAlign w:val="bottom"/>
            <w:shd w:val="clear" w:color="auto" w:fill="666666"/>
          </w:tcPr>
          <w:p>
            <w:pPr>
              <w:jc w:val="right"/>
              <w:ind w:right="118"/>
              <w:spacing w:after="0"/>
              <w:rPr>
                <w:sz w:val="20"/>
                <w:szCs w:val="20"/>
                <w:color w:val="auto"/>
              </w:rPr>
            </w:pPr>
            <w:r>
              <w:rPr>
                <w:rFonts w:ascii="Arial" w:cs="Arial" w:eastAsia="Arial" w:hAnsi="Arial"/>
                <w:sz w:val="15"/>
                <w:szCs w:val="15"/>
                <w:b w:val="1"/>
                <w:bCs w:val="1"/>
                <w:color w:val="FFFFFF"/>
              </w:rPr>
              <w:t>2021</w:t>
            </w:r>
          </w:p>
        </w:tc>
        <w:tc>
          <w:tcPr>
            <w:tcW w:w="60" w:type="dxa"/>
            <w:vAlign w:val="bottom"/>
            <w:shd w:val="clear" w:color="auto" w:fill="666666"/>
          </w:tcPr>
          <w:p>
            <w:pPr>
              <w:spacing w:after="0"/>
              <w:rPr>
                <w:sz w:val="24"/>
                <w:szCs w:val="24"/>
                <w:color w:val="auto"/>
              </w:rPr>
            </w:pPr>
          </w:p>
        </w:tc>
      </w:tr>
      <w:tr>
        <w:trPr>
          <w:trHeight w:val="185"/>
        </w:trPr>
        <w:tc>
          <w:tcPr>
            <w:tcW w:w="4800" w:type="dxa"/>
            <w:vAlign w:val="bottom"/>
            <w:shd w:val="clear" w:color="auto" w:fill="E5E5E5"/>
          </w:tcPr>
          <w:p>
            <w:pPr>
              <w:spacing w:after="0"/>
              <w:rPr>
                <w:sz w:val="20"/>
                <w:szCs w:val="20"/>
                <w:color w:val="auto"/>
              </w:rPr>
            </w:pPr>
            <w:r>
              <w:rPr>
                <w:rFonts w:ascii="Arial" w:cs="Arial" w:eastAsia="Arial" w:hAnsi="Arial"/>
                <w:sz w:val="16"/>
                <w:szCs w:val="16"/>
                <w:color w:val="auto"/>
              </w:rPr>
              <w:t>Net loss attributable to common stockholders</w:t>
            </w:r>
          </w:p>
        </w:tc>
        <w:tc>
          <w:tcPr>
            <w:tcW w:w="358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18"/>
              <w:spacing w:after="0"/>
              <w:rPr>
                <w:sz w:val="20"/>
                <w:szCs w:val="20"/>
                <w:color w:val="auto"/>
              </w:rPr>
            </w:pPr>
            <w:r>
              <w:rPr>
                <w:rFonts w:ascii="Arial" w:cs="Arial" w:eastAsia="Arial" w:hAnsi="Arial"/>
                <w:sz w:val="16"/>
                <w:szCs w:val="16"/>
                <w:color w:val="auto"/>
              </w:rPr>
              <w:t>(456,833)</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(950,071)</w:t>
            </w:r>
          </w:p>
        </w:tc>
      </w:tr>
      <w:tr>
        <w:trPr>
          <w:trHeight w:val="185"/>
        </w:trPr>
        <w:tc>
          <w:tcPr>
            <w:tcW w:w="4800" w:type="dxa"/>
            <w:vAlign w:val="bottom"/>
          </w:tcPr>
          <w:p>
            <w:pPr>
              <w:ind w:left="160"/>
              <w:spacing w:after="0"/>
              <w:rPr>
                <w:sz w:val="20"/>
                <w:szCs w:val="20"/>
                <w:color w:val="auto"/>
              </w:rPr>
            </w:pPr>
            <w:r>
              <w:rPr>
                <w:rFonts w:ascii="Arial" w:cs="Arial" w:eastAsia="Arial" w:hAnsi="Arial"/>
                <w:sz w:val="16"/>
                <w:szCs w:val="16"/>
                <w:color w:val="auto"/>
              </w:rPr>
              <w:t>Loss from discontinued operations, net of tax</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2,532</w:t>
            </w: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Net income attributable to non-controlling interests</w:t>
            </w:r>
            <w:r>
              <w:rPr>
                <w:rFonts w:ascii="Arial" w:cs="Arial" w:eastAsia="Arial" w:hAnsi="Arial"/>
                <w:sz w:val="21"/>
                <w:szCs w:val="21"/>
                <w:color w:val="auto"/>
                <w:vertAlign w:val="superscript"/>
              </w:rPr>
              <w:t>(1)</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2,670</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2,162</w:t>
            </w:r>
          </w:p>
        </w:tc>
      </w:tr>
      <w:tr>
        <w:trPr>
          <w:trHeight w:val="185"/>
        </w:trPr>
        <w:tc>
          <w:tcPr>
            <w:tcW w:w="4800" w:type="dxa"/>
            <w:vAlign w:val="bottom"/>
          </w:tcPr>
          <w:p>
            <w:pPr>
              <w:ind w:left="160"/>
              <w:spacing w:after="0"/>
              <w:rPr>
                <w:sz w:val="20"/>
                <w:szCs w:val="20"/>
                <w:color w:val="auto"/>
              </w:rPr>
            </w:pPr>
            <w:r>
              <w:rPr>
                <w:rFonts w:ascii="Arial" w:cs="Arial" w:eastAsia="Arial" w:hAnsi="Arial"/>
                <w:sz w:val="16"/>
                <w:szCs w:val="16"/>
                <w:color w:val="auto"/>
              </w:rPr>
              <w:t>Preferred stock dividends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21,385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21,602</w:t>
            </w:r>
          </w:p>
        </w:tc>
      </w:tr>
      <w:tr>
        <w:trPr>
          <w:trHeight w:val="25"/>
        </w:trPr>
        <w:tc>
          <w:tcPr>
            <w:tcW w:w="48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5"/>
        </w:trPr>
        <w:tc>
          <w:tcPr>
            <w:tcW w:w="4800" w:type="dxa"/>
            <w:vAlign w:val="bottom"/>
            <w:shd w:val="clear" w:color="auto" w:fill="E5E5E5"/>
          </w:tcPr>
          <w:p>
            <w:pPr>
              <w:spacing w:after="0"/>
              <w:rPr>
                <w:sz w:val="20"/>
                <w:szCs w:val="20"/>
                <w:color w:val="auto"/>
              </w:rPr>
            </w:pPr>
            <w:r>
              <w:rPr>
                <w:rFonts w:ascii="Arial" w:cs="Arial" w:eastAsia="Arial" w:hAnsi="Arial"/>
                <w:sz w:val="16"/>
                <w:szCs w:val="16"/>
                <w:color w:val="auto"/>
              </w:rPr>
              <w:t>Loss from continuing operations</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18"/>
              <w:spacing w:after="0"/>
              <w:rPr>
                <w:sz w:val="20"/>
                <w:szCs w:val="20"/>
                <w:color w:val="auto"/>
              </w:rPr>
            </w:pPr>
            <w:r>
              <w:rPr>
                <w:rFonts w:ascii="Arial" w:cs="Arial" w:eastAsia="Arial" w:hAnsi="Arial"/>
                <w:sz w:val="16"/>
                <w:szCs w:val="16"/>
                <w:color w:val="auto"/>
              </w:rPr>
              <w:t>(432,099)</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(923,775)</w:t>
            </w:r>
          </w:p>
        </w:tc>
      </w:tr>
      <w:tr>
        <w:trPr>
          <w:trHeight w:val="185"/>
        </w:trPr>
        <w:tc>
          <w:tcPr>
            <w:tcW w:w="4800" w:type="dxa"/>
            <w:vAlign w:val="bottom"/>
          </w:tcPr>
          <w:p>
            <w:pPr>
              <w:spacing w:after="0"/>
              <w:rPr>
                <w:sz w:val="20"/>
                <w:szCs w:val="20"/>
                <w:color w:val="auto"/>
              </w:rPr>
            </w:pPr>
            <w:r>
              <w:rPr>
                <w:rFonts w:ascii="Arial" w:cs="Arial" w:eastAsia="Arial" w:hAnsi="Arial"/>
                <w:sz w:val="16"/>
                <w:szCs w:val="16"/>
                <w:color w:val="auto"/>
              </w:rPr>
              <w:t>Adjustments: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Impairment and related charges</w:t>
            </w:r>
            <w:r>
              <w:rPr>
                <w:rFonts w:ascii="Arial" w:cs="Arial" w:eastAsia="Arial" w:hAnsi="Arial"/>
                <w:sz w:val="21"/>
                <w:szCs w:val="21"/>
                <w:color w:val="auto"/>
                <w:vertAlign w:val="superscript"/>
              </w:rPr>
              <w:t>(2)</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5,146</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800" w:type="dxa"/>
            <w:vAlign w:val="bottom"/>
          </w:tcPr>
          <w:p>
            <w:pPr>
              <w:ind w:left="160"/>
              <w:spacing w:after="0" w:line="186" w:lineRule="exact"/>
              <w:rPr>
                <w:sz w:val="20"/>
                <w:szCs w:val="20"/>
                <w:color w:val="auto"/>
              </w:rPr>
            </w:pPr>
            <w:r>
              <w:rPr>
                <w:rFonts w:ascii="Arial" w:cs="Arial" w:eastAsia="Arial" w:hAnsi="Arial"/>
                <w:sz w:val="15"/>
                <w:szCs w:val="15"/>
                <w:color w:val="auto"/>
              </w:rPr>
              <w:t>Acquisition-related amortization</w:t>
            </w:r>
            <w:r>
              <w:rPr>
                <w:rFonts w:ascii="Arial" w:cs="Arial" w:eastAsia="Arial" w:hAnsi="Arial"/>
                <w:sz w:val="21"/>
                <w:szCs w:val="21"/>
                <w:color w:val="auto"/>
                <w:vertAlign w:val="superscript"/>
              </w:rPr>
              <w:t>(3a)</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51,254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64,144</w:t>
            </w: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Restructuring and other costs</w:t>
            </w:r>
            <w:r>
              <w:rPr>
                <w:rFonts w:ascii="Arial" w:cs="Arial" w:eastAsia="Arial" w:hAnsi="Arial"/>
                <w:sz w:val="21"/>
                <w:szCs w:val="21"/>
                <w:color w:val="auto"/>
                <w:vertAlign w:val="superscript"/>
              </w:rPr>
              <w:t>(5)</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14,500</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(7,608)</w:t>
            </w:r>
          </w:p>
        </w:tc>
      </w:tr>
      <w:tr>
        <w:trPr>
          <w:trHeight w:val="185"/>
        </w:trPr>
        <w:tc>
          <w:tcPr>
            <w:tcW w:w="4800" w:type="dxa"/>
            <w:vAlign w:val="bottom"/>
          </w:tcPr>
          <w:p>
            <w:pPr>
              <w:ind w:left="160"/>
              <w:spacing w:after="0"/>
              <w:rPr>
                <w:sz w:val="20"/>
                <w:szCs w:val="20"/>
                <w:color w:val="auto"/>
              </w:rPr>
            </w:pPr>
            <w:r>
              <w:rPr>
                <w:rFonts w:ascii="Arial" w:cs="Arial" w:eastAsia="Arial" w:hAnsi="Arial"/>
                <w:sz w:val="16"/>
                <w:szCs w:val="16"/>
                <w:color w:val="auto"/>
              </w:rPr>
              <w:t>Loss on extinguishment of debt</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4,473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13,070</w:t>
            </w: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Other, net</w:t>
            </w:r>
            <w:r>
              <w:rPr>
                <w:rFonts w:ascii="Arial" w:cs="Arial" w:eastAsia="Arial" w:hAnsi="Arial"/>
                <w:sz w:val="21"/>
                <w:szCs w:val="21"/>
                <w:color w:val="auto"/>
                <w:vertAlign w:val="superscript"/>
              </w:rPr>
              <w:t>(4)</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8"/>
              <w:spacing w:after="0"/>
              <w:rPr>
                <w:sz w:val="20"/>
                <w:szCs w:val="20"/>
                <w:color w:val="auto"/>
              </w:rPr>
            </w:pPr>
            <w:r>
              <w:rPr>
                <w:rFonts w:ascii="Arial" w:cs="Arial" w:eastAsia="Arial" w:hAnsi="Arial"/>
                <w:sz w:val="16"/>
                <w:szCs w:val="16"/>
                <w:color w:val="auto"/>
              </w:rPr>
              <w:t>(136,645)</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1,748</w:t>
            </w:r>
          </w:p>
        </w:tc>
      </w:tr>
      <w:tr>
        <w:trPr>
          <w:trHeight w:val="185"/>
        </w:trPr>
        <w:tc>
          <w:tcPr>
            <w:tcW w:w="4800" w:type="dxa"/>
            <w:vAlign w:val="bottom"/>
          </w:tcPr>
          <w:p>
            <w:pPr>
              <w:ind w:left="160"/>
              <w:spacing w:after="0" w:line="186"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1"/>
                <w:szCs w:val="21"/>
                <w:color w:val="auto"/>
                <w:vertAlign w:val="superscript"/>
              </w:rPr>
              <w:t>(6)</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6,854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6,744</w:t>
            </w: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Litigation costs, net</w:t>
            </w:r>
            <w:r>
              <w:rPr>
                <w:rFonts w:ascii="Arial" w:cs="Arial" w:eastAsia="Arial" w:hAnsi="Arial"/>
                <w:sz w:val="21"/>
                <w:szCs w:val="21"/>
                <w:color w:val="auto"/>
                <w:vertAlign w:val="superscript"/>
              </w:rPr>
              <w:t>(7)</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31,706</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22,262</w:t>
            </w:r>
          </w:p>
        </w:tc>
      </w:tr>
      <w:tr>
        <w:trPr>
          <w:trHeight w:val="185"/>
        </w:trPr>
        <w:tc>
          <w:tcPr>
            <w:tcW w:w="480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82,872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120,892</w:t>
            </w:r>
          </w:p>
        </w:tc>
        <w:tc>
          <w:tcPr>
            <w:tcW w:w="60" w:type="dxa"/>
            <w:vAlign w:val="bottom"/>
          </w:tcPr>
          <w:p>
            <w:pPr>
              <w:spacing w:after="0"/>
              <w:rPr>
                <w:sz w:val="16"/>
                <w:szCs w:val="16"/>
                <w:color w:val="auto"/>
              </w:rPr>
            </w:pP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Tax impact of adjustments</w:t>
            </w:r>
            <w:r>
              <w:rPr>
                <w:rFonts w:ascii="Arial" w:cs="Arial" w:eastAsia="Arial" w:hAnsi="Arial"/>
                <w:sz w:val="21"/>
                <w:szCs w:val="21"/>
                <w:color w:val="auto"/>
                <w:vertAlign w:val="superscript"/>
              </w:rPr>
              <w:t>(8)</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847</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(6,867)</w:t>
            </w: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Adjusted Net Loss from continuing operations</w:t>
            </w:r>
          </w:p>
        </w:tc>
        <w:tc>
          <w:tcPr>
            <w:tcW w:w="34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(371,092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(709,390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48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Adjusted Net Loss from continuing operations per share</w:t>
            </w:r>
          </w:p>
        </w:tc>
        <w:tc>
          <w:tcPr>
            <w:tcW w:w="3580" w:type="dxa"/>
            <w:vAlign w:val="bottom"/>
            <w:gridSpan w:val="2"/>
            <w:shd w:val="clear" w:color="auto" w:fill="E5E5E5"/>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18"/>
              <w:spacing w:after="0" w:line="175" w:lineRule="exact"/>
              <w:rPr>
                <w:sz w:val="20"/>
                <w:szCs w:val="20"/>
                <w:color w:val="auto"/>
              </w:rPr>
            </w:pPr>
            <w:r>
              <w:rPr>
                <w:rFonts w:ascii="Arial" w:cs="Arial" w:eastAsia="Arial" w:hAnsi="Arial"/>
                <w:sz w:val="16"/>
                <w:szCs w:val="16"/>
                <w:color w:val="auto"/>
              </w:rPr>
              <w:t>(1.14)</w:t>
            </w:r>
          </w:p>
        </w:tc>
        <w:tc>
          <w:tcPr>
            <w:tcW w:w="160" w:type="dxa"/>
            <w:vAlign w:val="bottom"/>
            <w:gridSpan w:val="2"/>
            <w:shd w:val="clear" w:color="auto" w:fill="E5E5E5"/>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5"/>
                <w:szCs w:val="15"/>
                <w:color w:val="auto"/>
              </w:rPr>
            </w:pPr>
          </w:p>
        </w:tc>
        <w:tc>
          <w:tcPr>
            <w:tcW w:w="620" w:type="dxa"/>
            <w:vAlign w:val="bottom"/>
            <w:gridSpan w:val="2"/>
            <w:shd w:val="clear" w:color="auto" w:fill="E5E5E5"/>
          </w:tcPr>
          <w:p>
            <w:pPr>
              <w:jc w:val="right"/>
              <w:spacing w:after="0" w:line="175" w:lineRule="exact"/>
              <w:rPr>
                <w:sz w:val="20"/>
                <w:szCs w:val="20"/>
                <w:color w:val="auto"/>
              </w:rPr>
            </w:pPr>
            <w:r>
              <w:rPr>
                <w:rFonts w:ascii="Arial" w:cs="Arial" w:eastAsia="Arial" w:hAnsi="Arial"/>
                <w:sz w:val="16"/>
                <w:szCs w:val="16"/>
                <w:color w:val="auto"/>
              </w:rPr>
              <w:t>(2.21)</w:t>
            </w:r>
          </w:p>
        </w:tc>
      </w:tr>
      <w:tr>
        <w:trPr>
          <w:trHeight w:val="185"/>
        </w:trPr>
        <w:tc>
          <w:tcPr>
            <w:tcW w:w="4800" w:type="dxa"/>
            <w:vAlign w:val="bottom"/>
          </w:tcPr>
          <w:p>
            <w:pPr>
              <w:spacing w:after="0"/>
              <w:rPr>
                <w:sz w:val="20"/>
                <w:szCs w:val="20"/>
                <w:color w:val="auto"/>
              </w:rPr>
            </w:pPr>
            <w:r>
              <w:rPr>
                <w:rFonts w:ascii="Arial" w:cs="Arial" w:eastAsia="Arial" w:hAnsi="Arial"/>
                <w:sz w:val="16"/>
                <w:szCs w:val="16"/>
                <w:color w:val="auto"/>
              </w:rPr>
              <w:t>Diluted weighted-average common shares outstanding</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326,742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320,922</w:t>
            </w:r>
          </w:p>
        </w:tc>
        <w:tc>
          <w:tcPr>
            <w:tcW w:w="60" w:type="dxa"/>
            <w:vAlign w:val="bottom"/>
          </w:tcPr>
          <w:p>
            <w:pPr>
              <w:spacing w:after="0"/>
              <w:rPr>
                <w:sz w:val="16"/>
                <w:szCs w:val="16"/>
                <w:color w:val="auto"/>
              </w:rPr>
            </w:pPr>
          </w:p>
        </w:tc>
      </w:tr>
      <w:tr>
        <w:trPr>
          <w:trHeight w:val="185"/>
        </w:trPr>
        <w:tc>
          <w:tcPr>
            <w:tcW w:w="4800" w:type="dxa"/>
            <w:vAlign w:val="bottom"/>
            <w:shd w:val="clear" w:color="auto" w:fill="E5E5E5"/>
          </w:tcPr>
          <w:p>
            <w:pPr>
              <w:spacing w:after="0"/>
              <w:rPr>
                <w:sz w:val="20"/>
                <w:szCs w:val="20"/>
                <w:color w:val="auto"/>
              </w:rPr>
            </w:pPr>
            <w:r>
              <w:rPr>
                <w:rFonts w:ascii="Arial" w:cs="Arial" w:eastAsia="Arial" w:hAnsi="Arial"/>
                <w:sz w:val="16"/>
                <w:szCs w:val="16"/>
                <w:color w:val="auto"/>
              </w:rPr>
              <w:t>Operating loss</w:t>
            </w:r>
          </w:p>
        </w:tc>
        <w:tc>
          <w:tcPr>
            <w:tcW w:w="358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18"/>
              <w:spacing w:after="0"/>
              <w:rPr>
                <w:sz w:val="20"/>
                <w:szCs w:val="20"/>
                <w:color w:val="auto"/>
              </w:rPr>
            </w:pPr>
            <w:r>
              <w:rPr>
                <w:rFonts w:ascii="Arial" w:cs="Arial" w:eastAsia="Arial" w:hAnsi="Arial"/>
                <w:sz w:val="16"/>
                <w:szCs w:val="16"/>
                <w:color w:val="auto"/>
              </w:rPr>
              <w:t>(261,060)</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(665,487)</w:t>
            </w:r>
          </w:p>
        </w:tc>
      </w:tr>
      <w:tr>
        <w:trPr>
          <w:trHeight w:val="185"/>
        </w:trPr>
        <w:tc>
          <w:tcPr>
            <w:tcW w:w="4800" w:type="dxa"/>
            <w:vAlign w:val="bottom"/>
          </w:tcPr>
          <w:p>
            <w:pPr>
              <w:spacing w:after="0"/>
              <w:rPr>
                <w:sz w:val="20"/>
                <w:szCs w:val="20"/>
                <w:color w:val="auto"/>
              </w:rPr>
            </w:pPr>
            <w:r>
              <w:rPr>
                <w:rFonts w:ascii="Arial" w:cs="Arial" w:eastAsia="Arial" w:hAnsi="Arial"/>
                <w:sz w:val="16"/>
                <w:szCs w:val="16"/>
                <w:color w:val="auto"/>
              </w:rPr>
              <w:t>Add back:</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48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Equity method income (loss)</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686</w:t>
            </w:r>
          </w:p>
        </w:tc>
        <w:tc>
          <w:tcPr>
            <w:tcW w:w="1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(264)</w:t>
            </w:r>
          </w:p>
        </w:tc>
      </w:tr>
      <w:tr>
        <w:trPr>
          <w:trHeight w:val="185"/>
        </w:trPr>
        <w:tc>
          <w:tcPr>
            <w:tcW w:w="4800" w:type="dxa"/>
            <w:vAlign w:val="bottom"/>
          </w:tcPr>
          <w:p>
            <w:pPr>
              <w:ind w:left="160"/>
              <w:spacing w:after="0" w:line="186" w:lineRule="exact"/>
              <w:rPr>
                <w:sz w:val="20"/>
                <w:szCs w:val="20"/>
                <w:color w:val="auto"/>
              </w:rPr>
            </w:pPr>
            <w:r>
              <w:rPr>
                <w:rFonts w:ascii="Arial" w:cs="Arial" w:eastAsia="Arial" w:hAnsi="Arial"/>
                <w:sz w:val="15"/>
                <w:szCs w:val="15"/>
                <w:color w:val="auto"/>
              </w:rPr>
              <w:t>Impairment and related charges</w:t>
            </w:r>
            <w:r>
              <w:rPr>
                <w:rFonts w:ascii="Arial" w:cs="Arial" w:eastAsia="Arial" w:hAnsi="Arial"/>
                <w:sz w:val="21"/>
                <w:szCs w:val="21"/>
                <w:color w:val="auto"/>
                <w:vertAlign w:val="superscript"/>
              </w:rPr>
              <w:t>(2)</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5,146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Acquisition-related amortization</w:t>
            </w:r>
            <w:r>
              <w:rPr>
                <w:rFonts w:ascii="Arial" w:cs="Arial" w:eastAsia="Arial" w:hAnsi="Arial"/>
                <w:sz w:val="21"/>
                <w:szCs w:val="21"/>
                <w:color w:val="auto"/>
                <w:vertAlign w:val="superscript"/>
              </w:rPr>
              <w:t>(3a)</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51,254</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64,144</w:t>
            </w:r>
          </w:p>
        </w:tc>
      </w:tr>
      <w:tr>
        <w:trPr>
          <w:trHeight w:val="185"/>
        </w:trPr>
        <w:tc>
          <w:tcPr>
            <w:tcW w:w="4800" w:type="dxa"/>
            <w:vAlign w:val="bottom"/>
          </w:tcPr>
          <w:p>
            <w:pPr>
              <w:ind w:left="160"/>
              <w:spacing w:after="0" w:line="186" w:lineRule="exact"/>
              <w:rPr>
                <w:sz w:val="20"/>
                <w:szCs w:val="20"/>
                <w:color w:val="auto"/>
              </w:rPr>
            </w:pPr>
            <w:r>
              <w:rPr>
                <w:rFonts w:ascii="Arial" w:cs="Arial" w:eastAsia="Arial" w:hAnsi="Arial"/>
                <w:sz w:val="15"/>
                <w:szCs w:val="15"/>
                <w:color w:val="auto"/>
              </w:rPr>
              <w:t>Restructuring and other costs</w:t>
            </w:r>
            <w:r>
              <w:rPr>
                <w:rFonts w:ascii="Arial" w:cs="Arial" w:eastAsia="Arial" w:hAnsi="Arial"/>
                <w:sz w:val="21"/>
                <w:szCs w:val="21"/>
                <w:color w:val="auto"/>
                <w:vertAlign w:val="superscript"/>
              </w:rPr>
              <w:t>(5)</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14,500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(7,608)</w:t>
            </w:r>
          </w:p>
        </w:tc>
      </w:tr>
      <w:tr>
        <w:trPr>
          <w:trHeight w:val="185"/>
        </w:trPr>
        <w:tc>
          <w:tcPr>
            <w:tcW w:w="480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1"/>
                <w:szCs w:val="21"/>
                <w:color w:val="auto"/>
                <w:vertAlign w:val="superscript"/>
              </w:rPr>
              <w:t>(6)</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6,854</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6,744</w:t>
            </w:r>
          </w:p>
        </w:tc>
      </w:tr>
      <w:tr>
        <w:trPr>
          <w:trHeight w:val="185"/>
        </w:trPr>
        <w:tc>
          <w:tcPr>
            <w:tcW w:w="4800" w:type="dxa"/>
            <w:vAlign w:val="bottom"/>
          </w:tcPr>
          <w:p>
            <w:pPr>
              <w:ind w:left="160"/>
              <w:spacing w:after="0" w:line="186" w:lineRule="exact"/>
              <w:rPr>
                <w:sz w:val="20"/>
                <w:szCs w:val="20"/>
                <w:color w:val="auto"/>
              </w:rPr>
            </w:pPr>
            <w:r>
              <w:rPr>
                <w:rFonts w:ascii="Arial" w:cs="Arial" w:eastAsia="Arial" w:hAnsi="Arial"/>
                <w:sz w:val="15"/>
                <w:szCs w:val="15"/>
                <w:color w:val="auto"/>
              </w:rPr>
              <w:t>Litigation costs, net</w:t>
            </w:r>
            <w:r>
              <w:rPr>
                <w:rFonts w:ascii="Arial" w:cs="Arial" w:eastAsia="Arial" w:hAnsi="Arial"/>
                <w:sz w:val="21"/>
                <w:szCs w:val="21"/>
                <w:color w:val="auto"/>
                <w:vertAlign w:val="superscript"/>
              </w:rPr>
              <w:t>(7)</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6"/>
                <w:szCs w:val="16"/>
                <w:color w:val="auto"/>
              </w:rPr>
              <w:t>31,706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22,262</w:t>
            </w:r>
          </w:p>
        </w:tc>
      </w:tr>
      <w:tr>
        <w:trPr>
          <w:trHeight w:val="185"/>
        </w:trPr>
        <w:tc>
          <w:tcPr>
            <w:tcW w:w="48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Stock-based compensation</w:t>
            </w:r>
          </w:p>
        </w:tc>
        <w:tc>
          <w:tcPr>
            <w:tcW w:w="3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78"/>
              <w:spacing w:after="0"/>
              <w:rPr>
                <w:sz w:val="20"/>
                <w:szCs w:val="20"/>
                <w:color w:val="auto"/>
              </w:rPr>
            </w:pPr>
            <w:r>
              <w:rPr>
                <w:rFonts w:ascii="Arial" w:cs="Arial" w:eastAsia="Arial" w:hAnsi="Arial"/>
                <w:sz w:val="16"/>
                <w:szCs w:val="16"/>
                <w:color w:val="auto"/>
              </w:rPr>
              <w:t>82,872</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120,892</w:t>
            </w:r>
          </w:p>
        </w:tc>
        <w:tc>
          <w:tcPr>
            <w:tcW w:w="60" w:type="dxa"/>
            <w:vAlign w:val="bottom"/>
            <w:shd w:val="clear" w:color="auto" w:fill="E5E5E5"/>
          </w:tcPr>
          <w:p>
            <w:pPr>
              <w:spacing w:after="0"/>
              <w:rPr>
                <w:sz w:val="16"/>
                <w:szCs w:val="16"/>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34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(68,042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(459,317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480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Loss from continuing operations</w:t>
            </w:r>
          </w:p>
        </w:tc>
        <w:tc>
          <w:tcPr>
            <w:tcW w:w="3580" w:type="dxa"/>
            <w:vAlign w:val="bottom"/>
            <w:gridSpan w:val="2"/>
            <w:shd w:val="clear" w:color="auto" w:fill="E5E5E5"/>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18"/>
              <w:spacing w:after="0" w:line="175" w:lineRule="exact"/>
              <w:rPr>
                <w:sz w:val="20"/>
                <w:szCs w:val="20"/>
                <w:color w:val="auto"/>
              </w:rPr>
            </w:pPr>
            <w:r>
              <w:rPr>
                <w:rFonts w:ascii="Arial" w:cs="Arial" w:eastAsia="Arial" w:hAnsi="Arial"/>
                <w:sz w:val="16"/>
                <w:szCs w:val="16"/>
                <w:color w:val="auto"/>
              </w:rPr>
              <w:t>(432,099)</w:t>
            </w:r>
          </w:p>
        </w:tc>
        <w:tc>
          <w:tcPr>
            <w:tcW w:w="160" w:type="dxa"/>
            <w:vAlign w:val="bottom"/>
            <w:gridSpan w:val="2"/>
            <w:shd w:val="clear" w:color="auto" w:fill="E5E5E5"/>
          </w:tcPr>
          <w:p>
            <w:pPr>
              <w:jc w:val="right"/>
              <w:spacing w:after="0" w:line="175" w:lineRule="exact"/>
              <w:rPr>
                <w:sz w:val="20"/>
                <w:szCs w:val="20"/>
                <w:color w:val="auto"/>
              </w:rPr>
            </w:pPr>
            <w:r>
              <w:rPr>
                <w:rFonts w:ascii="Arial" w:cs="Arial" w:eastAsia="Arial" w:hAnsi="Arial"/>
                <w:sz w:val="16"/>
                <w:szCs w:val="16"/>
                <w:color w:val="auto"/>
              </w:rPr>
              <w:t>$</w:t>
            </w:r>
          </w:p>
        </w:tc>
        <w:tc>
          <w:tcPr>
            <w:tcW w:w="720" w:type="dxa"/>
            <w:vAlign w:val="bottom"/>
            <w:gridSpan w:val="3"/>
            <w:shd w:val="clear" w:color="auto" w:fill="E5E5E5"/>
          </w:tcPr>
          <w:p>
            <w:pPr>
              <w:jc w:val="right"/>
              <w:spacing w:after="0" w:line="175" w:lineRule="exact"/>
              <w:rPr>
                <w:sz w:val="20"/>
                <w:szCs w:val="20"/>
                <w:color w:val="auto"/>
              </w:rPr>
            </w:pPr>
            <w:r>
              <w:rPr>
                <w:rFonts w:ascii="Arial" w:cs="Arial" w:eastAsia="Arial" w:hAnsi="Arial"/>
                <w:sz w:val="16"/>
                <w:szCs w:val="16"/>
                <w:color w:val="auto"/>
              </w:rPr>
              <w:t>(923,775)</w:t>
            </w:r>
          </w:p>
        </w:tc>
      </w:tr>
      <w:tr>
        <w:trPr>
          <w:trHeight w:val="437"/>
        </w:trPr>
        <w:tc>
          <w:tcPr>
            <w:tcW w:w="4800" w:type="dxa"/>
            <w:vAlign w:val="bottom"/>
          </w:tcPr>
          <w:p>
            <w:pPr>
              <w:spacing w:after="0"/>
              <w:rPr>
                <w:sz w:val="24"/>
                <w:szCs w:val="24"/>
                <w:color w:val="auto"/>
              </w:rPr>
            </w:pPr>
          </w:p>
        </w:tc>
        <w:tc>
          <w:tcPr>
            <w:tcW w:w="4400" w:type="dxa"/>
            <w:vAlign w:val="bottom"/>
            <w:gridSpan w:val="4"/>
          </w:tcPr>
          <w:p>
            <w:pPr>
              <w:jc w:val="right"/>
              <w:spacing w:after="0"/>
              <w:rPr>
                <w:sz w:val="20"/>
                <w:szCs w:val="20"/>
                <w:color w:val="auto"/>
              </w:rPr>
            </w:pPr>
            <w:r>
              <w:rPr>
                <w:rFonts w:ascii="Arial" w:cs="Arial" w:eastAsia="Arial" w:hAnsi="Arial"/>
                <w:sz w:val="18"/>
                <w:szCs w:val="18"/>
                <w:b w:val="1"/>
                <w:bCs w:val="1"/>
                <w:color w:val="CF0A2C"/>
              </w:rPr>
              <w:t xml:space="preserve">Sabre Corporation  </w:t>
            </w:r>
            <w:r>
              <w:rPr>
                <w:rFonts w:ascii="Arial" w:cs="Arial" w:eastAsia="Arial" w:hAnsi="Arial"/>
                <w:sz w:val="18"/>
                <w:szCs w:val="18"/>
                <w:color w:val="CF0A2C"/>
              </w:rPr>
              <w:t>2023 Proxy Statement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3"/>
                <w:szCs w:val="23"/>
                <w:color w:val="666666"/>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B-3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6146165</wp:posOffset>
            </wp:positionH>
            <wp:positionV relativeFrom="paragraph">
              <wp:posOffset>-394335</wp:posOffset>
            </wp:positionV>
            <wp:extent cx="15875" cy="1174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5875" cy="1174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-394335</wp:posOffset>
            </wp:positionV>
            <wp:extent cx="15875" cy="1174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5875" cy="1174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-3314700</wp:posOffset>
            </wp:positionV>
            <wp:extent cx="643890" cy="27552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43890" cy="2755265"/>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-143510</wp:posOffset>
            </wp:positionV>
            <wp:extent cx="415925" cy="1022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60"/>
          </w:cols>
          <w:pgMar w:left="320" w:top="453" w:right="9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331"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FFFFFF"/>
          <w:shd w:val="clear" w:color="auto" w:fill="66666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165100</wp:posOffset>
            </wp:positionV>
            <wp:extent cx="1256030" cy="18605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56030" cy="1860550"/>
                    </a:xfrm>
                    <a:prstGeom prst="rect">
                      <a:avLst/>
                    </a:prstGeom>
                    <a:noFill/>
                  </pic:spPr>
                </pic:pic>
              </a:graphicData>
            </a:graphic>
          </wp:anchor>
        </w:drawing>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8120" w:type="dxa"/>
            <w:vAlign w:val="bottom"/>
            <w:shd w:val="clear" w:color="auto" w:fill="666666"/>
          </w:tcPr>
          <w:p>
            <w:pPr>
              <w:spacing w:after="0"/>
              <w:rPr>
                <w:sz w:val="19"/>
                <w:szCs w:val="19"/>
                <w:color w:val="auto"/>
              </w:rPr>
            </w:pPr>
          </w:p>
        </w:tc>
        <w:tc>
          <w:tcPr>
            <w:tcW w:w="1960" w:type="dxa"/>
            <w:vAlign w:val="bottom"/>
            <w:gridSpan w:val="8"/>
            <w:shd w:val="clear" w:color="auto" w:fill="666666"/>
          </w:tcPr>
          <w:p>
            <w:pPr>
              <w:jc w:val="right"/>
              <w:spacing w:after="0"/>
              <w:rPr>
                <w:sz w:val="20"/>
                <w:szCs w:val="20"/>
                <w:color w:val="auto"/>
              </w:rPr>
            </w:pPr>
            <w:r>
              <w:rPr>
                <w:rFonts w:ascii="Arial" w:cs="Arial" w:eastAsia="Arial" w:hAnsi="Arial"/>
                <w:sz w:val="15"/>
                <w:szCs w:val="15"/>
                <w:b w:val="1"/>
                <w:bCs w:val="1"/>
                <w:color w:val="FFFFFF"/>
              </w:rPr>
              <w:t>Year Ended December 31,</w:t>
            </w:r>
          </w:p>
        </w:tc>
      </w:tr>
      <w:tr>
        <w:trPr>
          <w:trHeight w:val="292"/>
        </w:trPr>
        <w:tc>
          <w:tcPr>
            <w:tcW w:w="8120" w:type="dxa"/>
            <w:vAlign w:val="bottom"/>
            <w:shd w:val="clear" w:color="auto" w:fill="666666"/>
          </w:tcPr>
          <w:p>
            <w:pPr>
              <w:spacing w:after="0"/>
              <w:rPr>
                <w:sz w:val="24"/>
                <w:szCs w:val="24"/>
                <w:color w:val="auto"/>
              </w:rPr>
            </w:pPr>
          </w:p>
        </w:tc>
        <w:tc>
          <w:tcPr>
            <w:tcW w:w="920" w:type="dxa"/>
            <w:vAlign w:val="bottom"/>
            <w:gridSpan w:val="3"/>
            <w:shd w:val="clear" w:color="auto" w:fill="666666"/>
          </w:tcPr>
          <w:p>
            <w:pPr>
              <w:jc w:val="right"/>
              <w:ind w:right="118"/>
              <w:spacing w:after="0"/>
              <w:rPr>
                <w:sz w:val="20"/>
                <w:szCs w:val="20"/>
                <w:color w:val="auto"/>
              </w:rPr>
            </w:pPr>
            <w:r>
              <w:rPr>
                <w:rFonts w:ascii="Arial" w:cs="Arial" w:eastAsia="Arial" w:hAnsi="Arial"/>
                <w:sz w:val="15"/>
                <w:szCs w:val="15"/>
                <w:b w:val="1"/>
                <w:bCs w:val="1"/>
                <w:color w:val="FFFFFF"/>
              </w:rPr>
              <w:t>2022</w:t>
            </w:r>
          </w:p>
        </w:tc>
        <w:tc>
          <w:tcPr>
            <w:tcW w:w="20" w:type="dxa"/>
            <w:vAlign w:val="bottom"/>
            <w:shd w:val="clear" w:color="auto" w:fill="666666"/>
          </w:tcPr>
          <w:p>
            <w:pPr>
              <w:spacing w:after="0"/>
              <w:rPr>
                <w:sz w:val="24"/>
                <w:szCs w:val="24"/>
                <w:color w:val="auto"/>
              </w:rPr>
            </w:pPr>
          </w:p>
        </w:tc>
        <w:tc>
          <w:tcPr>
            <w:tcW w:w="120" w:type="dxa"/>
            <w:vAlign w:val="bottom"/>
            <w:shd w:val="clear" w:color="auto" w:fill="666666"/>
          </w:tcPr>
          <w:p>
            <w:pPr>
              <w:spacing w:after="0"/>
              <w:rPr>
                <w:sz w:val="24"/>
                <w:szCs w:val="24"/>
                <w:color w:val="auto"/>
              </w:rPr>
            </w:pPr>
          </w:p>
        </w:tc>
        <w:tc>
          <w:tcPr>
            <w:tcW w:w="840" w:type="dxa"/>
            <w:vAlign w:val="bottom"/>
            <w:gridSpan w:val="2"/>
            <w:shd w:val="clear" w:color="auto" w:fill="666666"/>
          </w:tcPr>
          <w:p>
            <w:pPr>
              <w:jc w:val="right"/>
              <w:ind w:right="118"/>
              <w:spacing w:after="0"/>
              <w:rPr>
                <w:sz w:val="20"/>
                <w:szCs w:val="20"/>
                <w:color w:val="auto"/>
              </w:rPr>
            </w:pPr>
            <w:r>
              <w:rPr>
                <w:rFonts w:ascii="Arial" w:cs="Arial" w:eastAsia="Arial" w:hAnsi="Arial"/>
                <w:sz w:val="15"/>
                <w:szCs w:val="15"/>
                <w:b w:val="1"/>
                <w:bCs w:val="1"/>
                <w:color w:val="FFFFFF"/>
              </w:rPr>
              <w:t>2021</w:t>
            </w:r>
          </w:p>
        </w:tc>
        <w:tc>
          <w:tcPr>
            <w:tcW w:w="60" w:type="dxa"/>
            <w:vAlign w:val="bottom"/>
            <w:shd w:val="clear" w:color="auto" w:fill="666666"/>
          </w:tcPr>
          <w:p>
            <w:pPr>
              <w:spacing w:after="0"/>
              <w:rPr>
                <w:sz w:val="24"/>
                <w:szCs w:val="24"/>
                <w:color w:val="auto"/>
              </w:rPr>
            </w:pPr>
          </w:p>
        </w:tc>
      </w:tr>
      <w:tr>
        <w:trPr>
          <w:trHeight w:val="185"/>
        </w:trPr>
        <w:tc>
          <w:tcPr>
            <w:tcW w:w="8120" w:type="dxa"/>
            <w:vAlign w:val="bottom"/>
            <w:shd w:val="clear" w:color="auto" w:fill="E5E5E5"/>
          </w:tcPr>
          <w:p>
            <w:pPr>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5"/>
        </w:trPr>
        <w:tc>
          <w:tcPr>
            <w:tcW w:w="8120" w:type="dxa"/>
            <w:vAlign w:val="bottom"/>
          </w:tcPr>
          <w:p>
            <w:pPr>
              <w:ind w:left="160"/>
              <w:spacing w:after="0" w:line="186" w:lineRule="exact"/>
              <w:rPr>
                <w:sz w:val="20"/>
                <w:szCs w:val="20"/>
                <w:color w:val="auto"/>
              </w:rPr>
            </w:pPr>
            <w:r>
              <w:rPr>
                <w:rFonts w:ascii="Arial" w:cs="Arial" w:eastAsia="Arial" w:hAnsi="Arial"/>
                <w:sz w:val="15"/>
                <w:szCs w:val="15"/>
                <w:color w:val="auto"/>
              </w:rPr>
              <w:t>Depreciation and amortization of property and equipment</w:t>
            </w:r>
            <w:r>
              <w:rPr>
                <w:rFonts w:ascii="Arial" w:cs="Arial" w:eastAsia="Arial" w:hAnsi="Arial"/>
                <w:sz w:val="21"/>
                <w:szCs w:val="21"/>
                <w:color w:val="auto"/>
                <w:vertAlign w:val="superscript"/>
              </w:rPr>
              <w:t>(3b)</w:t>
            </w: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96,397</w:t>
            </w:r>
          </w:p>
        </w:tc>
        <w:tc>
          <w:tcPr>
            <w:tcW w:w="1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163,291</w:t>
            </w:r>
          </w:p>
        </w:tc>
        <w:tc>
          <w:tcPr>
            <w:tcW w:w="60" w:type="dxa"/>
            <w:vAlign w:val="bottom"/>
          </w:tcPr>
          <w:p>
            <w:pPr>
              <w:spacing w:after="0"/>
              <w:rPr>
                <w:sz w:val="16"/>
                <w:szCs w:val="16"/>
                <w:color w:val="auto"/>
              </w:rPr>
            </w:pPr>
          </w:p>
        </w:tc>
      </w:tr>
      <w:tr>
        <w:trPr>
          <w:trHeight w:val="185"/>
        </w:trPr>
        <w:tc>
          <w:tcPr>
            <w:tcW w:w="812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Amortization of capitalized implementation costs</w:t>
            </w:r>
            <w:r>
              <w:rPr>
                <w:rFonts w:ascii="Arial" w:cs="Arial" w:eastAsia="Arial" w:hAnsi="Arial"/>
                <w:sz w:val="21"/>
                <w:szCs w:val="21"/>
                <w:color w:val="auto"/>
                <w:vertAlign w:val="superscript"/>
              </w:rPr>
              <w:t>(3c)</w:t>
            </w:r>
          </w:p>
        </w:tc>
        <w:tc>
          <w:tcPr>
            <w:tcW w:w="940" w:type="dxa"/>
            <w:vAlign w:val="bottom"/>
            <w:gridSpan w:val="4"/>
            <w:shd w:val="clear" w:color="auto" w:fill="E5E5E5"/>
          </w:tcPr>
          <w:p>
            <w:pPr>
              <w:jc w:val="right"/>
              <w:ind w:right="20"/>
              <w:spacing w:after="0"/>
              <w:rPr>
                <w:sz w:val="20"/>
                <w:szCs w:val="20"/>
                <w:color w:val="auto"/>
              </w:rPr>
            </w:pPr>
            <w:r>
              <w:rPr>
                <w:rFonts w:ascii="Arial" w:cs="Arial" w:eastAsia="Arial" w:hAnsi="Arial"/>
                <w:sz w:val="16"/>
                <w:szCs w:val="16"/>
                <w:color w:val="auto"/>
              </w:rPr>
              <w:t>36,982</w:t>
            </w:r>
          </w:p>
        </w:tc>
        <w:tc>
          <w:tcPr>
            <w:tcW w:w="120" w:type="dxa"/>
            <w:vAlign w:val="bottom"/>
            <w:shd w:val="clear" w:color="auto" w:fill="E5E5E5"/>
          </w:tcPr>
          <w:p>
            <w:pPr>
              <w:spacing w:after="0"/>
              <w:rPr>
                <w:sz w:val="16"/>
                <w:szCs w:val="16"/>
                <w:color w:val="auto"/>
              </w:rPr>
            </w:pP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34,750</w:t>
            </w:r>
          </w:p>
        </w:tc>
      </w:tr>
      <w:tr>
        <w:trPr>
          <w:trHeight w:val="185"/>
        </w:trPr>
        <w:tc>
          <w:tcPr>
            <w:tcW w:w="8120" w:type="dxa"/>
            <w:vAlign w:val="bottom"/>
          </w:tcPr>
          <w:p>
            <w:pPr>
              <w:ind w:left="160"/>
              <w:spacing w:after="0" w:line="186" w:lineRule="exact"/>
              <w:rPr>
                <w:sz w:val="20"/>
                <w:szCs w:val="20"/>
                <w:color w:val="auto"/>
              </w:rPr>
            </w:pPr>
            <w:r>
              <w:rPr>
                <w:rFonts w:ascii="Arial" w:cs="Arial" w:eastAsia="Arial" w:hAnsi="Arial"/>
                <w:sz w:val="15"/>
                <w:szCs w:val="15"/>
                <w:color w:val="auto"/>
              </w:rPr>
              <w:t>Acquisition-related amortization</w:t>
            </w:r>
            <w:r>
              <w:rPr>
                <w:rFonts w:ascii="Arial" w:cs="Arial" w:eastAsia="Arial" w:hAnsi="Arial"/>
                <w:sz w:val="21"/>
                <w:szCs w:val="21"/>
                <w:color w:val="auto"/>
                <w:vertAlign w:val="superscript"/>
              </w:rPr>
              <w:t>(3a)</w:t>
            </w: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51,254</w:t>
            </w: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64,144</w:t>
            </w:r>
          </w:p>
        </w:tc>
      </w:tr>
      <w:tr>
        <w:trPr>
          <w:trHeight w:val="185"/>
        </w:trPr>
        <w:tc>
          <w:tcPr>
            <w:tcW w:w="812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Impairment and related charges</w:t>
            </w:r>
            <w:r>
              <w:rPr>
                <w:rFonts w:ascii="Arial" w:cs="Arial" w:eastAsia="Arial" w:hAnsi="Arial"/>
                <w:sz w:val="21"/>
                <w:szCs w:val="21"/>
                <w:color w:val="auto"/>
                <w:vertAlign w:val="superscript"/>
              </w:rPr>
              <w:t>(2)</w:t>
            </w:r>
          </w:p>
        </w:tc>
        <w:tc>
          <w:tcPr>
            <w:tcW w:w="940" w:type="dxa"/>
            <w:vAlign w:val="bottom"/>
            <w:gridSpan w:val="4"/>
            <w:shd w:val="clear" w:color="auto" w:fill="E5E5E5"/>
          </w:tcPr>
          <w:p>
            <w:pPr>
              <w:jc w:val="right"/>
              <w:ind w:right="20"/>
              <w:spacing w:after="0"/>
              <w:rPr>
                <w:sz w:val="20"/>
                <w:szCs w:val="20"/>
                <w:color w:val="auto"/>
              </w:rPr>
            </w:pPr>
            <w:r>
              <w:rPr>
                <w:rFonts w:ascii="Arial" w:cs="Arial" w:eastAsia="Arial" w:hAnsi="Arial"/>
                <w:sz w:val="16"/>
                <w:szCs w:val="16"/>
                <w:color w:val="auto"/>
              </w:rPr>
              <w:t>5,146</w:t>
            </w: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8120" w:type="dxa"/>
            <w:vAlign w:val="bottom"/>
          </w:tcPr>
          <w:p>
            <w:pPr>
              <w:ind w:left="160"/>
              <w:spacing w:after="0" w:line="186" w:lineRule="exact"/>
              <w:rPr>
                <w:sz w:val="20"/>
                <w:szCs w:val="20"/>
                <w:color w:val="auto"/>
              </w:rPr>
            </w:pPr>
            <w:r>
              <w:rPr>
                <w:rFonts w:ascii="Arial" w:cs="Arial" w:eastAsia="Arial" w:hAnsi="Arial"/>
                <w:sz w:val="15"/>
                <w:szCs w:val="15"/>
                <w:color w:val="auto"/>
              </w:rPr>
              <w:t>Restructuring and other costs</w:t>
            </w:r>
            <w:r>
              <w:rPr>
                <w:rFonts w:ascii="Arial" w:cs="Arial" w:eastAsia="Arial" w:hAnsi="Arial"/>
                <w:sz w:val="21"/>
                <w:szCs w:val="21"/>
                <w:color w:val="auto"/>
                <w:vertAlign w:val="superscript"/>
              </w:rPr>
              <w:t>(5)</w:t>
            </w: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14,500</w:t>
            </w: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(7,608)</w:t>
            </w:r>
          </w:p>
        </w:tc>
      </w:tr>
      <w:tr>
        <w:trPr>
          <w:trHeight w:val="185"/>
        </w:trPr>
        <w:tc>
          <w:tcPr>
            <w:tcW w:w="81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Interest expense, net</w:t>
            </w:r>
          </w:p>
        </w:tc>
        <w:tc>
          <w:tcPr>
            <w:tcW w:w="92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295,231</w:t>
            </w: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257,818</w:t>
            </w:r>
          </w:p>
        </w:tc>
        <w:tc>
          <w:tcPr>
            <w:tcW w:w="60" w:type="dxa"/>
            <w:vAlign w:val="bottom"/>
            <w:shd w:val="clear" w:color="auto" w:fill="E5E5E5"/>
          </w:tcPr>
          <w:p>
            <w:pPr>
              <w:spacing w:after="0"/>
              <w:rPr>
                <w:sz w:val="16"/>
                <w:szCs w:val="16"/>
                <w:color w:val="auto"/>
              </w:rPr>
            </w:pPr>
          </w:p>
        </w:tc>
      </w:tr>
      <w:tr>
        <w:trPr>
          <w:trHeight w:val="185"/>
        </w:trPr>
        <w:tc>
          <w:tcPr>
            <w:tcW w:w="8120" w:type="dxa"/>
            <w:vAlign w:val="bottom"/>
          </w:tcPr>
          <w:p>
            <w:pPr>
              <w:ind w:left="160"/>
              <w:spacing w:after="0" w:line="186" w:lineRule="exact"/>
              <w:rPr>
                <w:sz w:val="20"/>
                <w:szCs w:val="20"/>
                <w:color w:val="auto"/>
              </w:rPr>
            </w:pPr>
            <w:r>
              <w:rPr>
                <w:rFonts w:ascii="Arial" w:cs="Arial" w:eastAsia="Arial" w:hAnsi="Arial"/>
                <w:sz w:val="15"/>
                <w:szCs w:val="15"/>
                <w:color w:val="auto"/>
              </w:rPr>
              <w:t>Other, net</w:t>
            </w:r>
            <w:r>
              <w:rPr>
                <w:rFonts w:ascii="Arial" w:cs="Arial" w:eastAsia="Arial" w:hAnsi="Arial"/>
                <w:sz w:val="21"/>
                <w:szCs w:val="21"/>
                <w:color w:val="auto"/>
                <w:vertAlign w:val="superscript"/>
              </w:rPr>
              <w:t>(4)</w:t>
            </w:r>
          </w:p>
        </w:tc>
        <w:tc>
          <w:tcPr>
            <w:tcW w:w="1060" w:type="dxa"/>
            <w:vAlign w:val="bottom"/>
            <w:gridSpan w:val="5"/>
          </w:tcPr>
          <w:p>
            <w:pPr>
              <w:jc w:val="right"/>
              <w:ind w:right="80"/>
              <w:spacing w:after="0"/>
              <w:rPr>
                <w:sz w:val="20"/>
                <w:szCs w:val="20"/>
                <w:color w:val="auto"/>
              </w:rPr>
            </w:pPr>
            <w:r>
              <w:rPr>
                <w:rFonts w:ascii="Arial" w:cs="Arial" w:eastAsia="Arial" w:hAnsi="Arial"/>
                <w:sz w:val="16"/>
                <w:szCs w:val="16"/>
                <w:color w:val="auto"/>
              </w:rPr>
              <w:t>(136,645)</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1,748</w:t>
            </w:r>
          </w:p>
        </w:tc>
      </w:tr>
      <w:tr>
        <w:trPr>
          <w:trHeight w:val="185"/>
        </w:trPr>
        <w:tc>
          <w:tcPr>
            <w:tcW w:w="81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Loss on extinguishment of debt</w:t>
            </w:r>
          </w:p>
        </w:tc>
        <w:tc>
          <w:tcPr>
            <w:tcW w:w="940" w:type="dxa"/>
            <w:vAlign w:val="bottom"/>
            <w:gridSpan w:val="4"/>
            <w:shd w:val="clear" w:color="auto" w:fill="E5E5E5"/>
          </w:tcPr>
          <w:p>
            <w:pPr>
              <w:jc w:val="right"/>
              <w:ind w:right="20"/>
              <w:spacing w:after="0"/>
              <w:rPr>
                <w:sz w:val="20"/>
                <w:szCs w:val="20"/>
                <w:color w:val="auto"/>
              </w:rPr>
            </w:pPr>
            <w:r>
              <w:rPr>
                <w:rFonts w:ascii="Arial" w:cs="Arial" w:eastAsia="Arial" w:hAnsi="Arial"/>
                <w:sz w:val="16"/>
                <w:szCs w:val="16"/>
                <w:color w:val="auto"/>
              </w:rPr>
              <w:t>4,473</w:t>
            </w:r>
          </w:p>
        </w:tc>
        <w:tc>
          <w:tcPr>
            <w:tcW w:w="120" w:type="dxa"/>
            <w:vAlign w:val="bottom"/>
            <w:shd w:val="clear" w:color="auto" w:fill="E5E5E5"/>
          </w:tcPr>
          <w:p>
            <w:pPr>
              <w:spacing w:after="0"/>
              <w:rPr>
                <w:sz w:val="16"/>
                <w:szCs w:val="16"/>
                <w:color w:val="auto"/>
              </w:rPr>
            </w:pP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13,070</w:t>
            </w:r>
          </w:p>
        </w:tc>
      </w:tr>
      <w:tr>
        <w:trPr>
          <w:trHeight w:val="185"/>
        </w:trPr>
        <w:tc>
          <w:tcPr>
            <w:tcW w:w="8120" w:type="dxa"/>
            <w:vAlign w:val="bottom"/>
          </w:tcPr>
          <w:p>
            <w:pPr>
              <w:ind w:left="160"/>
              <w:spacing w:after="0" w:line="186" w:lineRule="exact"/>
              <w:rPr>
                <w:sz w:val="20"/>
                <w:szCs w:val="20"/>
                <w:color w:val="auto"/>
              </w:rPr>
            </w:pPr>
            <w:r>
              <w:rPr>
                <w:rFonts w:ascii="Arial" w:cs="Arial" w:eastAsia="Arial" w:hAnsi="Arial"/>
                <w:sz w:val="15"/>
                <w:szCs w:val="15"/>
                <w:color w:val="auto"/>
              </w:rPr>
              <w:t>Acquisition-related costs</w:t>
            </w:r>
            <w:r>
              <w:rPr>
                <w:rFonts w:ascii="Arial" w:cs="Arial" w:eastAsia="Arial" w:hAnsi="Arial"/>
                <w:sz w:val="21"/>
                <w:szCs w:val="21"/>
                <w:color w:val="auto"/>
                <w:vertAlign w:val="superscript"/>
              </w:rPr>
              <w:t>(6)</w:t>
            </w: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6,854</w:t>
            </w: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6,744</w:t>
            </w:r>
          </w:p>
        </w:tc>
      </w:tr>
      <w:tr>
        <w:trPr>
          <w:trHeight w:val="185"/>
        </w:trPr>
        <w:tc>
          <w:tcPr>
            <w:tcW w:w="8120" w:type="dxa"/>
            <w:vAlign w:val="bottom"/>
            <w:shd w:val="clear" w:color="auto" w:fill="E5E5E5"/>
          </w:tcPr>
          <w:p>
            <w:pPr>
              <w:ind w:left="160"/>
              <w:spacing w:after="0" w:line="186" w:lineRule="exact"/>
              <w:rPr>
                <w:sz w:val="20"/>
                <w:szCs w:val="20"/>
                <w:color w:val="auto"/>
              </w:rPr>
            </w:pPr>
            <w:r>
              <w:rPr>
                <w:rFonts w:ascii="Arial" w:cs="Arial" w:eastAsia="Arial" w:hAnsi="Arial"/>
                <w:sz w:val="15"/>
                <w:szCs w:val="15"/>
                <w:color w:val="auto"/>
              </w:rPr>
              <w:t>Litigation costs, net</w:t>
            </w:r>
            <w:r>
              <w:rPr>
                <w:rFonts w:ascii="Arial" w:cs="Arial" w:eastAsia="Arial" w:hAnsi="Arial"/>
                <w:sz w:val="21"/>
                <w:szCs w:val="21"/>
                <w:color w:val="auto"/>
                <w:vertAlign w:val="superscript"/>
              </w:rPr>
              <w:t>(7)</w:t>
            </w:r>
          </w:p>
        </w:tc>
        <w:tc>
          <w:tcPr>
            <w:tcW w:w="940" w:type="dxa"/>
            <w:vAlign w:val="bottom"/>
            <w:gridSpan w:val="4"/>
            <w:shd w:val="clear" w:color="auto" w:fill="E5E5E5"/>
          </w:tcPr>
          <w:p>
            <w:pPr>
              <w:jc w:val="right"/>
              <w:ind w:right="20"/>
              <w:spacing w:after="0"/>
              <w:rPr>
                <w:sz w:val="20"/>
                <w:szCs w:val="20"/>
                <w:color w:val="auto"/>
              </w:rPr>
            </w:pPr>
            <w:r>
              <w:rPr>
                <w:rFonts w:ascii="Arial" w:cs="Arial" w:eastAsia="Arial" w:hAnsi="Arial"/>
                <w:sz w:val="16"/>
                <w:szCs w:val="16"/>
                <w:color w:val="auto"/>
              </w:rPr>
              <w:t>31,706</w:t>
            </w:r>
          </w:p>
        </w:tc>
        <w:tc>
          <w:tcPr>
            <w:tcW w:w="120" w:type="dxa"/>
            <w:vAlign w:val="bottom"/>
            <w:shd w:val="clear" w:color="auto" w:fill="E5E5E5"/>
          </w:tcPr>
          <w:p>
            <w:pPr>
              <w:spacing w:after="0"/>
              <w:rPr>
                <w:sz w:val="16"/>
                <w:szCs w:val="16"/>
                <w:color w:val="auto"/>
              </w:rPr>
            </w:pP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22,262</w:t>
            </w:r>
          </w:p>
        </w:tc>
      </w:tr>
      <w:tr>
        <w:trPr>
          <w:trHeight w:val="185"/>
        </w:trPr>
        <w:tc>
          <w:tcPr>
            <w:tcW w:w="812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82,872</w:t>
            </w:r>
          </w:p>
        </w:tc>
        <w:tc>
          <w:tcPr>
            <w:tcW w:w="1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120,892</w:t>
            </w:r>
          </w:p>
        </w:tc>
        <w:tc>
          <w:tcPr>
            <w:tcW w:w="60" w:type="dxa"/>
            <w:vAlign w:val="bottom"/>
          </w:tcPr>
          <w:p>
            <w:pPr>
              <w:spacing w:after="0"/>
              <w:rPr>
                <w:sz w:val="16"/>
                <w:szCs w:val="16"/>
                <w:color w:val="auto"/>
              </w:rPr>
            </w:pPr>
          </w:p>
        </w:tc>
      </w:tr>
      <w:tr>
        <w:trPr>
          <w:trHeight w:val="185"/>
        </w:trPr>
        <w:tc>
          <w:tcPr>
            <w:tcW w:w="81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Provision (benefit) for income taxes</w:t>
            </w:r>
          </w:p>
        </w:tc>
        <w:tc>
          <w:tcPr>
            <w:tcW w:w="940" w:type="dxa"/>
            <w:vAlign w:val="bottom"/>
            <w:gridSpan w:val="4"/>
            <w:shd w:val="clear" w:color="auto" w:fill="E5E5E5"/>
          </w:tcPr>
          <w:p>
            <w:pPr>
              <w:jc w:val="right"/>
              <w:ind w:right="20"/>
              <w:spacing w:after="0"/>
              <w:rPr>
                <w:sz w:val="20"/>
                <w:szCs w:val="20"/>
                <w:color w:val="auto"/>
              </w:rPr>
            </w:pPr>
            <w:r>
              <w:rPr>
                <w:rFonts w:ascii="Arial" w:cs="Arial" w:eastAsia="Arial" w:hAnsi="Arial"/>
                <w:sz w:val="16"/>
                <w:szCs w:val="16"/>
                <w:color w:val="auto"/>
              </w:rPr>
              <w:t>8,666</w:t>
            </w:r>
          </w:p>
        </w:tc>
        <w:tc>
          <w:tcPr>
            <w:tcW w:w="120" w:type="dxa"/>
            <w:vAlign w:val="bottom"/>
            <w:shd w:val="clear" w:color="auto" w:fill="E5E5E5"/>
          </w:tcPr>
          <w:p>
            <w:pPr>
              <w:spacing w:after="0"/>
              <w:rPr>
                <w:sz w:val="16"/>
                <w:szCs w:val="16"/>
                <w:color w:val="auto"/>
              </w:rPr>
            </w:pP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(14,612)</w:t>
            </w:r>
          </w:p>
        </w:tc>
      </w:tr>
      <w:tr>
        <w:trPr>
          <w:trHeight w:val="190"/>
        </w:trPr>
        <w:tc>
          <w:tcPr>
            <w:tcW w:w="8120" w:type="dxa"/>
            <w:vAlign w:val="bottom"/>
          </w:tcPr>
          <w:p>
            <w:pPr>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65,337</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(261,276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Reconciliation of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147955</wp:posOffset>
            </wp:positionV>
            <wp:extent cx="2371090" cy="7931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371090" cy="793115"/>
                    </a:xfrm>
                    <a:prstGeom prst="rect">
                      <a:avLst/>
                    </a:prstGeom>
                    <a:noFill/>
                  </pic:spPr>
                </pic:pic>
              </a:graphicData>
            </a:graphic>
          </wp:anchor>
        </w:drawing>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6360" w:type="dxa"/>
            <w:vAlign w:val="bottom"/>
            <w:shd w:val="clear" w:color="auto" w:fill="666666"/>
          </w:tcPr>
          <w:p>
            <w:pPr>
              <w:spacing w:after="0"/>
              <w:rPr>
                <w:sz w:val="17"/>
                <w:szCs w:val="17"/>
                <w:color w:val="auto"/>
              </w:rPr>
            </w:pPr>
          </w:p>
        </w:tc>
        <w:tc>
          <w:tcPr>
            <w:tcW w:w="160" w:type="dxa"/>
            <w:vAlign w:val="bottom"/>
            <w:shd w:val="clear" w:color="auto" w:fill="666666"/>
          </w:tcPr>
          <w:p>
            <w:pPr>
              <w:spacing w:after="0"/>
              <w:rPr>
                <w:sz w:val="17"/>
                <w:szCs w:val="17"/>
                <w:color w:val="auto"/>
              </w:rPr>
            </w:pPr>
          </w:p>
        </w:tc>
        <w:tc>
          <w:tcPr>
            <w:tcW w:w="1700" w:type="dxa"/>
            <w:vAlign w:val="bottom"/>
            <w:gridSpan w:val="5"/>
            <w:shd w:val="clear" w:color="auto" w:fill="666666"/>
          </w:tcPr>
          <w:p>
            <w:pPr>
              <w:jc w:val="center"/>
              <w:ind w:right="140"/>
              <w:spacing w:after="0"/>
              <w:rPr>
                <w:sz w:val="20"/>
                <w:szCs w:val="20"/>
                <w:color w:val="auto"/>
              </w:rPr>
            </w:pPr>
            <w:r>
              <w:rPr>
                <w:rFonts w:ascii="Arial" w:cs="Arial" w:eastAsia="Arial" w:hAnsi="Arial"/>
                <w:sz w:val="15"/>
                <w:szCs w:val="15"/>
                <w:b w:val="1"/>
                <w:bCs w:val="1"/>
                <w:color w:val="FFFFFF"/>
                <w:w w:val="99"/>
              </w:rPr>
              <w:t>Three Months Ended</w:t>
            </w:r>
          </w:p>
        </w:tc>
        <w:tc>
          <w:tcPr>
            <w:tcW w:w="80" w:type="dxa"/>
            <w:vAlign w:val="bottom"/>
            <w:shd w:val="clear" w:color="auto" w:fill="666666"/>
          </w:tcPr>
          <w:p>
            <w:pPr>
              <w:spacing w:after="0"/>
              <w:rPr>
                <w:sz w:val="17"/>
                <w:szCs w:val="17"/>
                <w:color w:val="auto"/>
              </w:rPr>
            </w:pPr>
          </w:p>
        </w:tc>
        <w:tc>
          <w:tcPr>
            <w:tcW w:w="1780" w:type="dxa"/>
            <w:vAlign w:val="bottom"/>
            <w:gridSpan w:val="5"/>
            <w:shd w:val="clear" w:color="auto" w:fill="666666"/>
          </w:tcPr>
          <w:p>
            <w:pPr>
              <w:jc w:val="center"/>
              <w:ind w:right="40"/>
              <w:spacing w:after="0"/>
              <w:rPr>
                <w:sz w:val="20"/>
                <w:szCs w:val="20"/>
                <w:color w:val="auto"/>
              </w:rPr>
            </w:pPr>
            <w:r>
              <w:rPr>
                <w:rFonts w:ascii="Arial" w:cs="Arial" w:eastAsia="Arial" w:hAnsi="Arial"/>
                <w:sz w:val="15"/>
                <w:szCs w:val="15"/>
                <w:b w:val="1"/>
                <w:bCs w:val="1"/>
                <w:color w:val="FFFFFF"/>
                <w:w w:val="99"/>
              </w:rPr>
              <w:t>Year Ended</w:t>
            </w:r>
          </w:p>
        </w:tc>
      </w:tr>
      <w:tr>
        <w:trPr>
          <w:trHeight w:val="202"/>
        </w:trPr>
        <w:tc>
          <w:tcPr>
            <w:tcW w:w="6360" w:type="dxa"/>
            <w:vAlign w:val="bottom"/>
            <w:shd w:val="clear" w:color="auto" w:fill="666666"/>
          </w:tcPr>
          <w:p>
            <w:pPr>
              <w:spacing w:after="0"/>
              <w:rPr>
                <w:sz w:val="17"/>
                <w:szCs w:val="17"/>
                <w:color w:val="auto"/>
              </w:rPr>
            </w:pPr>
          </w:p>
        </w:tc>
        <w:tc>
          <w:tcPr>
            <w:tcW w:w="160" w:type="dxa"/>
            <w:vAlign w:val="bottom"/>
            <w:shd w:val="clear" w:color="auto" w:fill="666666"/>
          </w:tcPr>
          <w:p>
            <w:pPr>
              <w:spacing w:after="0"/>
              <w:rPr>
                <w:sz w:val="17"/>
                <w:szCs w:val="17"/>
                <w:color w:val="auto"/>
              </w:rPr>
            </w:pPr>
          </w:p>
        </w:tc>
        <w:tc>
          <w:tcPr>
            <w:tcW w:w="1700" w:type="dxa"/>
            <w:vAlign w:val="bottom"/>
            <w:gridSpan w:val="5"/>
            <w:shd w:val="clear" w:color="auto" w:fill="666666"/>
          </w:tcPr>
          <w:p>
            <w:pPr>
              <w:jc w:val="center"/>
              <w:ind w:right="140"/>
              <w:spacing w:after="0"/>
              <w:rPr>
                <w:sz w:val="20"/>
                <w:szCs w:val="20"/>
                <w:color w:val="auto"/>
              </w:rPr>
            </w:pPr>
            <w:r>
              <w:rPr>
                <w:rFonts w:ascii="Arial" w:cs="Arial" w:eastAsia="Arial" w:hAnsi="Arial"/>
                <w:sz w:val="15"/>
                <w:szCs w:val="15"/>
                <w:b w:val="1"/>
                <w:bCs w:val="1"/>
                <w:color w:val="FFFFFF"/>
                <w:w w:val="98"/>
              </w:rPr>
              <w:t>December 31,</w:t>
            </w:r>
          </w:p>
        </w:tc>
        <w:tc>
          <w:tcPr>
            <w:tcW w:w="80" w:type="dxa"/>
            <w:vAlign w:val="bottom"/>
            <w:shd w:val="clear" w:color="auto" w:fill="666666"/>
          </w:tcPr>
          <w:p>
            <w:pPr>
              <w:spacing w:after="0"/>
              <w:rPr>
                <w:sz w:val="17"/>
                <w:szCs w:val="17"/>
                <w:color w:val="auto"/>
              </w:rPr>
            </w:pPr>
          </w:p>
        </w:tc>
        <w:tc>
          <w:tcPr>
            <w:tcW w:w="1780" w:type="dxa"/>
            <w:vAlign w:val="bottom"/>
            <w:gridSpan w:val="5"/>
            <w:shd w:val="clear" w:color="auto" w:fill="666666"/>
          </w:tcPr>
          <w:p>
            <w:pPr>
              <w:jc w:val="center"/>
              <w:ind w:right="60"/>
              <w:spacing w:after="0"/>
              <w:rPr>
                <w:sz w:val="20"/>
                <w:szCs w:val="20"/>
                <w:color w:val="auto"/>
              </w:rPr>
            </w:pPr>
            <w:r>
              <w:rPr>
                <w:rFonts w:ascii="Arial" w:cs="Arial" w:eastAsia="Arial" w:hAnsi="Arial"/>
                <w:sz w:val="15"/>
                <w:szCs w:val="15"/>
                <w:b w:val="1"/>
                <w:bCs w:val="1"/>
                <w:color w:val="FFFFFF"/>
                <w:w w:val="98"/>
              </w:rPr>
              <w:t>December 31,</w:t>
            </w:r>
          </w:p>
        </w:tc>
      </w:tr>
      <w:tr>
        <w:trPr>
          <w:trHeight w:val="292"/>
        </w:trPr>
        <w:tc>
          <w:tcPr>
            <w:tcW w:w="6360" w:type="dxa"/>
            <w:vAlign w:val="bottom"/>
            <w:shd w:val="clear" w:color="auto" w:fill="666666"/>
          </w:tcPr>
          <w:p>
            <w:pPr>
              <w:spacing w:after="0"/>
              <w:rPr>
                <w:sz w:val="24"/>
                <w:szCs w:val="24"/>
                <w:color w:val="auto"/>
              </w:rPr>
            </w:pPr>
          </w:p>
        </w:tc>
        <w:tc>
          <w:tcPr>
            <w:tcW w:w="820" w:type="dxa"/>
            <w:vAlign w:val="bottom"/>
            <w:gridSpan w:val="2"/>
            <w:shd w:val="clear" w:color="auto" w:fill="666666"/>
          </w:tcPr>
          <w:p>
            <w:pPr>
              <w:jc w:val="right"/>
              <w:ind w:right="84"/>
              <w:spacing w:after="0"/>
              <w:rPr>
                <w:sz w:val="20"/>
                <w:szCs w:val="20"/>
                <w:color w:val="auto"/>
              </w:rPr>
            </w:pPr>
            <w:r>
              <w:rPr>
                <w:rFonts w:ascii="Arial" w:cs="Arial" w:eastAsia="Arial" w:hAnsi="Arial"/>
                <w:sz w:val="15"/>
                <w:szCs w:val="15"/>
                <w:b w:val="1"/>
                <w:bCs w:val="1"/>
                <w:color w:val="FFFFFF"/>
              </w:rPr>
              <w:t>2022</w:t>
            </w:r>
          </w:p>
        </w:tc>
        <w:tc>
          <w:tcPr>
            <w:tcW w:w="220" w:type="dxa"/>
            <w:vAlign w:val="bottom"/>
            <w:shd w:val="clear" w:color="auto" w:fill="666666"/>
          </w:tcPr>
          <w:p>
            <w:pPr>
              <w:spacing w:after="0"/>
              <w:rPr>
                <w:sz w:val="24"/>
                <w:szCs w:val="24"/>
                <w:color w:val="auto"/>
              </w:rPr>
            </w:pPr>
          </w:p>
        </w:tc>
        <w:tc>
          <w:tcPr>
            <w:tcW w:w="100" w:type="dxa"/>
            <w:vAlign w:val="bottom"/>
            <w:shd w:val="clear" w:color="auto" w:fill="666666"/>
          </w:tcPr>
          <w:p>
            <w:pPr>
              <w:spacing w:after="0"/>
              <w:rPr>
                <w:sz w:val="24"/>
                <w:szCs w:val="24"/>
                <w:color w:val="auto"/>
              </w:rPr>
            </w:pPr>
          </w:p>
        </w:tc>
        <w:tc>
          <w:tcPr>
            <w:tcW w:w="580" w:type="dxa"/>
            <w:vAlign w:val="bottom"/>
            <w:shd w:val="clear" w:color="auto" w:fill="666666"/>
          </w:tcPr>
          <w:p>
            <w:pPr>
              <w:jc w:val="right"/>
              <w:ind w:right="80"/>
              <w:spacing w:after="0"/>
              <w:rPr>
                <w:sz w:val="20"/>
                <w:szCs w:val="20"/>
                <w:color w:val="auto"/>
              </w:rPr>
            </w:pPr>
            <w:r>
              <w:rPr>
                <w:rFonts w:ascii="Arial" w:cs="Arial" w:eastAsia="Arial" w:hAnsi="Arial"/>
                <w:sz w:val="15"/>
                <w:szCs w:val="15"/>
                <w:b w:val="1"/>
                <w:bCs w:val="1"/>
                <w:color w:val="FFFFFF"/>
              </w:rPr>
              <w:t>2021</w:t>
            </w:r>
          </w:p>
        </w:tc>
        <w:tc>
          <w:tcPr>
            <w:tcW w:w="140" w:type="dxa"/>
            <w:vAlign w:val="bottom"/>
            <w:shd w:val="clear" w:color="auto" w:fill="666666"/>
          </w:tcPr>
          <w:p>
            <w:pPr>
              <w:spacing w:after="0"/>
              <w:rPr>
                <w:sz w:val="24"/>
                <w:szCs w:val="24"/>
                <w:color w:val="auto"/>
              </w:rPr>
            </w:pPr>
          </w:p>
        </w:tc>
        <w:tc>
          <w:tcPr>
            <w:tcW w:w="820" w:type="dxa"/>
            <w:vAlign w:val="bottom"/>
            <w:gridSpan w:val="2"/>
            <w:shd w:val="clear" w:color="auto" w:fill="666666"/>
          </w:tcPr>
          <w:p>
            <w:pPr>
              <w:jc w:val="right"/>
              <w:ind w:right="126"/>
              <w:spacing w:after="0"/>
              <w:rPr>
                <w:sz w:val="20"/>
                <w:szCs w:val="20"/>
                <w:color w:val="auto"/>
              </w:rPr>
            </w:pPr>
            <w:r>
              <w:rPr>
                <w:rFonts w:ascii="Arial" w:cs="Arial" w:eastAsia="Arial" w:hAnsi="Arial"/>
                <w:sz w:val="15"/>
                <w:szCs w:val="15"/>
                <w:b w:val="1"/>
                <w:bCs w:val="1"/>
                <w:color w:val="FFFFFF"/>
              </w:rPr>
              <w:t>2022</w:t>
            </w:r>
          </w:p>
        </w:tc>
        <w:tc>
          <w:tcPr>
            <w:tcW w:w="140" w:type="dxa"/>
            <w:vAlign w:val="bottom"/>
            <w:shd w:val="clear" w:color="auto" w:fill="666666"/>
          </w:tcPr>
          <w:p>
            <w:pPr>
              <w:spacing w:after="0"/>
              <w:rPr>
                <w:sz w:val="24"/>
                <w:szCs w:val="24"/>
                <w:color w:val="auto"/>
              </w:rPr>
            </w:pPr>
          </w:p>
        </w:tc>
        <w:tc>
          <w:tcPr>
            <w:tcW w:w="840" w:type="dxa"/>
            <w:vAlign w:val="bottom"/>
            <w:gridSpan w:val="2"/>
            <w:shd w:val="clear" w:color="auto" w:fill="666666"/>
          </w:tcPr>
          <w:p>
            <w:pPr>
              <w:jc w:val="right"/>
              <w:ind w:right="200"/>
              <w:spacing w:after="0"/>
              <w:rPr>
                <w:sz w:val="20"/>
                <w:szCs w:val="20"/>
                <w:color w:val="auto"/>
              </w:rPr>
            </w:pPr>
            <w:r>
              <w:rPr>
                <w:rFonts w:ascii="Arial" w:cs="Arial" w:eastAsia="Arial" w:hAnsi="Arial"/>
                <w:sz w:val="15"/>
                <w:szCs w:val="15"/>
                <w:b w:val="1"/>
                <w:bCs w:val="1"/>
                <w:color w:val="FFFFFF"/>
              </w:rPr>
              <w:t>2021</w:t>
            </w:r>
          </w:p>
        </w:tc>
        <w:tc>
          <w:tcPr>
            <w:tcW w:w="60" w:type="dxa"/>
            <w:vAlign w:val="bottom"/>
            <w:shd w:val="clear" w:color="auto" w:fill="666666"/>
          </w:tcPr>
          <w:p>
            <w:pPr>
              <w:spacing w:after="0"/>
              <w:rPr>
                <w:sz w:val="24"/>
                <w:szCs w:val="24"/>
                <w:color w:val="auto"/>
              </w:rPr>
            </w:pPr>
          </w:p>
        </w:tc>
      </w:tr>
      <w:tr>
        <w:trPr>
          <w:trHeight w:val="185"/>
        </w:trPr>
        <w:tc>
          <w:tcPr>
            <w:tcW w:w="6360" w:type="dxa"/>
            <w:vAlign w:val="bottom"/>
            <w:shd w:val="clear" w:color="auto" w:fill="E5E5E5"/>
          </w:tcPr>
          <w:p>
            <w:pPr>
              <w:spacing w:after="0"/>
              <w:rPr>
                <w:sz w:val="20"/>
                <w:szCs w:val="20"/>
                <w:color w:val="auto"/>
              </w:rPr>
            </w:pPr>
            <w:r>
              <w:rPr>
                <w:rFonts w:ascii="Arial" w:cs="Arial" w:eastAsia="Arial" w:hAnsi="Arial"/>
                <w:sz w:val="16"/>
                <w:szCs w:val="16"/>
                <w:color w:val="auto"/>
              </w:rPr>
              <w:t>Cash provided by (used in) operating activities</w:t>
            </w:r>
          </w:p>
        </w:tc>
        <w:tc>
          <w:tcPr>
            <w:tcW w:w="1040" w:type="dxa"/>
            <w:vAlign w:val="bottom"/>
            <w:gridSpan w:val="3"/>
            <w:shd w:val="clear" w:color="auto" w:fill="E5E5E5"/>
          </w:tcPr>
          <w:p>
            <w:pPr>
              <w:jc w:val="right"/>
              <w:ind w:right="220"/>
              <w:spacing w:after="0"/>
              <w:rPr>
                <w:sz w:val="20"/>
                <w:szCs w:val="20"/>
                <w:color w:val="auto"/>
              </w:rPr>
            </w:pPr>
            <w:r>
              <w:rPr>
                <w:rFonts w:ascii="Arial" w:cs="Arial" w:eastAsia="Arial" w:hAnsi="Arial"/>
                <w:sz w:val="16"/>
                <w:szCs w:val="16"/>
                <w:color w:val="auto"/>
              </w:rPr>
              <w:t>$ 38,312</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(6,502)</w:t>
            </w:r>
          </w:p>
        </w:tc>
        <w:tc>
          <w:tcPr>
            <w:tcW w:w="96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$(276,458)</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$(414,654)</w:t>
            </w:r>
          </w:p>
        </w:tc>
      </w:tr>
      <w:tr>
        <w:trPr>
          <w:trHeight w:val="185"/>
        </w:trPr>
        <w:tc>
          <w:tcPr>
            <w:tcW w:w="6360" w:type="dxa"/>
            <w:vAlign w:val="bottom"/>
          </w:tcPr>
          <w:p>
            <w:pPr>
              <w:spacing w:after="0"/>
              <w:rPr>
                <w:sz w:val="20"/>
                <w:szCs w:val="20"/>
                <w:color w:val="auto"/>
              </w:rPr>
            </w:pPr>
            <w:r>
              <w:rPr>
                <w:rFonts w:ascii="Arial" w:cs="Arial" w:eastAsia="Arial" w:hAnsi="Arial"/>
                <w:sz w:val="16"/>
                <w:szCs w:val="16"/>
                <w:color w:val="auto"/>
              </w:rPr>
              <w:t>Cash (used in) provided by investing activities</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(12,274)</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(23,893)</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173,977</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(29,428)</w:t>
            </w:r>
          </w:p>
        </w:tc>
      </w:tr>
      <w:tr>
        <w:trPr>
          <w:trHeight w:val="185"/>
        </w:trPr>
        <w:tc>
          <w:tcPr>
            <w:tcW w:w="6360" w:type="dxa"/>
            <w:vAlign w:val="bottom"/>
            <w:shd w:val="clear" w:color="auto" w:fill="E5E5E5"/>
          </w:tcPr>
          <w:p>
            <w:pPr>
              <w:spacing w:after="0"/>
              <w:rPr>
                <w:sz w:val="20"/>
                <w:szCs w:val="20"/>
                <w:color w:val="auto"/>
              </w:rPr>
            </w:pPr>
            <w:r>
              <w:rPr>
                <w:rFonts w:ascii="Arial" w:cs="Arial" w:eastAsia="Arial" w:hAnsi="Arial"/>
                <w:sz w:val="16"/>
                <w:szCs w:val="16"/>
                <w:color w:val="auto"/>
              </w:rPr>
              <w:t>Cash used in financing activities</w:t>
            </w:r>
          </w:p>
        </w:tc>
        <w:tc>
          <w:tcPr>
            <w:tcW w:w="1040" w:type="dxa"/>
            <w:vAlign w:val="bottom"/>
            <w:gridSpan w:val="3"/>
            <w:shd w:val="clear" w:color="auto" w:fill="E5E5E5"/>
          </w:tcPr>
          <w:p>
            <w:pPr>
              <w:jc w:val="right"/>
              <w:ind w:right="160"/>
              <w:spacing w:after="0"/>
              <w:rPr>
                <w:sz w:val="20"/>
                <w:szCs w:val="20"/>
                <w:color w:val="auto"/>
              </w:rPr>
            </w:pPr>
            <w:r>
              <w:rPr>
                <w:rFonts w:ascii="Arial" w:cs="Arial" w:eastAsia="Arial" w:hAnsi="Arial"/>
                <w:sz w:val="16"/>
                <w:szCs w:val="16"/>
                <w:color w:val="auto"/>
              </w:rPr>
              <w:t>(13,724)</w:t>
            </w:r>
          </w:p>
        </w:tc>
        <w:tc>
          <w:tcPr>
            <w:tcW w:w="10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(13,545)</w:t>
            </w:r>
          </w:p>
        </w:tc>
        <w:tc>
          <w:tcPr>
            <w:tcW w:w="96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(75,370)</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(50,558)</w:t>
            </w:r>
          </w:p>
        </w:tc>
      </w:tr>
      <w:tr>
        <w:trPr>
          <w:trHeight w:val="223"/>
        </w:trPr>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8"/>
        </w:trPr>
        <w:tc>
          <w:tcPr>
            <w:tcW w:w="6360" w:type="dxa"/>
            <w:vAlign w:val="bottom"/>
            <w:shd w:val="clear" w:color="auto" w:fill="666666"/>
          </w:tcPr>
          <w:p>
            <w:pPr>
              <w:spacing w:after="0"/>
              <w:rPr>
                <w:sz w:val="17"/>
                <w:szCs w:val="17"/>
                <w:color w:val="auto"/>
              </w:rPr>
            </w:pPr>
          </w:p>
        </w:tc>
        <w:tc>
          <w:tcPr>
            <w:tcW w:w="160" w:type="dxa"/>
            <w:vAlign w:val="bottom"/>
            <w:shd w:val="clear" w:color="auto" w:fill="666666"/>
          </w:tcPr>
          <w:p>
            <w:pPr>
              <w:spacing w:after="0"/>
              <w:rPr>
                <w:sz w:val="17"/>
                <w:szCs w:val="17"/>
                <w:color w:val="auto"/>
              </w:rPr>
            </w:pPr>
          </w:p>
        </w:tc>
        <w:tc>
          <w:tcPr>
            <w:tcW w:w="1700" w:type="dxa"/>
            <w:vAlign w:val="bottom"/>
            <w:gridSpan w:val="5"/>
            <w:shd w:val="clear" w:color="auto" w:fill="666666"/>
          </w:tcPr>
          <w:p>
            <w:pPr>
              <w:jc w:val="center"/>
              <w:ind w:right="140"/>
              <w:spacing w:after="0"/>
              <w:rPr>
                <w:sz w:val="20"/>
                <w:szCs w:val="20"/>
                <w:color w:val="auto"/>
              </w:rPr>
            </w:pPr>
            <w:r>
              <w:rPr>
                <w:rFonts w:ascii="Arial" w:cs="Arial" w:eastAsia="Arial" w:hAnsi="Arial"/>
                <w:sz w:val="15"/>
                <w:szCs w:val="15"/>
                <w:b w:val="1"/>
                <w:bCs w:val="1"/>
                <w:color w:val="FFFFFF"/>
                <w:w w:val="99"/>
              </w:rPr>
              <w:t>Three Months Ended</w:t>
            </w:r>
          </w:p>
        </w:tc>
        <w:tc>
          <w:tcPr>
            <w:tcW w:w="80" w:type="dxa"/>
            <w:vAlign w:val="bottom"/>
            <w:shd w:val="clear" w:color="auto" w:fill="666666"/>
          </w:tcPr>
          <w:p>
            <w:pPr>
              <w:spacing w:after="0"/>
              <w:rPr>
                <w:sz w:val="17"/>
                <w:szCs w:val="17"/>
                <w:color w:val="auto"/>
              </w:rPr>
            </w:pPr>
          </w:p>
        </w:tc>
        <w:tc>
          <w:tcPr>
            <w:tcW w:w="1780" w:type="dxa"/>
            <w:vAlign w:val="bottom"/>
            <w:gridSpan w:val="5"/>
            <w:shd w:val="clear" w:color="auto" w:fill="666666"/>
          </w:tcPr>
          <w:p>
            <w:pPr>
              <w:jc w:val="center"/>
              <w:ind w:right="40"/>
              <w:spacing w:after="0"/>
              <w:rPr>
                <w:sz w:val="20"/>
                <w:szCs w:val="20"/>
                <w:color w:val="auto"/>
              </w:rPr>
            </w:pPr>
            <w:r>
              <w:rPr>
                <w:rFonts w:ascii="Arial" w:cs="Arial" w:eastAsia="Arial" w:hAnsi="Arial"/>
                <w:sz w:val="15"/>
                <w:szCs w:val="15"/>
                <w:b w:val="1"/>
                <w:bCs w:val="1"/>
                <w:color w:val="FFFFFF"/>
                <w:w w:val="99"/>
              </w:rPr>
              <w:t>Year Ended</w:t>
            </w:r>
          </w:p>
        </w:tc>
      </w:tr>
      <w:tr>
        <w:trPr>
          <w:trHeight w:val="202"/>
        </w:trPr>
        <w:tc>
          <w:tcPr>
            <w:tcW w:w="6360" w:type="dxa"/>
            <w:vAlign w:val="bottom"/>
            <w:shd w:val="clear" w:color="auto" w:fill="666666"/>
          </w:tcPr>
          <w:p>
            <w:pPr>
              <w:spacing w:after="0"/>
              <w:rPr>
                <w:sz w:val="17"/>
                <w:szCs w:val="17"/>
                <w:color w:val="auto"/>
              </w:rPr>
            </w:pPr>
          </w:p>
        </w:tc>
        <w:tc>
          <w:tcPr>
            <w:tcW w:w="160" w:type="dxa"/>
            <w:vAlign w:val="bottom"/>
            <w:shd w:val="clear" w:color="auto" w:fill="666666"/>
          </w:tcPr>
          <w:p>
            <w:pPr>
              <w:spacing w:after="0"/>
              <w:rPr>
                <w:sz w:val="17"/>
                <w:szCs w:val="17"/>
                <w:color w:val="auto"/>
              </w:rPr>
            </w:pPr>
          </w:p>
        </w:tc>
        <w:tc>
          <w:tcPr>
            <w:tcW w:w="1700" w:type="dxa"/>
            <w:vAlign w:val="bottom"/>
            <w:gridSpan w:val="5"/>
            <w:shd w:val="clear" w:color="auto" w:fill="666666"/>
          </w:tcPr>
          <w:p>
            <w:pPr>
              <w:jc w:val="center"/>
              <w:ind w:right="140"/>
              <w:spacing w:after="0"/>
              <w:rPr>
                <w:sz w:val="20"/>
                <w:szCs w:val="20"/>
                <w:color w:val="auto"/>
              </w:rPr>
            </w:pPr>
            <w:r>
              <w:rPr>
                <w:rFonts w:ascii="Arial" w:cs="Arial" w:eastAsia="Arial" w:hAnsi="Arial"/>
                <w:sz w:val="15"/>
                <w:szCs w:val="15"/>
                <w:b w:val="1"/>
                <w:bCs w:val="1"/>
                <w:color w:val="FFFFFF"/>
                <w:w w:val="98"/>
              </w:rPr>
              <w:t>December 31,</w:t>
            </w:r>
          </w:p>
        </w:tc>
        <w:tc>
          <w:tcPr>
            <w:tcW w:w="80" w:type="dxa"/>
            <w:vAlign w:val="bottom"/>
            <w:shd w:val="clear" w:color="auto" w:fill="666666"/>
          </w:tcPr>
          <w:p>
            <w:pPr>
              <w:spacing w:after="0"/>
              <w:rPr>
                <w:sz w:val="17"/>
                <w:szCs w:val="17"/>
                <w:color w:val="auto"/>
              </w:rPr>
            </w:pPr>
          </w:p>
        </w:tc>
        <w:tc>
          <w:tcPr>
            <w:tcW w:w="1780" w:type="dxa"/>
            <w:vAlign w:val="bottom"/>
            <w:gridSpan w:val="5"/>
            <w:shd w:val="clear" w:color="auto" w:fill="666666"/>
          </w:tcPr>
          <w:p>
            <w:pPr>
              <w:jc w:val="center"/>
              <w:ind w:right="60"/>
              <w:spacing w:after="0"/>
              <w:rPr>
                <w:sz w:val="20"/>
                <w:szCs w:val="20"/>
                <w:color w:val="auto"/>
              </w:rPr>
            </w:pPr>
            <w:r>
              <w:rPr>
                <w:rFonts w:ascii="Arial" w:cs="Arial" w:eastAsia="Arial" w:hAnsi="Arial"/>
                <w:sz w:val="15"/>
                <w:szCs w:val="15"/>
                <w:b w:val="1"/>
                <w:bCs w:val="1"/>
                <w:color w:val="FFFFFF"/>
                <w:w w:val="98"/>
              </w:rPr>
              <w:t>December 31,</w:t>
            </w:r>
          </w:p>
        </w:tc>
      </w:tr>
      <w:tr>
        <w:trPr>
          <w:trHeight w:val="292"/>
        </w:trPr>
        <w:tc>
          <w:tcPr>
            <w:tcW w:w="6360" w:type="dxa"/>
            <w:vAlign w:val="bottom"/>
            <w:shd w:val="clear" w:color="auto" w:fill="666666"/>
          </w:tcPr>
          <w:p>
            <w:pPr>
              <w:spacing w:after="0"/>
              <w:rPr>
                <w:sz w:val="24"/>
                <w:szCs w:val="24"/>
                <w:color w:val="auto"/>
              </w:rPr>
            </w:pPr>
          </w:p>
        </w:tc>
        <w:tc>
          <w:tcPr>
            <w:tcW w:w="820" w:type="dxa"/>
            <w:vAlign w:val="bottom"/>
            <w:gridSpan w:val="2"/>
            <w:shd w:val="clear" w:color="auto" w:fill="666666"/>
          </w:tcPr>
          <w:p>
            <w:pPr>
              <w:jc w:val="right"/>
              <w:ind w:right="84"/>
              <w:spacing w:after="0"/>
              <w:rPr>
                <w:sz w:val="20"/>
                <w:szCs w:val="20"/>
                <w:color w:val="auto"/>
              </w:rPr>
            </w:pPr>
            <w:r>
              <w:rPr>
                <w:rFonts w:ascii="Arial" w:cs="Arial" w:eastAsia="Arial" w:hAnsi="Arial"/>
                <w:sz w:val="15"/>
                <w:szCs w:val="15"/>
                <w:b w:val="1"/>
                <w:bCs w:val="1"/>
                <w:color w:val="FFFFFF"/>
              </w:rPr>
              <w:t>2022</w:t>
            </w:r>
          </w:p>
        </w:tc>
        <w:tc>
          <w:tcPr>
            <w:tcW w:w="220" w:type="dxa"/>
            <w:vAlign w:val="bottom"/>
            <w:shd w:val="clear" w:color="auto" w:fill="666666"/>
          </w:tcPr>
          <w:p>
            <w:pPr>
              <w:spacing w:after="0"/>
              <w:rPr>
                <w:sz w:val="24"/>
                <w:szCs w:val="24"/>
                <w:color w:val="auto"/>
              </w:rPr>
            </w:pPr>
          </w:p>
        </w:tc>
        <w:tc>
          <w:tcPr>
            <w:tcW w:w="100" w:type="dxa"/>
            <w:vAlign w:val="bottom"/>
            <w:shd w:val="clear" w:color="auto" w:fill="666666"/>
          </w:tcPr>
          <w:p>
            <w:pPr>
              <w:spacing w:after="0"/>
              <w:rPr>
                <w:sz w:val="24"/>
                <w:szCs w:val="24"/>
                <w:color w:val="auto"/>
              </w:rPr>
            </w:pPr>
          </w:p>
        </w:tc>
        <w:tc>
          <w:tcPr>
            <w:tcW w:w="580" w:type="dxa"/>
            <w:vAlign w:val="bottom"/>
            <w:shd w:val="clear" w:color="auto" w:fill="666666"/>
          </w:tcPr>
          <w:p>
            <w:pPr>
              <w:jc w:val="right"/>
              <w:ind w:right="80"/>
              <w:spacing w:after="0"/>
              <w:rPr>
                <w:sz w:val="20"/>
                <w:szCs w:val="20"/>
                <w:color w:val="auto"/>
              </w:rPr>
            </w:pPr>
            <w:r>
              <w:rPr>
                <w:rFonts w:ascii="Arial" w:cs="Arial" w:eastAsia="Arial" w:hAnsi="Arial"/>
                <w:sz w:val="15"/>
                <w:szCs w:val="15"/>
                <w:b w:val="1"/>
                <w:bCs w:val="1"/>
                <w:color w:val="FFFFFF"/>
              </w:rPr>
              <w:t>2021</w:t>
            </w:r>
          </w:p>
        </w:tc>
        <w:tc>
          <w:tcPr>
            <w:tcW w:w="140" w:type="dxa"/>
            <w:vAlign w:val="bottom"/>
            <w:shd w:val="clear" w:color="auto" w:fill="666666"/>
          </w:tcPr>
          <w:p>
            <w:pPr>
              <w:spacing w:after="0"/>
              <w:rPr>
                <w:sz w:val="24"/>
                <w:szCs w:val="24"/>
                <w:color w:val="auto"/>
              </w:rPr>
            </w:pPr>
          </w:p>
        </w:tc>
        <w:tc>
          <w:tcPr>
            <w:tcW w:w="820" w:type="dxa"/>
            <w:vAlign w:val="bottom"/>
            <w:gridSpan w:val="2"/>
            <w:shd w:val="clear" w:color="auto" w:fill="666666"/>
          </w:tcPr>
          <w:p>
            <w:pPr>
              <w:jc w:val="right"/>
              <w:ind w:right="126"/>
              <w:spacing w:after="0"/>
              <w:rPr>
                <w:sz w:val="20"/>
                <w:szCs w:val="20"/>
                <w:color w:val="auto"/>
              </w:rPr>
            </w:pPr>
            <w:r>
              <w:rPr>
                <w:rFonts w:ascii="Arial" w:cs="Arial" w:eastAsia="Arial" w:hAnsi="Arial"/>
                <w:sz w:val="15"/>
                <w:szCs w:val="15"/>
                <w:b w:val="1"/>
                <w:bCs w:val="1"/>
                <w:color w:val="FFFFFF"/>
              </w:rPr>
              <w:t>2022</w:t>
            </w:r>
          </w:p>
        </w:tc>
        <w:tc>
          <w:tcPr>
            <w:tcW w:w="140" w:type="dxa"/>
            <w:vAlign w:val="bottom"/>
            <w:shd w:val="clear" w:color="auto" w:fill="666666"/>
          </w:tcPr>
          <w:p>
            <w:pPr>
              <w:spacing w:after="0"/>
              <w:rPr>
                <w:sz w:val="24"/>
                <w:szCs w:val="24"/>
                <w:color w:val="auto"/>
              </w:rPr>
            </w:pPr>
          </w:p>
        </w:tc>
        <w:tc>
          <w:tcPr>
            <w:tcW w:w="840" w:type="dxa"/>
            <w:vAlign w:val="bottom"/>
            <w:gridSpan w:val="2"/>
            <w:shd w:val="clear" w:color="auto" w:fill="666666"/>
          </w:tcPr>
          <w:p>
            <w:pPr>
              <w:jc w:val="right"/>
              <w:ind w:right="200"/>
              <w:spacing w:after="0"/>
              <w:rPr>
                <w:sz w:val="20"/>
                <w:szCs w:val="20"/>
                <w:color w:val="auto"/>
              </w:rPr>
            </w:pPr>
            <w:r>
              <w:rPr>
                <w:rFonts w:ascii="Arial" w:cs="Arial" w:eastAsia="Arial" w:hAnsi="Arial"/>
                <w:sz w:val="15"/>
                <w:szCs w:val="15"/>
                <w:b w:val="1"/>
                <w:bCs w:val="1"/>
                <w:color w:val="FFFFFF"/>
              </w:rPr>
              <w:t>2021</w:t>
            </w:r>
          </w:p>
        </w:tc>
        <w:tc>
          <w:tcPr>
            <w:tcW w:w="60" w:type="dxa"/>
            <w:vAlign w:val="bottom"/>
            <w:shd w:val="clear" w:color="auto" w:fill="666666"/>
          </w:tcPr>
          <w:p>
            <w:pPr>
              <w:spacing w:after="0"/>
              <w:rPr>
                <w:sz w:val="24"/>
                <w:szCs w:val="24"/>
                <w:color w:val="auto"/>
              </w:rPr>
            </w:pPr>
          </w:p>
        </w:tc>
      </w:tr>
      <w:tr>
        <w:trPr>
          <w:trHeight w:val="185"/>
        </w:trPr>
        <w:tc>
          <w:tcPr>
            <w:tcW w:w="6360" w:type="dxa"/>
            <w:vAlign w:val="bottom"/>
            <w:shd w:val="clear" w:color="auto" w:fill="E5E5E5"/>
          </w:tcPr>
          <w:p>
            <w:pPr>
              <w:spacing w:after="0"/>
              <w:rPr>
                <w:sz w:val="20"/>
                <w:szCs w:val="20"/>
                <w:color w:val="auto"/>
              </w:rPr>
            </w:pPr>
            <w:r>
              <w:rPr>
                <w:rFonts w:ascii="Arial" w:cs="Arial" w:eastAsia="Arial" w:hAnsi="Arial"/>
                <w:sz w:val="16"/>
                <w:szCs w:val="16"/>
                <w:color w:val="auto"/>
              </w:rPr>
              <w:t>Cash provided by (used in) operating activities</w:t>
            </w:r>
          </w:p>
        </w:tc>
        <w:tc>
          <w:tcPr>
            <w:tcW w:w="1040" w:type="dxa"/>
            <w:vAlign w:val="bottom"/>
            <w:gridSpan w:val="3"/>
            <w:shd w:val="clear" w:color="auto" w:fill="E5E5E5"/>
          </w:tcPr>
          <w:p>
            <w:pPr>
              <w:jc w:val="right"/>
              <w:ind w:right="220"/>
              <w:spacing w:after="0"/>
              <w:rPr>
                <w:sz w:val="20"/>
                <w:szCs w:val="20"/>
                <w:color w:val="auto"/>
              </w:rPr>
            </w:pPr>
            <w:r>
              <w:rPr>
                <w:rFonts w:ascii="Arial" w:cs="Arial" w:eastAsia="Arial" w:hAnsi="Arial"/>
                <w:sz w:val="16"/>
                <w:szCs w:val="16"/>
                <w:color w:val="auto"/>
              </w:rPr>
              <w:t>$ 38,312</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(6,502)</w:t>
            </w:r>
          </w:p>
        </w:tc>
        <w:tc>
          <w:tcPr>
            <w:tcW w:w="96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$(276,458)</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color w:val="auto"/>
              </w:rPr>
              <w:t>$(414,654)</w:t>
            </w:r>
          </w:p>
        </w:tc>
      </w:tr>
      <w:tr>
        <w:trPr>
          <w:trHeight w:val="185"/>
        </w:trPr>
        <w:tc>
          <w:tcPr>
            <w:tcW w:w="6360" w:type="dxa"/>
            <w:vAlign w:val="bottom"/>
          </w:tcPr>
          <w:p>
            <w:pPr>
              <w:ind w:left="160"/>
              <w:spacing w:after="0"/>
              <w:rPr>
                <w:sz w:val="20"/>
                <w:szCs w:val="20"/>
                <w:color w:val="auto"/>
              </w:rPr>
            </w:pPr>
            <w:r>
              <w:rPr>
                <w:rFonts w:ascii="Arial" w:cs="Arial" w:eastAsia="Arial" w:hAnsi="Arial"/>
                <w:sz w:val="16"/>
                <w:szCs w:val="16"/>
                <w:color w:val="auto"/>
              </w:rPr>
              <w:t>Additions to property and equipment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(16,020)</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(23,893)</w:t>
            </w: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(69,494)</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(54,302)</w:t>
            </w:r>
          </w:p>
        </w:tc>
      </w:tr>
      <w:tr>
        <w:trPr>
          <w:trHeight w:val="25"/>
        </w:trPr>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5"/>
        </w:trPr>
        <w:tc>
          <w:tcPr>
            <w:tcW w:w="6360" w:type="dxa"/>
            <w:vAlign w:val="bottom"/>
            <w:shd w:val="clear" w:color="auto" w:fill="E5E5E5"/>
          </w:tcPr>
          <w:p>
            <w:pPr>
              <w:spacing w:after="0"/>
              <w:rPr>
                <w:sz w:val="20"/>
                <w:szCs w:val="20"/>
                <w:color w:val="auto"/>
              </w:rPr>
            </w:pPr>
            <w:r>
              <w:rPr>
                <w:rFonts w:ascii="Arial" w:cs="Arial" w:eastAsia="Arial" w:hAnsi="Arial"/>
                <w:sz w:val="16"/>
                <w:szCs w:val="16"/>
                <w:color w:val="auto"/>
              </w:rPr>
              <w:t>Free Cash Flow</w:t>
            </w:r>
          </w:p>
        </w:tc>
        <w:tc>
          <w:tcPr>
            <w:tcW w:w="1040" w:type="dxa"/>
            <w:vAlign w:val="bottom"/>
            <w:gridSpan w:val="3"/>
            <w:shd w:val="clear" w:color="auto" w:fill="E5E5E5"/>
          </w:tcPr>
          <w:p>
            <w:pPr>
              <w:jc w:val="right"/>
              <w:ind w:right="220"/>
              <w:spacing w:after="0"/>
              <w:rPr>
                <w:sz w:val="20"/>
                <w:szCs w:val="20"/>
                <w:color w:val="auto"/>
              </w:rPr>
            </w:pPr>
            <w:r>
              <w:rPr>
                <w:rFonts w:ascii="Arial" w:cs="Arial" w:eastAsia="Arial" w:hAnsi="Arial"/>
                <w:sz w:val="16"/>
                <w:szCs w:val="16"/>
                <w:color w:val="auto"/>
              </w:rPr>
              <w:t>$ 22,292</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(30,395)</w:t>
            </w:r>
          </w:p>
        </w:tc>
        <w:tc>
          <w:tcPr>
            <w:tcW w:w="96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(345,952)</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(468,956)</w:t>
            </w: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-831215</wp:posOffset>
            </wp:positionV>
            <wp:extent cx="2371090" cy="8083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371090" cy="808355"/>
                    </a:xfrm>
                    <a:prstGeom prst="rect">
                      <a:avLst/>
                    </a:prstGeom>
                    <a:noFill/>
                  </pic:spPr>
                </pic:pic>
              </a:graphicData>
            </a:graphic>
          </wp:anchor>
        </w:drawing>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CF0A2C"/>
        </w:rPr>
        <w:t>Non-GAAP Footnotes</w:t>
      </w:r>
    </w:p>
    <w:p>
      <w:pPr>
        <w:spacing w:after="0" w:line="120" w:lineRule="exact"/>
        <w:rPr>
          <w:sz w:val="20"/>
          <w:szCs w:val="20"/>
          <w:color w:val="auto"/>
        </w:rPr>
      </w:pPr>
    </w:p>
    <w:p>
      <w:pPr>
        <w:ind w:left="1080" w:right="120" w:hanging="500"/>
        <w:spacing w:after="0" w:line="24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Net income attributable to noncontrolling interests represents an adjustment to include earnings allocated to noncontrolling interests held in (i) Sabre Travel Network Middle East of 40% (ii) Sabre Seyahat Dagitim Sistemleri A.S. of 40% (iii) Sabre Travel Network Lanka (Pte) Ltd of 40%, and (iv) Sabre Bulgaria of 40%.</w:t>
      </w:r>
    </w:p>
    <w:p>
      <w:pPr>
        <w:spacing w:after="0" w:line="63" w:lineRule="exact"/>
        <w:rPr>
          <w:rFonts w:ascii="Arial" w:cs="Arial" w:eastAsia="Arial" w:hAnsi="Arial"/>
          <w:sz w:val="18"/>
          <w:szCs w:val="18"/>
          <w:color w:val="auto"/>
        </w:rPr>
      </w:pPr>
    </w:p>
    <w:p>
      <w:pPr>
        <w:ind w:left="1080" w:right="380" w:hanging="500"/>
        <w:spacing w:after="0" w:line="26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Impairment and related charges represents a $5 million impairment charge associated with the impact of regulatory changes in Russia on the future recoverability of certain assets for the year ended December 31, 2022.</w:t>
      </w:r>
    </w:p>
    <w:p>
      <w:pPr>
        <w:spacing w:after="0" w:line="72" w:lineRule="exact"/>
        <w:rPr>
          <w:sz w:val="20"/>
          <w:szCs w:val="20"/>
          <w:color w:val="auto"/>
        </w:rPr>
      </w:pPr>
    </w:p>
    <w:p>
      <w:pPr>
        <w:ind w:left="580"/>
        <w:spacing w:after="0"/>
        <w:tabs>
          <w:tab w:leader="none" w:pos="1060" w:val="left"/>
          <w:tab w:leader="none" w:pos="3880" w:val="left"/>
        </w:tabs>
        <w:rPr>
          <w:sz w:val="20"/>
          <w:szCs w:val="20"/>
          <w:color w:val="auto"/>
        </w:rPr>
      </w:pPr>
      <w:r>
        <w:rPr>
          <w:rFonts w:ascii="Arial" w:cs="Arial" w:eastAsia="Arial" w:hAnsi="Arial"/>
          <w:sz w:val="18"/>
          <w:szCs w:val="18"/>
          <w:b w:val="1"/>
          <w:bCs w:val="1"/>
          <w:color w:val="666666"/>
        </w:rPr>
        <w:t>B-4</w:t>
      </w:r>
      <w:r>
        <w:rPr>
          <w:sz w:val="20"/>
          <w:szCs w:val="20"/>
          <w:color w:val="auto"/>
        </w:rPr>
        <w:tab/>
      </w:r>
      <w:r>
        <w:rPr>
          <w:rFonts w:ascii="Arial" w:cs="Arial" w:eastAsia="Arial" w:hAnsi="Arial"/>
          <w:sz w:val="23"/>
          <w:szCs w:val="23"/>
          <w:color w:val="666666"/>
        </w:rPr>
        <w:t xml:space="preserve">|  </w:t>
      </w:r>
      <w:r>
        <w:rPr>
          <w:sz w:val="1"/>
          <w:szCs w:val="1"/>
          <w:color w:val="auto"/>
        </w:rPr>
        <w:drawing>
          <wp:inline distT="0" distB="0" distL="0" distR="0">
            <wp:extent cx="415925" cy="102235"/>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15925" cy="102235"/>
                    </a:xfrm>
                    <a:prstGeom prst="rect">
                      <a:avLst/>
                    </a:prstGeom>
                    <a:noFill/>
                    <a:ln>
                      <a:noFill/>
                    </a:ln>
                  </pic:spPr>
                </pic:pic>
              </a:graphicData>
            </a:graphic>
          </wp:inline>
        </w:drawing>
      </w:r>
      <w:r>
        <w:rPr>
          <w:rFonts w:ascii="Arial" w:cs="Arial" w:eastAsia="Arial" w:hAnsi="Arial"/>
          <w:sz w:val="18"/>
          <w:szCs w:val="18"/>
          <w:b w:val="1"/>
          <w:bCs w:val="1"/>
          <w:color w:val="CF0A2C"/>
        </w:rPr>
        <w:t xml:space="preserve">  Sabre Corporation</w:t>
      </w:r>
      <w:r>
        <w:rPr>
          <w:sz w:val="20"/>
          <w:szCs w:val="20"/>
          <w:color w:val="auto"/>
        </w:rPr>
        <w:tab/>
      </w:r>
      <w:r>
        <w:rPr>
          <w:rFonts w:ascii="Arial" w:cs="Arial" w:eastAsia="Arial" w:hAnsi="Arial"/>
          <w:sz w:val="18"/>
          <w:szCs w:val="18"/>
          <w:color w:val="CF0A2C"/>
        </w:rPr>
        <w:t>2023 Proxy Statement</w:t>
      </w:r>
    </w:p>
    <w:p>
      <w:pPr>
        <w:sectPr>
          <w:pgSz w:w="11900" w:h="16838" w:orient="portrait"/>
          <w:cols w:equalWidth="0" w:num="1">
            <w:col w:w="10660"/>
          </w:cols>
          <w:pgMar w:left="320" w:top="453" w:right="9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194310</wp:posOffset>
            </wp:positionV>
            <wp:extent cx="761365" cy="1492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1365" cy="149225"/>
                    </a:xfrm>
                    <a:prstGeom prst="rect">
                      <a:avLst/>
                    </a:prstGeom>
                    <a:noFill/>
                  </pic:spPr>
                </pic:pic>
              </a:graphicData>
            </a:graphic>
          </wp:anchor>
        </w:drawing>
      </w:r>
    </w:p>
    <w:p>
      <w:pPr>
        <w:spacing w:after="0" w:line="311" w:lineRule="exact"/>
        <w:rPr>
          <w:sz w:val="20"/>
          <w:szCs w:val="20"/>
          <w:color w:val="auto"/>
        </w:rPr>
      </w:pPr>
    </w:p>
    <w:p>
      <w:pPr>
        <w:ind w:left="9660"/>
        <w:spacing w:after="0"/>
        <w:rPr>
          <w:sz w:val="20"/>
          <w:szCs w:val="20"/>
          <w:color w:val="auto"/>
        </w:rPr>
      </w:pPr>
      <w:r>
        <w:rPr>
          <w:rFonts w:ascii="Arial" w:cs="Arial" w:eastAsia="Arial" w:hAnsi="Arial"/>
          <w:sz w:val="15"/>
          <w:szCs w:val="15"/>
          <w:b w:val="1"/>
          <w:bCs w:val="1"/>
          <w:color w:val="FFFFFF"/>
        </w:rPr>
        <w:t>APPENDIX B</w:t>
      </w:r>
    </w:p>
    <w:p>
      <w:pPr>
        <w:spacing w:after="0" w:line="239" w:lineRule="exact"/>
        <w:rPr>
          <w:sz w:val="20"/>
          <w:szCs w:val="20"/>
          <w:color w:val="auto"/>
        </w:rPr>
      </w:pPr>
    </w:p>
    <w:p>
      <w:pPr>
        <w:ind w:left="1080" w:hanging="500"/>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Depreciation and amortization expenses:</w:t>
      </w:r>
    </w:p>
    <w:p>
      <w:pPr>
        <w:spacing w:after="0" w:line="102" w:lineRule="exact"/>
        <w:rPr>
          <w:rFonts w:ascii="Arial" w:cs="Arial" w:eastAsia="Arial" w:hAnsi="Arial"/>
          <w:sz w:val="18"/>
          <w:szCs w:val="18"/>
          <w:color w:val="auto"/>
        </w:rPr>
      </w:pPr>
    </w:p>
    <w:p>
      <w:pPr>
        <w:ind w:left="1560" w:right="120" w:hanging="486"/>
        <w:spacing w:after="0" w:line="267" w:lineRule="auto"/>
        <w:tabs>
          <w:tab w:leader="none" w:pos="15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Acquisition-related amortization represents amortization of intangible assets from the take-private transaction in 2007 as well as intangibles associated with acquisitions since that date.</w:t>
      </w:r>
    </w:p>
    <w:p>
      <w:pPr>
        <w:spacing w:after="0" w:line="46" w:lineRule="exact"/>
        <w:rPr>
          <w:rFonts w:ascii="Arial" w:cs="Arial" w:eastAsia="Arial" w:hAnsi="Arial"/>
          <w:sz w:val="18"/>
          <w:szCs w:val="18"/>
          <w:color w:val="auto"/>
        </w:rPr>
      </w:pPr>
    </w:p>
    <w:p>
      <w:pPr>
        <w:ind w:left="1560" w:right="20" w:hanging="486"/>
        <w:spacing w:after="0" w:line="267" w:lineRule="auto"/>
        <w:tabs>
          <w:tab w:leader="none" w:pos="15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includes software developed for internal use as well as amortization of contract acquisition costs.</w:t>
      </w:r>
    </w:p>
    <w:p>
      <w:pPr>
        <w:spacing w:after="0" w:line="46" w:lineRule="exact"/>
        <w:rPr>
          <w:rFonts w:ascii="Arial" w:cs="Arial" w:eastAsia="Arial" w:hAnsi="Arial"/>
          <w:sz w:val="18"/>
          <w:szCs w:val="18"/>
          <w:color w:val="auto"/>
        </w:rPr>
      </w:pPr>
    </w:p>
    <w:p>
      <w:pPr>
        <w:ind w:left="1560" w:right="460" w:hanging="486"/>
        <w:spacing w:after="0" w:line="267" w:lineRule="auto"/>
        <w:tabs>
          <w:tab w:leader="none" w:pos="15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Amortization of capitalized implementation costs represents amortization of upfront costs to implement new customer contracts under our SaaS and hosted revenue model.</w:t>
      </w:r>
    </w:p>
    <w:p>
      <w:pPr>
        <w:spacing w:after="0" w:line="157" w:lineRule="exact"/>
        <w:rPr>
          <w:rFonts w:ascii="Arial" w:cs="Arial" w:eastAsia="Arial" w:hAnsi="Arial"/>
          <w:sz w:val="18"/>
          <w:szCs w:val="18"/>
          <w:color w:val="auto"/>
        </w:rPr>
      </w:pPr>
    </w:p>
    <w:p>
      <w:pPr>
        <w:ind w:left="1080" w:hanging="500"/>
        <w:spacing w:after="0" w:line="23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 net includes a $180 million gain on the sale of AirCentre during 2022, a fair value loss of $26 million on our GBT investment during 2022, and a $15 million gain on sale of equity securities during the first quarter of 2021, as well as debt modification costs for financing fees of $2 million recorded in the third quarter of 2021. In addition, all periods presented include pension settlement charges and foreign exchange gains and losses related to the remeasurement of foreign currency denominated balances included in our consolidated balance sheets into the relevant functional currency.</w:t>
      </w:r>
    </w:p>
    <w:p>
      <w:pPr>
        <w:spacing w:after="0" w:line="182" w:lineRule="exact"/>
        <w:rPr>
          <w:rFonts w:ascii="Arial" w:cs="Arial" w:eastAsia="Arial" w:hAnsi="Arial"/>
          <w:sz w:val="18"/>
          <w:szCs w:val="18"/>
          <w:color w:val="auto"/>
        </w:rPr>
      </w:pPr>
    </w:p>
    <w:p>
      <w:pPr>
        <w:ind w:left="1080" w:right="200" w:hanging="500"/>
        <w:spacing w:after="0" w:line="242"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Restructuring and other costs represents charges, and adjustments to those charges, associated with planning and implementing business restructuring activities, including costs associated with third party consultants advising on our business structure and strategy going forward which are integral to the restructuring plan and severance benefits related to employee terminations, which primarily occurred in the third quarter of 2022.</w:t>
      </w:r>
    </w:p>
    <w:p>
      <w:pPr>
        <w:spacing w:after="0" w:line="178" w:lineRule="exact"/>
        <w:rPr>
          <w:rFonts w:ascii="Arial" w:cs="Arial" w:eastAsia="Arial" w:hAnsi="Arial"/>
          <w:sz w:val="18"/>
          <w:szCs w:val="18"/>
          <w:color w:val="auto"/>
        </w:rPr>
      </w:pPr>
    </w:p>
    <w:p>
      <w:pPr>
        <w:ind w:left="1080" w:right="400" w:hanging="500"/>
        <w:spacing w:after="0" w:line="26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Acquisition-related costs represent fees and expenses incurred associated with acquisition and disposition-related activities.</w:t>
      </w:r>
    </w:p>
    <w:p>
      <w:pPr>
        <w:spacing w:after="0" w:line="157" w:lineRule="exact"/>
        <w:rPr>
          <w:rFonts w:ascii="Arial" w:cs="Arial" w:eastAsia="Arial" w:hAnsi="Arial"/>
          <w:sz w:val="18"/>
          <w:szCs w:val="18"/>
          <w:color w:val="auto"/>
        </w:rPr>
      </w:pPr>
    </w:p>
    <w:p>
      <w:pPr>
        <w:ind w:left="1080" w:right="40" w:hanging="500"/>
        <w:spacing w:after="0" w:line="26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Litigation costs, net represent charges associated with antitrust litigation and other foreign non-income tax contingency matters.</w:t>
      </w:r>
    </w:p>
    <w:p>
      <w:pPr>
        <w:spacing w:after="0" w:line="157" w:lineRule="exact"/>
        <w:rPr>
          <w:rFonts w:ascii="Arial" w:cs="Arial" w:eastAsia="Arial" w:hAnsi="Arial"/>
          <w:sz w:val="18"/>
          <w:szCs w:val="18"/>
          <w:color w:val="auto"/>
        </w:rPr>
      </w:pPr>
    </w:p>
    <w:p>
      <w:pPr>
        <w:ind w:left="1080" w:right="220" w:hanging="500"/>
        <w:spacing w:after="0" w:line="242"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tax impact of adjustments includes the tax effect of each separate adjustment based on the statutory tax rate for the jurisdiction(s) in which the adjustment was taxable or deductible, the impact of the adjustments on valuation allowance assessments, and the tax effect of items that relate to tax specific financial transactions, tax law changes, uncertain tax positions, and other items.</w:t>
      </w:r>
    </w:p>
    <w:p>
      <w:pPr>
        <w:spacing w:after="0" w:line="93" w:lineRule="exact"/>
        <w:rPr>
          <w:sz w:val="20"/>
          <w:szCs w:val="20"/>
          <w:color w:val="auto"/>
        </w:rPr>
      </w:pPr>
    </w:p>
    <w:p>
      <w:pPr>
        <w:jc w:val="right"/>
        <w:spacing w:after="0"/>
        <w:tabs>
          <w:tab w:leader="none" w:pos="2660" w:val="left"/>
          <w:tab w:leader="none" w:pos="620" w:val="left"/>
          <w:tab w:leader="none" w:pos="260" w:val="left"/>
        </w:tabs>
        <w:rPr>
          <w:sz w:val="20"/>
          <w:szCs w:val="20"/>
          <w:color w:val="auto"/>
        </w:rPr>
      </w:pPr>
      <w:r>
        <w:rPr>
          <w:rFonts w:ascii="Arial" w:cs="Arial" w:eastAsia="Arial" w:hAnsi="Arial"/>
          <w:sz w:val="18"/>
          <w:szCs w:val="18"/>
          <w:b w:val="1"/>
          <w:bCs w:val="1"/>
          <w:color w:val="CF0A2C"/>
        </w:rPr>
        <w:t>Sabre Corporation</w:t>
      </w:r>
      <w:r>
        <w:rPr>
          <w:sz w:val="20"/>
          <w:szCs w:val="20"/>
          <w:color w:val="auto"/>
        </w:rPr>
        <w:tab/>
      </w:r>
      <w:r>
        <w:rPr>
          <w:rFonts w:ascii="Arial" w:cs="Arial" w:eastAsia="Arial" w:hAnsi="Arial"/>
          <w:sz w:val="18"/>
          <w:szCs w:val="18"/>
          <w:color w:val="CF0A2C"/>
        </w:rPr>
        <w:t>2023 Proxy Statement</w:t>
      </w:r>
      <w:r>
        <w:rPr>
          <w:sz w:val="20"/>
          <w:szCs w:val="20"/>
          <w:color w:val="auto"/>
        </w:rPr>
        <w:tab/>
      </w:r>
      <w:r>
        <w:rPr>
          <w:rFonts w:ascii="Arial" w:cs="Arial" w:eastAsia="Arial" w:hAnsi="Arial"/>
          <w:sz w:val="23"/>
          <w:szCs w:val="23"/>
          <w:color w:val="666666"/>
        </w:rPr>
        <w:t>|</w:t>
      </w:r>
      <w:r>
        <w:rPr>
          <w:sz w:val="20"/>
          <w:szCs w:val="20"/>
          <w:color w:val="auto"/>
        </w:rPr>
        <w:tab/>
      </w:r>
      <w:r>
        <w:rPr>
          <w:rFonts w:ascii="Arial" w:cs="Arial" w:eastAsia="Arial" w:hAnsi="Arial"/>
          <w:sz w:val="17"/>
          <w:szCs w:val="17"/>
          <w:b w:val="1"/>
          <w:bCs w:val="1"/>
          <w:color w:val="666666"/>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-107315</wp:posOffset>
            </wp:positionV>
            <wp:extent cx="415925" cy="1022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15925" cy="102235"/>
                    </a:xfrm>
                    <a:prstGeom prst="rect">
                      <a:avLst/>
                    </a:prstGeom>
                    <a:noFill/>
                  </pic:spPr>
                </pic:pic>
              </a:graphicData>
            </a:graphic>
          </wp:anchor>
        </w:drawing>
      </w:r>
    </w:p>
    <w:p>
      <w:pPr>
        <w:sectPr>
          <w:pgSz w:w="11900" w:h="16838" w:orient="portrait"/>
          <w:cols w:equalWidth="0" w:num="1">
            <w:col w:w="10600"/>
          </w:cols>
          <w:pgMar w:left="320" w:top="453" w:right="9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4"/>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1020" w:type="dxa"/>
            <w:vAlign w:val="bottom"/>
          </w:tcPr>
          <w:p>
            <w:pPr>
              <w:spacing w:after="0"/>
              <w:rPr>
                <w:sz w:val="16"/>
                <w:szCs w:val="16"/>
                <w:color w:val="auto"/>
              </w:rPr>
            </w:pPr>
          </w:p>
        </w:tc>
        <w:tc>
          <w:tcPr>
            <w:tcW w:w="4320" w:type="dxa"/>
            <w:vAlign w:val="bottom"/>
          </w:tcPr>
          <w:p>
            <w:pPr>
              <w:spacing w:after="0"/>
              <w:rPr>
                <w:sz w:val="16"/>
                <w:szCs w:val="16"/>
                <w:color w:val="auto"/>
              </w:rPr>
            </w:pPr>
          </w:p>
        </w:tc>
      </w:tr>
      <w:tr>
        <w:trPr>
          <w:trHeight w:val="487"/>
        </w:trPr>
        <w:tc>
          <w:tcPr>
            <w:tcW w:w="1240" w:type="dxa"/>
            <w:vAlign w:val="bottom"/>
            <w:tcBorders>
              <w:top w:val="single" w:sz="8" w:color="0000EE"/>
            </w:tcBorders>
          </w:tcPr>
          <w:p>
            <w:pPr>
              <w:spacing w:after="0"/>
              <w:rPr>
                <w:sz w:val="24"/>
                <w:szCs w:val="24"/>
                <w:color w:val="auto"/>
              </w:rPr>
            </w:pPr>
          </w:p>
        </w:tc>
        <w:tc>
          <w:tcPr>
            <w:tcW w:w="3900" w:type="dxa"/>
            <w:vAlign w:val="bottom"/>
          </w:tcPr>
          <w:p>
            <w:pPr>
              <w:spacing w:after="0"/>
              <w:rPr>
                <w:sz w:val="24"/>
                <w:szCs w:val="24"/>
                <w:color w:val="auto"/>
              </w:rPr>
            </w:pPr>
          </w:p>
        </w:tc>
        <w:tc>
          <w:tcPr>
            <w:tcW w:w="53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YOUR VOTE IS IMPORTANT! PLEASE VOTE BY:</w:t>
            </w:r>
          </w:p>
        </w:tc>
      </w:tr>
      <w:tr>
        <w:trPr>
          <w:trHeight w:val="244"/>
        </w:trPr>
        <w:tc>
          <w:tcPr>
            <w:tcW w:w="1240" w:type="dxa"/>
            <w:vAlign w:val="bottom"/>
          </w:tcPr>
          <w:p>
            <w:pPr>
              <w:spacing w:after="0"/>
              <w:rPr>
                <w:sz w:val="21"/>
                <w:szCs w:val="21"/>
                <w:color w:val="auto"/>
              </w:rPr>
            </w:pPr>
          </w:p>
        </w:tc>
        <w:tc>
          <w:tcPr>
            <w:tcW w:w="3900" w:type="dxa"/>
            <w:vAlign w:val="bottom"/>
            <w:tcBorders>
              <w:right w:val="single" w:sz="8" w:color="auto"/>
            </w:tcBorders>
          </w:tcPr>
          <w:p>
            <w:pPr>
              <w:spacing w:after="0"/>
              <w:rPr>
                <w:sz w:val="21"/>
                <w:szCs w:val="21"/>
                <w:color w:val="auto"/>
              </w:rPr>
            </w:pPr>
          </w:p>
        </w:tc>
        <w:tc>
          <w:tcPr>
            <w:tcW w:w="534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INTERNET</w:t>
            </w:r>
          </w:p>
        </w:tc>
      </w:tr>
      <w:tr>
        <w:trPr>
          <w:trHeight w:val="202"/>
        </w:trPr>
        <w:tc>
          <w:tcPr>
            <w:tcW w:w="1240" w:type="dxa"/>
            <w:vAlign w:val="bottom"/>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534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 xml:space="preserve">Go To: </w:t>
            </w:r>
            <w:r>
              <w:rPr>
                <w:rFonts w:ascii="Times New Roman" w:cs="Times New Roman" w:eastAsia="Times New Roman" w:hAnsi="Times New Roman"/>
                <w:sz w:val="16"/>
                <w:szCs w:val="16"/>
                <w:b w:val="1"/>
                <w:bCs w:val="1"/>
                <w:color w:val="auto"/>
              </w:rPr>
              <w:t>www.proxypush.com/SABR</w:t>
            </w:r>
          </w:p>
        </w:tc>
      </w:tr>
      <w:tr>
        <w:trPr>
          <w:trHeight w:val="194"/>
        </w:trPr>
        <w:tc>
          <w:tcPr>
            <w:tcW w:w="1240" w:type="dxa"/>
            <w:vAlign w:val="bottom"/>
          </w:tcPr>
          <w:p>
            <w:pPr>
              <w:spacing w:after="0"/>
              <w:rPr>
                <w:sz w:val="16"/>
                <w:szCs w:val="16"/>
                <w:color w:val="auto"/>
              </w:rPr>
            </w:pPr>
          </w:p>
        </w:tc>
        <w:tc>
          <w:tcPr>
            <w:tcW w:w="3900" w:type="dxa"/>
            <w:vAlign w:val="bottom"/>
            <w:tcBorders>
              <w:right w:val="single" w:sz="8" w:color="auto"/>
            </w:tcBorders>
          </w:tcPr>
          <w:p>
            <w:pPr>
              <w:spacing w:after="0"/>
              <w:rPr>
                <w:sz w:val="16"/>
                <w:szCs w:val="16"/>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 Cast your vote online</w:t>
            </w:r>
          </w:p>
        </w:tc>
      </w:tr>
      <w:tr>
        <w:trPr>
          <w:trHeight w:val="202"/>
        </w:trPr>
        <w:tc>
          <w:tcPr>
            <w:tcW w:w="514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color w:val="auto"/>
              </w:rPr>
              <w:t>P.O. BOX 8016, CARY, NC 27512-9903</w:t>
            </w: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 Have your Proxy Card ready</w:t>
            </w:r>
          </w:p>
        </w:tc>
      </w:tr>
      <w:tr>
        <w:trPr>
          <w:trHeight w:val="215"/>
        </w:trPr>
        <w:tc>
          <w:tcPr>
            <w:tcW w:w="1240" w:type="dxa"/>
            <w:vAlign w:val="bottom"/>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 Follow the simple instructions to record your vote</w:t>
            </w:r>
          </w:p>
        </w:tc>
      </w:tr>
      <w:tr>
        <w:trPr>
          <w:trHeight w:val="74"/>
        </w:trPr>
        <w:tc>
          <w:tcPr>
            <w:tcW w:w="1240" w:type="dxa"/>
            <w:vAlign w:val="bottom"/>
          </w:tcPr>
          <w:p>
            <w:pPr>
              <w:spacing w:after="0"/>
              <w:rPr>
                <w:sz w:val="6"/>
                <w:szCs w:val="6"/>
                <w:color w:val="auto"/>
              </w:rPr>
            </w:pPr>
          </w:p>
        </w:tc>
        <w:tc>
          <w:tcPr>
            <w:tcW w:w="3900" w:type="dxa"/>
            <w:vAlign w:val="bottom"/>
            <w:tcBorders>
              <w:right w:val="single" w:sz="8" w:color="auto"/>
            </w:tcBorders>
          </w:tcPr>
          <w:p>
            <w:pPr>
              <w:spacing w:after="0"/>
              <w:rPr>
                <w:sz w:val="6"/>
                <w:szCs w:val="6"/>
                <w:color w:val="auto"/>
              </w:rPr>
            </w:pPr>
          </w:p>
        </w:tc>
        <w:tc>
          <w:tcPr>
            <w:tcW w:w="5340" w:type="dxa"/>
            <w:vAlign w:val="bottom"/>
            <w:tcBorders>
              <w:bottom w:val="single" w:sz="8" w:color="auto"/>
              <w:right w:val="single" w:sz="8" w:color="auto"/>
            </w:tcBorders>
            <w:gridSpan w:val="2"/>
          </w:tcPr>
          <w:p>
            <w:pPr>
              <w:spacing w:after="0"/>
              <w:rPr>
                <w:sz w:val="6"/>
                <w:szCs w:val="6"/>
                <w:color w:val="auto"/>
              </w:rPr>
            </w:pPr>
          </w:p>
        </w:tc>
      </w:tr>
      <w:tr>
        <w:trPr>
          <w:trHeight w:val="248"/>
        </w:trPr>
        <w:tc>
          <w:tcPr>
            <w:tcW w:w="1240" w:type="dxa"/>
            <w:vAlign w:val="bottom"/>
          </w:tcPr>
          <w:p>
            <w:pPr>
              <w:spacing w:after="0"/>
              <w:rPr>
                <w:sz w:val="21"/>
                <w:szCs w:val="21"/>
                <w:color w:val="auto"/>
              </w:rPr>
            </w:pPr>
          </w:p>
        </w:tc>
        <w:tc>
          <w:tcPr>
            <w:tcW w:w="3900" w:type="dxa"/>
            <w:vAlign w:val="bottom"/>
            <w:tcBorders>
              <w:right w:val="single" w:sz="8" w:color="auto"/>
            </w:tcBorders>
          </w:tcPr>
          <w:p>
            <w:pPr>
              <w:spacing w:after="0"/>
              <w:rPr>
                <w:sz w:val="21"/>
                <w:szCs w:val="21"/>
                <w:color w:val="auto"/>
              </w:rPr>
            </w:pPr>
          </w:p>
        </w:tc>
        <w:tc>
          <w:tcPr>
            <w:tcW w:w="534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 xml:space="preserve">PHONE </w:t>
            </w:r>
            <w:r>
              <w:rPr>
                <w:rFonts w:ascii="Times New Roman" w:cs="Times New Roman" w:eastAsia="Times New Roman" w:hAnsi="Times New Roman"/>
                <w:sz w:val="16"/>
                <w:szCs w:val="16"/>
                <w:color w:val="auto"/>
              </w:rPr>
              <w:t>Call</w:t>
            </w:r>
            <w:r>
              <w:rPr>
                <w:rFonts w:ascii="Times New Roman" w:cs="Times New Roman" w:eastAsia="Times New Roman" w:hAnsi="Times New Roman"/>
                <w:sz w:val="16"/>
                <w:szCs w:val="16"/>
                <w:b w:val="1"/>
                <w:bCs w:val="1"/>
                <w:color w:val="auto"/>
              </w:rPr>
              <w:t xml:space="preserve"> 1-866-206-5104</w:t>
            </w:r>
          </w:p>
        </w:tc>
      </w:tr>
      <w:tr>
        <w:trPr>
          <w:trHeight w:val="194"/>
        </w:trPr>
        <w:tc>
          <w:tcPr>
            <w:tcW w:w="1240" w:type="dxa"/>
            <w:vAlign w:val="bottom"/>
          </w:tcPr>
          <w:p>
            <w:pPr>
              <w:spacing w:after="0"/>
              <w:rPr>
                <w:sz w:val="16"/>
                <w:szCs w:val="16"/>
                <w:color w:val="auto"/>
              </w:rPr>
            </w:pPr>
          </w:p>
        </w:tc>
        <w:tc>
          <w:tcPr>
            <w:tcW w:w="3900" w:type="dxa"/>
            <w:vAlign w:val="bottom"/>
            <w:tcBorders>
              <w:right w:val="single" w:sz="8" w:color="auto"/>
            </w:tcBorders>
          </w:tcPr>
          <w:p>
            <w:pPr>
              <w:spacing w:after="0"/>
              <w:rPr>
                <w:sz w:val="16"/>
                <w:szCs w:val="16"/>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 Use any touch-tone telephone</w:t>
            </w:r>
          </w:p>
        </w:tc>
      </w:tr>
      <w:tr>
        <w:trPr>
          <w:trHeight w:val="202"/>
        </w:trPr>
        <w:tc>
          <w:tcPr>
            <w:tcW w:w="1240" w:type="dxa"/>
            <w:vAlign w:val="bottom"/>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 Have your Proxy Card ready</w:t>
            </w:r>
          </w:p>
        </w:tc>
      </w:tr>
      <w:tr>
        <w:trPr>
          <w:trHeight w:val="215"/>
        </w:trPr>
        <w:tc>
          <w:tcPr>
            <w:tcW w:w="1240" w:type="dxa"/>
            <w:vAlign w:val="bottom"/>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 Follow the simple recorded instructions</w:t>
            </w:r>
          </w:p>
        </w:tc>
      </w:tr>
      <w:tr>
        <w:trPr>
          <w:trHeight w:val="74"/>
        </w:trPr>
        <w:tc>
          <w:tcPr>
            <w:tcW w:w="1240" w:type="dxa"/>
            <w:vAlign w:val="bottom"/>
          </w:tcPr>
          <w:p>
            <w:pPr>
              <w:spacing w:after="0"/>
              <w:rPr>
                <w:sz w:val="6"/>
                <w:szCs w:val="6"/>
                <w:color w:val="auto"/>
              </w:rPr>
            </w:pPr>
          </w:p>
        </w:tc>
        <w:tc>
          <w:tcPr>
            <w:tcW w:w="3900" w:type="dxa"/>
            <w:vAlign w:val="bottom"/>
            <w:tcBorders>
              <w:right w:val="single" w:sz="8" w:color="auto"/>
            </w:tcBorders>
          </w:tcPr>
          <w:p>
            <w:pPr>
              <w:spacing w:after="0"/>
              <w:rPr>
                <w:sz w:val="6"/>
                <w:szCs w:val="6"/>
                <w:color w:val="auto"/>
              </w:rPr>
            </w:pPr>
          </w:p>
        </w:tc>
        <w:tc>
          <w:tcPr>
            <w:tcW w:w="5340" w:type="dxa"/>
            <w:vAlign w:val="bottom"/>
            <w:tcBorders>
              <w:bottom w:val="single" w:sz="8" w:color="auto"/>
              <w:right w:val="single" w:sz="8" w:color="auto"/>
            </w:tcBorders>
            <w:gridSpan w:val="2"/>
          </w:tcPr>
          <w:p>
            <w:pPr>
              <w:spacing w:after="0"/>
              <w:rPr>
                <w:sz w:val="6"/>
                <w:szCs w:val="6"/>
                <w:color w:val="auto"/>
              </w:rPr>
            </w:pPr>
          </w:p>
        </w:tc>
      </w:tr>
      <w:tr>
        <w:trPr>
          <w:trHeight w:val="248"/>
        </w:trPr>
        <w:tc>
          <w:tcPr>
            <w:tcW w:w="1240" w:type="dxa"/>
            <w:vAlign w:val="bottom"/>
          </w:tcPr>
          <w:p>
            <w:pPr>
              <w:spacing w:after="0"/>
              <w:rPr>
                <w:sz w:val="21"/>
                <w:szCs w:val="21"/>
                <w:color w:val="auto"/>
              </w:rPr>
            </w:pPr>
          </w:p>
        </w:tc>
        <w:tc>
          <w:tcPr>
            <w:tcW w:w="3900" w:type="dxa"/>
            <w:vAlign w:val="bottom"/>
            <w:tcBorders>
              <w:right w:val="single" w:sz="8" w:color="auto"/>
            </w:tcBorders>
          </w:tcPr>
          <w:p>
            <w:pPr>
              <w:spacing w:after="0"/>
              <w:rPr>
                <w:sz w:val="21"/>
                <w:szCs w:val="21"/>
                <w:color w:val="auto"/>
              </w:rPr>
            </w:pPr>
          </w:p>
        </w:tc>
        <w:tc>
          <w:tcPr>
            <w:tcW w:w="534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MAIL</w:t>
            </w:r>
          </w:p>
        </w:tc>
      </w:tr>
      <w:tr>
        <w:trPr>
          <w:trHeight w:val="198"/>
        </w:trPr>
        <w:tc>
          <w:tcPr>
            <w:tcW w:w="1240" w:type="dxa"/>
            <w:vAlign w:val="bottom"/>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 Mark, sign and date your Proxy Card</w:t>
            </w:r>
          </w:p>
        </w:tc>
      </w:tr>
      <w:tr>
        <w:trPr>
          <w:trHeight w:val="198"/>
        </w:trPr>
        <w:tc>
          <w:tcPr>
            <w:tcW w:w="1240" w:type="dxa"/>
            <w:vAlign w:val="bottom"/>
          </w:tcPr>
          <w:p>
            <w:pPr>
              <w:spacing w:after="0"/>
              <w:rPr>
                <w:sz w:val="17"/>
                <w:szCs w:val="17"/>
                <w:color w:val="auto"/>
              </w:rPr>
            </w:pPr>
          </w:p>
        </w:tc>
        <w:tc>
          <w:tcPr>
            <w:tcW w:w="3900" w:type="dxa"/>
            <w:vAlign w:val="bottom"/>
            <w:tcBorders>
              <w:right w:val="single" w:sz="8" w:color="auto"/>
            </w:tcBorders>
          </w:tcPr>
          <w:p>
            <w:pPr>
              <w:spacing w:after="0"/>
              <w:rPr>
                <w:sz w:val="17"/>
                <w:szCs w:val="17"/>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3"/>
              </w:rPr>
              <w:t>• </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 Fold and return your Proxy Card in the postage-paid envelope</w:t>
            </w:r>
          </w:p>
        </w:tc>
      </w:tr>
      <w:tr>
        <w:trPr>
          <w:trHeight w:val="215"/>
        </w:trPr>
        <w:tc>
          <w:tcPr>
            <w:tcW w:w="1240" w:type="dxa"/>
            <w:vAlign w:val="bottom"/>
          </w:tcPr>
          <w:p>
            <w:pPr>
              <w:spacing w:after="0"/>
              <w:rPr>
                <w:sz w:val="18"/>
                <w:szCs w:val="18"/>
                <w:color w:val="auto"/>
              </w:rPr>
            </w:pPr>
          </w:p>
        </w:tc>
        <w:tc>
          <w:tcPr>
            <w:tcW w:w="39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provided</w:t>
            </w:r>
          </w:p>
        </w:tc>
      </w:tr>
      <w:tr>
        <w:trPr>
          <w:trHeight w:val="74"/>
        </w:trPr>
        <w:tc>
          <w:tcPr>
            <w:tcW w:w="1240" w:type="dxa"/>
            <w:vAlign w:val="bottom"/>
          </w:tcPr>
          <w:p>
            <w:pPr>
              <w:spacing w:after="0"/>
              <w:rPr>
                <w:sz w:val="6"/>
                <w:szCs w:val="6"/>
                <w:color w:val="auto"/>
              </w:rPr>
            </w:pPr>
          </w:p>
        </w:tc>
        <w:tc>
          <w:tcPr>
            <w:tcW w:w="3900" w:type="dxa"/>
            <w:vAlign w:val="bottom"/>
            <w:tcBorders>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32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85025" cy="52070"/>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-1946275</wp:posOffset>
            </wp:positionV>
            <wp:extent cx="1201420" cy="3613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01420" cy="361315"/>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-1703070</wp:posOffset>
            </wp:positionV>
            <wp:extent cx="329565" cy="2514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29565" cy="251460"/>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-1122045</wp:posOffset>
            </wp:positionV>
            <wp:extent cx="266700" cy="4159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6700" cy="41592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-438785</wp:posOffset>
            </wp:positionV>
            <wp:extent cx="353060" cy="2590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53060" cy="25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-103505</wp:posOffset>
            </wp:positionV>
            <wp:extent cx="1028700" cy="2667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28700" cy="266700"/>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Stockholders of record as of February 28, 2023</w:t>
      </w:r>
    </w:p>
    <w:p>
      <w:pPr>
        <w:spacing w:after="0" w:line="215" w:lineRule="exact"/>
        <w:rPr>
          <w:sz w:val="20"/>
          <w:szCs w:val="20"/>
          <w:color w:val="auto"/>
        </w:rPr>
      </w:pPr>
    </w:p>
    <w:p>
      <w:pPr>
        <w:ind w:left="580"/>
        <w:spacing w:after="0"/>
        <w:tabs>
          <w:tab w:leader="none" w:pos="1380" w:val="left"/>
        </w:tabs>
        <w:rPr>
          <w:sz w:val="20"/>
          <w:szCs w:val="20"/>
          <w:color w:val="auto"/>
        </w:rPr>
      </w:pPr>
      <w:r>
        <w:rPr>
          <w:rFonts w:ascii="Times New Roman" w:cs="Times New Roman" w:eastAsia="Times New Roman" w:hAnsi="Times New Roman"/>
          <w:sz w:val="16"/>
          <w:szCs w:val="16"/>
          <w:b w:val="1"/>
          <w:bCs w:val="1"/>
          <w:color w:val="auto"/>
        </w:rPr>
        <w:t>TIME:</w:t>
      </w:r>
      <w:r>
        <w:rPr>
          <w:sz w:val="20"/>
          <w:szCs w:val="20"/>
          <w:color w:val="auto"/>
        </w:rPr>
        <w:tab/>
      </w:r>
      <w:r>
        <w:rPr>
          <w:rFonts w:ascii="Times New Roman" w:cs="Times New Roman" w:eastAsia="Times New Roman" w:hAnsi="Times New Roman"/>
          <w:sz w:val="16"/>
          <w:szCs w:val="16"/>
          <w:color w:val="auto"/>
        </w:rPr>
        <w:t>Wednesday, April 26, 2023 9:30 AM, Central Daylight Time</w:t>
      </w:r>
    </w:p>
    <w:p>
      <w:pPr>
        <w:spacing w:after="0" w:line="35" w:lineRule="exact"/>
        <w:rPr>
          <w:sz w:val="20"/>
          <w:szCs w:val="20"/>
          <w:color w:val="auto"/>
        </w:rPr>
      </w:pPr>
    </w:p>
    <w:p>
      <w:pPr>
        <w:ind w:left="580"/>
        <w:spacing w:after="0"/>
        <w:tabs>
          <w:tab w:leader="none" w:pos="1380" w:val="left"/>
        </w:tabs>
        <w:rPr>
          <w:sz w:val="20"/>
          <w:szCs w:val="20"/>
          <w:color w:val="auto"/>
        </w:rPr>
      </w:pPr>
      <w:r>
        <w:rPr>
          <w:rFonts w:ascii="Times New Roman" w:cs="Times New Roman" w:eastAsia="Times New Roman" w:hAnsi="Times New Roman"/>
          <w:sz w:val="16"/>
          <w:szCs w:val="16"/>
          <w:b w:val="1"/>
          <w:bCs w:val="1"/>
          <w:color w:val="auto"/>
        </w:rPr>
        <w:t>PLACE:</w:t>
      </w:r>
      <w:r>
        <w:rPr>
          <w:sz w:val="20"/>
          <w:szCs w:val="20"/>
          <w:color w:val="auto"/>
        </w:rPr>
        <w:tab/>
      </w:r>
      <w:r>
        <w:rPr>
          <w:rFonts w:ascii="Times New Roman" w:cs="Times New Roman" w:eastAsia="Times New Roman" w:hAnsi="Times New Roman"/>
          <w:sz w:val="16"/>
          <w:szCs w:val="16"/>
          <w:color w:val="auto"/>
        </w:rPr>
        <w:t>3150 Sabre Drive</w:t>
      </w:r>
    </w:p>
    <w:p>
      <w:pPr>
        <w:spacing w:after="0" w:line="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Southlake, TX 76092</w:t>
      </w: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This proxy is being solicited on behalf of the Board of Directors</w:t>
      </w:r>
    </w:p>
    <w:p>
      <w:pPr>
        <w:spacing w:after="0" w:line="216" w:lineRule="exact"/>
        <w:rPr>
          <w:sz w:val="20"/>
          <w:szCs w:val="20"/>
          <w:color w:val="auto"/>
        </w:rPr>
      </w:pPr>
    </w:p>
    <w:p>
      <w:pPr>
        <w:ind w:left="580"/>
        <w:spacing w:after="0" w:line="268" w:lineRule="auto"/>
        <w:rPr>
          <w:sz w:val="20"/>
          <w:szCs w:val="20"/>
          <w:color w:val="auto"/>
        </w:rPr>
      </w:pPr>
      <w:r>
        <w:rPr>
          <w:rFonts w:ascii="Times New Roman" w:cs="Times New Roman" w:eastAsia="Times New Roman" w:hAnsi="Times New Roman"/>
          <w:sz w:val="16"/>
          <w:szCs w:val="16"/>
          <w:color w:val="auto"/>
        </w:rPr>
        <w:t>The undersigned hereby appoints Sean Menke, Michael Randolfi and Steve Milton (the “Named Proxies”), and each or any of them, as the true and lawful attorneys of the undersigned, with full power of substitution and revocation, and authorizes them, and each of them, to vote all the shares of capital stock of Sabre Corporation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60" w:lineRule="exact"/>
        <w:rPr>
          <w:sz w:val="20"/>
          <w:szCs w:val="20"/>
          <w:color w:val="auto"/>
        </w:rPr>
      </w:pPr>
    </w:p>
    <w:p>
      <w:pPr>
        <w:ind w:left="580" w:right="260"/>
        <w:spacing w:after="0" w:line="298" w:lineRule="auto"/>
        <w:rPr>
          <w:sz w:val="20"/>
          <w:szCs w:val="20"/>
          <w:color w:val="auto"/>
        </w:rPr>
      </w:pPr>
      <w:r>
        <w:rPr>
          <w:rFonts w:ascii="Times New Roman" w:cs="Times New Roman" w:eastAsia="Times New Roman" w:hAnsi="Times New Roman"/>
          <w:sz w:val="16"/>
          <w:szCs w:val="16"/>
          <w:color w:val="auto"/>
        </w:rPr>
        <w:t>THE SHARES REPRESENTED BY THIS PROXY WILL BE VOTED AS DIRECTED OR, IF NO DIRECTION IS GIVEN, SHARES WILL BE VOTED FOR THE ELECTION OF THE DIRECTORS IN ITEM 1 AND FOR THE PROPOSALS IN ITEMS 2, 3 and 4.</w:t>
      </w:r>
    </w:p>
    <w:p>
      <w:pPr>
        <w:spacing w:after="0" w:line="137" w:lineRule="exact"/>
        <w:rPr>
          <w:sz w:val="20"/>
          <w:szCs w:val="20"/>
          <w:color w:val="auto"/>
        </w:rPr>
      </w:pPr>
    </w:p>
    <w:p>
      <w:pPr>
        <w:ind w:left="580" w:right="80"/>
        <w:spacing w:after="0" w:line="278" w:lineRule="auto"/>
        <w:rPr>
          <w:sz w:val="20"/>
          <w:szCs w:val="20"/>
          <w:color w:val="auto"/>
        </w:rPr>
      </w:pPr>
      <w:r>
        <w:rPr>
          <w:rFonts w:ascii="Times New Roman" w:cs="Times New Roman" w:eastAsia="Times New Roman" w:hAnsi="Times New Roman"/>
          <w:sz w:val="16"/>
          <w:szCs w:val="16"/>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PLEASE BE SURE TO SIGN AND DATE THIS PROXY CARD AND MARK ON THE REVERSE SIDE</w:t>
      </w:r>
    </w:p>
    <w:p>
      <w:pPr>
        <w:sectPr>
          <w:pgSz w:w="11900" w:h="16838" w:orient="portrait"/>
          <w:cols w:equalWidth="0" w:num="1">
            <w:col w:w="10580"/>
          </w:cols>
          <w:pgMar w:left="320" w:top="450"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Table of Contents</w:t>
      </w:r>
    </w:p>
    <w:p>
      <w:pPr>
        <w:spacing w:after="0" w:line="28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Sabre Corporation</w:t>
      </w:r>
    </w:p>
    <w:p>
      <w:pPr>
        <w:spacing w:after="0" w:line="3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193" w:lineRule="exact"/>
        <w:rPr>
          <w:sz w:val="20"/>
          <w:szCs w:val="20"/>
          <w:color w:val="auto"/>
        </w:rPr>
      </w:pPr>
    </w:p>
    <w:p>
      <w:pPr>
        <w:ind w:left="58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Please make your marks like this: </w:t>
      </w:r>
      <w:r>
        <w:rPr>
          <w:rFonts w:ascii="MS PGothic" w:cs="MS PGothic" w:eastAsia="MS PGothic" w:hAnsi="MS PGothic"/>
          <w:sz w:val="16"/>
          <w:szCs w:val="16"/>
          <w:color w:val="auto"/>
        </w:rPr>
        <w:t>☒</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THE BOARD OF DIRECTORS RECOMMENDS A VOTE:</w:t>
      </w:r>
    </w:p>
    <w:p>
      <w:pPr>
        <w:spacing w:after="0" w:line="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PROPOSALS 1, 2, 3 AND 4</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3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w w:val="99"/>
              </w:rPr>
              <w:t>BOARD OF</w:t>
            </w:r>
          </w:p>
        </w:tc>
        <w:tc>
          <w:tcPr>
            <w:tcW w:w="0" w:type="dxa"/>
            <w:vAlign w:val="bottom"/>
          </w:tcPr>
          <w:p>
            <w:pPr>
              <w:spacing w:after="0"/>
              <w:rPr>
                <w:sz w:val="1"/>
                <w:szCs w:val="1"/>
                <w:color w:val="auto"/>
              </w:rPr>
            </w:pPr>
          </w:p>
        </w:tc>
      </w:tr>
      <w:tr>
        <w:trPr>
          <w:trHeight w:val="136"/>
        </w:trPr>
        <w:tc>
          <w:tcPr>
            <w:tcW w:w="3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PROPOSAL</w:t>
            </w:r>
          </w:p>
        </w:tc>
        <w:tc>
          <w:tcPr>
            <w:tcW w:w="4360" w:type="dxa"/>
            <w:vAlign w:val="bottom"/>
            <w:vMerge w:val="restart"/>
          </w:tcPr>
          <w:p>
            <w:pPr>
              <w:ind w:left="3200"/>
              <w:spacing w:after="0"/>
              <w:rPr>
                <w:sz w:val="20"/>
                <w:szCs w:val="20"/>
                <w:color w:val="auto"/>
              </w:rPr>
            </w:pPr>
            <w:r>
              <w:rPr>
                <w:rFonts w:ascii="Times New Roman" w:cs="Times New Roman" w:eastAsia="Times New Roman" w:hAnsi="Times New Roman"/>
                <w:sz w:val="13"/>
                <w:szCs w:val="13"/>
                <w:b w:val="1"/>
                <w:bCs w:val="1"/>
                <w:color w:val="auto"/>
              </w:rPr>
              <w:t>YOUR VOTE</w:t>
            </w:r>
          </w:p>
        </w:tc>
        <w:tc>
          <w:tcPr>
            <w:tcW w:w="1320" w:type="dxa"/>
            <w:vAlign w:val="bottom"/>
          </w:tcPr>
          <w:p>
            <w:pPr>
              <w:jc w:val="center"/>
              <w:ind w:left="274"/>
              <w:spacing w:after="0" w:line="136" w:lineRule="exact"/>
              <w:rPr>
                <w:sz w:val="20"/>
                <w:szCs w:val="20"/>
                <w:color w:val="auto"/>
              </w:rPr>
            </w:pPr>
            <w:r>
              <w:rPr>
                <w:rFonts w:ascii="Times New Roman" w:cs="Times New Roman" w:eastAsia="Times New Roman" w:hAnsi="Times New Roman"/>
                <w:sz w:val="13"/>
                <w:szCs w:val="13"/>
                <w:b w:val="1"/>
                <w:bCs w:val="1"/>
                <w:color w:val="auto"/>
              </w:rPr>
              <w:t>DIRECTORS</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32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RECOMMENDS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0"/>
        <w:spacing w:after="0"/>
        <w:tabs>
          <w:tab w:leader="none" w:pos="98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Election of Directors (term to expire at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6287770</wp:posOffset>
            </wp:positionH>
            <wp:positionV relativeFrom="paragraph">
              <wp:posOffset>-105410</wp:posOffset>
            </wp:positionV>
            <wp:extent cx="282575" cy="2825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8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AGAINST</w:t>
            </w:r>
          </w:p>
        </w:tc>
        <w:tc>
          <w:tcPr>
            <w:tcW w:w="96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59"/>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1.01</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George Bravante, Jr.</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1.02</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Hervè Couturier</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1.03</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Kurt Ekert</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1.04</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Rachel Gonzalez</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1.05</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Gail Mandel</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1.06</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Sean Menke</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1.07</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Phyllis Newhouse</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1.08</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Karl Peterson</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6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1.09 Zane Rowe</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1.10</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Gregg Saretsky</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6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1.11 John Scott</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1.12</w:t>
            </w:r>
          </w:p>
        </w:tc>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Wendi Sturgis</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352"/>
        </w:trPr>
        <w:tc>
          <w:tcPr>
            <w:tcW w:w="7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AGAINST</w:t>
            </w:r>
          </w:p>
        </w:tc>
        <w:tc>
          <w:tcPr>
            <w:tcW w:w="96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06"/>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2.To ratify the appointment of Ernst &amp; Young LLP as our independent auditors for the fiscal year</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ending December 31, 2023.</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3.To approve our 2023 Omnibus Incentive Compensation Plan.</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97"/>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4.To hold an advisory vote on the compensation of our named executive officers.</w:t>
            </w:r>
          </w:p>
        </w:tc>
        <w:tc>
          <w:tcPr>
            <w:tcW w:w="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right="80"/>
              <w:spacing w:after="0" w:line="161" w:lineRule="exact"/>
              <w:rPr>
                <w:sz w:val="20"/>
                <w:szCs w:val="20"/>
                <w:color w:val="auto"/>
              </w:rPr>
            </w:pPr>
            <w:r>
              <w:rPr>
                <w:rFonts w:ascii="MS PGothic" w:cs="MS PGothic" w:eastAsia="MS PGothic" w:hAnsi="MS PGothic"/>
                <w:sz w:val="16"/>
                <w:szCs w:val="16"/>
                <w:color w:val="auto"/>
                <w:w w:val="99"/>
              </w:rPr>
              <w:t>☐</w:t>
            </w: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62"/>
        </w:trPr>
        <w:tc>
          <w:tcPr>
            <w:tcW w:w="6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NOTE: In their discretion, the proxies are authorized to vote on any other business that may</w:t>
            </w: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properly come before the Annual Meeting or any adjournments or postponements.</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320" w:top="45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Authorized Signatures - Must be completed for your instructions to be executed.</w:t>
      </w:r>
    </w:p>
    <w:p>
      <w:pPr>
        <w:spacing w:after="0" w:line="31" w:lineRule="exact"/>
        <w:rPr>
          <w:sz w:val="20"/>
          <w:szCs w:val="20"/>
          <w:color w:val="auto"/>
        </w:rPr>
      </w:pPr>
    </w:p>
    <w:p>
      <w:pPr>
        <w:jc w:val="both"/>
        <w:ind w:left="1480"/>
        <w:spacing w:after="0" w:line="267" w:lineRule="auto"/>
        <w:rPr>
          <w:sz w:val="20"/>
          <w:szCs w:val="20"/>
          <w:color w:val="auto"/>
        </w:rPr>
      </w:pPr>
      <w:r>
        <w:rPr>
          <w:rFonts w:ascii="Times New Roman" w:cs="Times New Roman" w:eastAsia="Times New Roman" w:hAnsi="Times New Roman"/>
          <w:sz w:val="16"/>
          <w:szCs w:val="16"/>
          <w:color w:val="auto"/>
        </w:rPr>
        <w:t>Please sign exactly as your name(s) appears on your account. If held in joint tenancy, all persons should include title and authority. Corporations should provide full name of corporation and title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253365</wp:posOffset>
            </wp:positionV>
            <wp:extent cx="308546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085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should sign. Trustees, administrators, etc., of authorized officer signing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363855</wp:posOffset>
            </wp:positionV>
            <wp:extent cx="306959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069590" cy="762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840" w:space="40"/>
            <w:col w:w="2780"/>
          </w:cols>
          <w:pgMar w:left="320" w:top="453" w:right="919" w:bottom="1440" w:gutter="0" w:footer="0" w:header="0"/>
          <w:type w:val="continuous"/>
        </w:sectPr>
      </w:pPr>
    </w:p>
    <w:p>
      <w:pPr>
        <w:spacing w:after="0" w:line="207" w:lineRule="exact"/>
        <w:rPr>
          <w:sz w:val="20"/>
          <w:szCs w:val="20"/>
          <w:color w:val="auto"/>
        </w:rPr>
      </w:pPr>
    </w:p>
    <w:p>
      <w:pPr>
        <w:ind w:left="580"/>
        <w:spacing w:after="0"/>
        <w:tabs>
          <w:tab w:leader="none" w:pos="4520" w:val="left"/>
          <w:tab w:leader="none" w:pos="5820" w:val="left"/>
          <w:tab w:leader="none" w:pos="9740" w:val="left"/>
        </w:tabs>
        <w:rPr>
          <w:sz w:val="20"/>
          <w:szCs w:val="20"/>
          <w:color w:val="auto"/>
        </w:rPr>
      </w:pPr>
      <w:r>
        <w:rPr>
          <w:rFonts w:ascii="Times New Roman" w:cs="Times New Roman" w:eastAsia="Times New Roman" w:hAnsi="Times New Roman"/>
          <w:sz w:val="16"/>
          <w:szCs w:val="16"/>
          <w:color w:val="auto"/>
        </w:rPr>
        <w:t>Signature (and Title if applicable)</w:t>
      </w:r>
      <w:r>
        <w:rPr>
          <w:sz w:val="20"/>
          <w:szCs w:val="20"/>
          <w:color w:val="auto"/>
        </w:rPr>
        <w:tab/>
      </w: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Signature (if held jointly)</w:t>
      </w:r>
      <w:r>
        <w:rPr>
          <w:sz w:val="20"/>
          <w:szCs w:val="20"/>
          <w:color w:val="auto"/>
        </w:rPr>
        <w:tab/>
      </w:r>
      <w:r>
        <w:rPr>
          <w:rFonts w:ascii="Times New Roman" w:cs="Times New Roman" w:eastAsia="Times New Roman" w:hAnsi="Times New Roman"/>
          <w:sz w:val="16"/>
          <w:szCs w:val="16"/>
          <w:color w:val="auto"/>
        </w:rPr>
        <w:t>Date</w:t>
      </w:r>
    </w:p>
    <w:sectPr>
      <w:pgSz w:w="11900" w:h="16838" w:orient="portrait"/>
      <w:cols w:equalWidth="0" w:num="1">
        <w:col w:w="10660"/>
      </w:cols>
      <w:pgMar w:left="320" w:top="453"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1)"/>
      <w:numFmt w:val="decimal"/>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1)"/>
      <w:numFmt w:val="decimal"/>
      <w:start w:val="1"/>
    </w:lvl>
  </w:abstractNum>
  <w:abstractNum w:abstractNumId="22">
    <w:nsid w:val="14330624"/>
    <w:multiLevelType w:val="hybridMultilevel"/>
    <w:lvl w:ilvl="0">
      <w:lvlJc w:val="left"/>
      <w:lvlText w:val="(%1)"/>
      <w:numFmt w:val="decimal"/>
      <w:start w:val="2"/>
    </w:lvl>
  </w:abstractNum>
  <w:abstractNum w:abstractNumId="23">
    <w:nsid w:val="7FFFCA11"/>
    <w:multiLevelType w:val="hybridMultilevel"/>
    <w:lvl w:ilvl="0">
      <w:lvlJc w:val="left"/>
      <w:lvlText w:val="%1"/>
      <w:numFmt w:val="decimal"/>
      <w:start w:val="1"/>
    </w:lvl>
    <w:lvl w:ilvl="1">
      <w:lvlJc w:val="left"/>
      <w:lvlText w:val="(%2)"/>
      <w:numFmt w:val="lowerLetter"/>
      <w:start w:val="1"/>
    </w:lvl>
  </w:abstractNum>
  <w:abstractNum w:abstractNumId="24">
    <w:nsid w:val="1A27709E"/>
    <w:multiLevelType w:val="hybridMultilevel"/>
    <w:lvl w:ilvl="0">
      <w:lvlJc w:val="left"/>
      <w:lvlText w:val="(%1)"/>
      <w:numFmt w:val="decimal"/>
      <w:start w:val="3"/>
    </w:lvl>
    <w:lvl w:ilvl="1">
      <w:lvlJc w:val="left"/>
      <w:lvlText w:val="%2"/>
      <w:numFmt w:val="lowerLetter"/>
      <w:start w:val="1"/>
    </w:lvl>
  </w:abstractNum>
  <w:abstractNum w:abstractNumId="25">
    <w:nsid w:val="71EA1109"/>
    <w:multiLevelType w:val="hybridMultilevel"/>
    <w:lvl w:ilvl="0">
      <w:lvlJc w:val="left"/>
      <w:lvlText w:val="(%1)"/>
      <w:numFmt w:val="decimal"/>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1)"/>
      <w:numFmt w:val="decimal"/>
      <w:start w:val="1"/>
    </w:lvl>
  </w:abstractNum>
  <w:abstractNum w:abstractNumId="30">
    <w:nsid w:val="94211F2"/>
    <w:multiLevelType w:val="hybridMultilevel"/>
    <w:lvl w:ilvl="0">
      <w:lvlJc w:val="left"/>
      <w:lvlText w:val="(%1)"/>
      <w:numFmt w:val="decimal"/>
      <w:start w:val="2"/>
    </w:lvl>
  </w:abstractNum>
  <w:abstractNum w:abstractNumId="31">
    <w:nsid w:val="885E1B"/>
    <w:multiLevelType w:val="hybridMultilevel"/>
    <w:lvl w:ilvl="0">
      <w:lvlJc w:val="left"/>
      <w:lvlText w:val="•"/>
      <w:numFmt w:val="bullet"/>
      <w:start w:val="1"/>
    </w:lvl>
    <w:lvl w:ilvl="1">
      <w:lvlJc w:val="left"/>
      <w:lvlText w:val="(%2)"/>
      <w:numFmt w:val="decimal"/>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1)"/>
      <w:numFmt w:val="decimal"/>
      <w:start w:val="1"/>
    </w:lvl>
  </w:abstractNum>
  <w:abstractNum w:abstractNumId="36">
    <w:nsid w:val="3222E7CD"/>
    <w:multiLevelType w:val="hybridMultilevel"/>
    <w:lvl w:ilvl="0">
      <w:lvlJc w:val="left"/>
      <w:lvlText w:val="(%1)"/>
      <w:numFmt w:val="lowerLetter"/>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1)"/>
      <w:numFmt w:val="decimal"/>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lvl w:ilvl="1">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1)"/>
      <w:numFmt w:val="decimal"/>
      <w:start w:val="3"/>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1)"/>
      <w:numFmt w:val="decimal"/>
      <w:start w:val="1"/>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decimal"/>
      <w:start w:val="3"/>
    </w:lvl>
  </w:abstractNum>
  <w:abstractNum w:abstractNumId="55">
    <w:nsid w:val="6AA78F7F"/>
    <w:multiLevelType w:val="hybridMultilevel"/>
    <w:lvl w:ilvl="0">
      <w:lvlJc w:val="left"/>
      <w:lvlText w:val="(%1)"/>
      <w:numFmt w:val="decimal"/>
      <w:start w:val="5"/>
    </w:lvl>
  </w:abstractNum>
  <w:abstractNum w:abstractNumId="56">
    <w:nsid w:val="7672BD23"/>
    <w:multiLevelType w:val="hybridMultilevel"/>
    <w:lvl w:ilvl="0">
      <w:lvlJc w:val="left"/>
      <w:lvlText w:val="(%1)"/>
      <w:numFmt w:val="decimal"/>
      <w:start w:val="2"/>
    </w:lvl>
  </w:abstractNum>
  <w:abstractNum w:abstractNumId="57">
    <w:nsid w:val="6FC75AF8"/>
    <w:multiLevelType w:val="hybridMultilevel"/>
    <w:lvl w:ilvl="0">
      <w:lvlJc w:val="left"/>
      <w:lvlText w:val="(%1)"/>
      <w:numFmt w:val="decimal"/>
      <w:start w:val="1"/>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lvl w:ilvl="1">
      <w:lvlJc w:val="left"/>
      <w:lvlText w:val="•"/>
      <w:numFmt w:val="bullet"/>
      <w:start w:val="1"/>
    </w:lvl>
  </w:abstractNum>
  <w:abstractNum w:abstractNumId="61">
    <w:nsid w:val="73A1821B"/>
    <w:multiLevelType w:val="hybridMultilevel"/>
    <w:lvl w:ilvl="0">
      <w:lvlJc w:val="left"/>
      <w:lvlText w:val="(%1)"/>
      <w:numFmt w:val="decimal"/>
      <w:start w:val="1"/>
    </w:lvl>
  </w:abstractNum>
  <w:abstractNum w:abstractNumId="62">
    <w:nsid w:val="7DE67713"/>
    <w:multiLevelType w:val="hybridMultilevel"/>
    <w:lvl w:ilvl="0">
      <w:lvlJc w:val="left"/>
      <w:lvlText w:val="(%1)"/>
      <w:numFmt w:val="decimal"/>
      <w:start w:val="2"/>
    </w:lvl>
  </w:abstractNum>
  <w:abstractNum w:abstractNumId="63">
    <w:nsid w:val="555C55B5"/>
    <w:multiLevelType w:val="hybridMultilevel"/>
    <w:lvl w:ilvl="0">
      <w:lvlJc w:val="left"/>
      <w:lvlText w:val="(%1)"/>
      <w:numFmt w:val="lowerLetter"/>
      <w:start w:val="1"/>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decimal"/>
      <w:start w:val="4"/>
    </w:lvl>
  </w:abstractNum>
  <w:abstractNum w:abstractNumId="66">
    <w:nsid w:val="6A3DD3E8"/>
    <w:multiLevelType w:val="hybridMultilevel"/>
    <w:lvl w:ilvl="0">
      <w:lvlJc w:val="left"/>
      <w:lvlText w:val="(%1)"/>
      <w:numFmt w:val="decimal"/>
      <w:start w:val="1"/>
    </w:lvl>
  </w:abstractNum>
  <w:abstractNum w:abstractNumId="67">
    <w:nsid w:val="71C91298"/>
    <w:multiLevelType w:val="hybridMultilevel"/>
    <w:lvl w:ilvl="0">
      <w:lvlJc w:val="left"/>
      <w:lvlText w:val="(%1)"/>
      <w:numFmt w:val="decimal"/>
      <w:start w:val="5"/>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1)"/>
      <w:numFmt w:val="decimal"/>
      <w:start w:val="1"/>
    </w:lvl>
    <w:lvl w:ilvl="1">
      <w:lvlJc w:val="left"/>
      <w:lvlText w:val="•"/>
      <w:numFmt w:val="bullet"/>
      <w:start w:val="1"/>
    </w:lvl>
  </w:abstractNum>
  <w:abstractNum w:abstractNumId="72">
    <w:nsid w:val="1D545C4D"/>
    <w:multiLevelType w:val="hybridMultilevel"/>
    <w:lvl w:ilvl="0">
      <w:lvlJc w:val="left"/>
      <w:lvlText w:val="(%1)"/>
      <w:numFmt w:val="decimal"/>
      <w:start w:val="3"/>
    </w:lvl>
    <w:lvl w:ilvl="1">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1)"/>
      <w:numFmt w:val="lowerRoman"/>
      <w:start w:val="10"/>
    </w:lvl>
  </w:abstractNum>
  <w:abstractNum w:abstractNumId="75">
    <w:nsid w:val="2A155DBC"/>
    <w:multiLevelType w:val="hybridMultilevel"/>
    <w:lvl w:ilvl="0">
      <w:lvlJc w:val="left"/>
      <w:lvlText w:val="(%1)"/>
      <w:numFmt w:val="decimal"/>
      <w:start w:val="1"/>
    </w:lvl>
  </w:abstractNum>
  <w:abstractNum w:abstractNumId="76">
    <w:nsid w:val="1D9F6E5F"/>
    <w:multiLevelType w:val="hybridMultilevel"/>
    <w:lvl w:ilvl="0">
      <w:lvlJc w:val="left"/>
      <w:lvlText w:val="(%1)"/>
      <w:numFmt w:val="decimal"/>
      <w:start w:val="3"/>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lowerLetter"/>
      <w:start w:val="1"/>
    </w:lvl>
  </w:abstractNum>
  <w:abstractNum w:abstractNumId="81">
    <w:nsid w:val="415E286C"/>
    <w:multiLevelType w:val="hybridMultilevel"/>
    <w:lvl w:ilvl="0">
      <w:lvlJc w:val="left"/>
      <w:lvlText w:val="(%1)"/>
      <w:numFmt w:val="lowerLetter"/>
      <w:start w:val="8"/>
    </w:lvl>
  </w:abstractNum>
  <w:abstractNum w:abstractNumId="82">
    <w:nsid w:val="7C58FD05"/>
    <w:multiLevelType w:val="hybridMultilevel"/>
    <w:lvl w:ilvl="0">
      <w:lvlJc w:val="left"/>
      <w:lvlText w:val="(%1)"/>
      <w:numFmt w:val="lowerLetter"/>
      <w:start w:val="10"/>
    </w:lvl>
  </w:abstractNum>
  <w:abstractNum w:abstractNumId="83">
    <w:nsid w:val="23D86AAC"/>
    <w:multiLevelType w:val="hybridMultilevel"/>
    <w:lvl w:ilvl="0">
      <w:lvlJc w:val="left"/>
      <w:lvlText w:val="(%1)"/>
      <w:numFmt w:val="lowerLetter"/>
      <w:start w:val="9"/>
    </w:lvl>
  </w:abstractNum>
  <w:abstractNum w:abstractNumId="84">
    <w:nsid w:val="45E6D486"/>
    <w:multiLevelType w:val="hybridMultilevel"/>
    <w:lvl w:ilvl="0">
      <w:lvlJc w:val="left"/>
      <w:lvlText w:val="(%1)"/>
      <w:numFmt w:val="lowerLetter"/>
      <w:start w:val="17"/>
    </w:lvl>
  </w:abstractNum>
  <w:abstractNum w:abstractNumId="85">
    <w:nsid w:val="5C10FE21"/>
    <w:multiLevelType w:val="hybridMultilevel"/>
    <w:lvl w:ilvl="0">
      <w:lvlJc w:val="left"/>
      <w:lvlText w:val="(%1)"/>
      <w:numFmt w:val="lowerLetter"/>
      <w:start w:val="20"/>
    </w:lvl>
  </w:abstractNum>
  <w:abstractNum w:abstractNumId="86">
    <w:nsid w:val="E7FFA2B"/>
    <w:multiLevelType w:val="hybridMultilevel"/>
    <w:lvl w:ilvl="0">
      <w:lvlJc w:val="left"/>
      <w:lvlText w:val="(%1)"/>
      <w:numFmt w:val="lowerLetter"/>
      <w:start w:val="27"/>
    </w:lvl>
  </w:abstractNum>
  <w:abstractNum w:abstractNumId="87">
    <w:nsid w:val="3C5991AA"/>
    <w:multiLevelType w:val="hybridMultilevel"/>
    <w:lvl w:ilvl="0">
      <w:lvlJc w:val="left"/>
      <w:lvlText w:val="(%1)"/>
      <w:numFmt w:val="lowerLetter"/>
      <w:start w:val="1"/>
    </w:lvl>
  </w:abstractNum>
  <w:abstractNum w:abstractNumId="88">
    <w:nsid w:val="4BD8591A"/>
    <w:multiLevelType w:val="hybridMultilevel"/>
    <w:lvl w:ilvl="0">
      <w:lvlJc w:val="left"/>
      <w:lvlText w:val="(%1)"/>
      <w:numFmt w:val="lowerLetter"/>
      <w:start w:val="35"/>
    </w:lvl>
  </w:abstractNum>
  <w:abstractNum w:abstractNumId="89">
    <w:nsid w:val="78DF6A55"/>
    <w:multiLevelType w:val="hybridMultilevel"/>
    <w:lvl w:ilvl="0">
      <w:lvlJc w:val="left"/>
      <w:lvlText w:val="(%1)"/>
      <w:numFmt w:val="lowerLetter"/>
      <w:start w:val="2"/>
    </w:lvl>
  </w:abstractNum>
  <w:abstractNum w:abstractNumId="90">
    <w:nsid w:val="39B7AAA2"/>
    <w:multiLevelType w:val="hybridMultilevel"/>
    <w:lvl w:ilvl="0">
      <w:lvlJc w:val="left"/>
      <w:lvlText w:val="(%1)"/>
      <w:numFmt w:val="lowerLetter"/>
      <w:start w:val="3"/>
    </w:lvl>
    <w:lvl w:ilvl="1">
      <w:lvlJc w:val="left"/>
      <w:lvlText w:val="(%2)"/>
      <w:numFmt w:val="lowerRoman"/>
      <w:start w:val="1"/>
    </w:lvl>
  </w:abstractNum>
  <w:abstractNum w:abstractNumId="91">
    <w:nsid w:val="2B0D8DBE"/>
    <w:multiLevelType w:val="hybridMultilevel"/>
    <w:lvl w:ilvl="0">
      <w:lvlJc w:val="left"/>
      <w:lvlText w:val="(%1)"/>
      <w:numFmt w:val="lowerLetter"/>
      <w:start w:val="1"/>
    </w:lvl>
  </w:abstractNum>
  <w:abstractNum w:abstractNumId="92">
    <w:nsid w:val="6C80EC70"/>
    <w:multiLevelType w:val="hybridMultilevel"/>
    <w:lvl w:ilvl="0">
      <w:lvlJc w:val="left"/>
      <w:lvlText w:val="(%1)"/>
      <w:numFmt w:val="lowerLetter"/>
      <w:start w:val="2"/>
    </w:lvl>
    <w:lvl w:ilvl="1">
      <w:lvlJc w:val="left"/>
      <w:lvlText w:val="(%2)"/>
      <w:numFmt w:val="lowerLetter"/>
      <w:start w:val="9"/>
    </w:lvl>
  </w:abstractNum>
  <w:abstractNum w:abstractNumId="93">
    <w:nsid w:val="379E21B5"/>
    <w:multiLevelType w:val="hybridMultilevel"/>
    <w:lvl w:ilvl="0">
      <w:lvlJc w:val="left"/>
      <w:lvlText w:val="(%1)"/>
      <w:numFmt w:val="lowerRoman"/>
      <w:start w:val="2"/>
    </w:lvl>
  </w:abstractNum>
  <w:abstractNum w:abstractNumId="94">
    <w:nsid w:val="69E373"/>
    <w:multiLevelType w:val="hybridMultilevel"/>
    <w:lvl w:ilvl="0">
      <w:lvlJc w:val="left"/>
      <w:lvlText w:val="%1"/>
      <w:numFmt w:val="lowerLetter"/>
      <w:start w:val="1"/>
    </w:lvl>
    <w:lvl w:ilvl="1">
      <w:lvlJc w:val="left"/>
      <w:lvlText w:val="(%2)"/>
      <w:numFmt w:val="lowerLetter"/>
      <w:start w:val="22"/>
    </w:lvl>
  </w:abstractNum>
  <w:abstractNum w:abstractNumId="95">
    <w:nsid w:val="2C27173B"/>
    <w:multiLevelType w:val="hybridMultilevel"/>
    <w:lvl w:ilvl="0">
      <w:lvlJc w:val="left"/>
      <w:lvlText w:val="(%1)"/>
      <w:numFmt w:val="lowerLetter"/>
      <w:start w:val="3"/>
    </w:lvl>
    <w:lvl w:ilvl="1">
      <w:lvlJc w:val="left"/>
      <w:lvlText w:val="(%2)"/>
      <w:numFmt w:val="lowerLetter"/>
      <w:start w:val="9"/>
    </w:lvl>
  </w:abstractNum>
  <w:abstractNum w:abstractNumId="96">
    <w:nsid w:val="4C9B0904"/>
    <w:multiLevelType w:val="hybridMultilevel"/>
    <w:lvl w:ilvl="0">
      <w:lvlJc w:val="left"/>
      <w:lvlText w:val="%1"/>
      <w:numFmt w:val="lowerLetter"/>
      <w:start w:val="1"/>
    </w:lvl>
    <w:lvl w:ilvl="1">
      <w:lvlJc w:val="left"/>
      <w:lvlText w:val="(%2)"/>
      <w:numFmt w:val="lowerLetter"/>
      <w:start w:val="35"/>
    </w:lvl>
  </w:abstractNum>
  <w:abstractNum w:abstractNumId="97">
    <w:nsid w:val="6AA7B75C"/>
    <w:multiLevelType w:val="hybridMultilevel"/>
    <w:lvl w:ilvl="0">
      <w:lvlJc w:val="left"/>
      <w:lvlText w:val="(%1)"/>
      <w:numFmt w:val="lowerLetter"/>
      <w:start w:val="4"/>
    </w:lvl>
    <w:lvl w:ilvl="1">
      <w:lvlJc w:val="left"/>
      <w:lvlText w:val="(%2)"/>
      <w:numFmt w:val="lowerLetter"/>
      <w:start w:val="9"/>
    </w:lvl>
  </w:abstractNum>
  <w:abstractNum w:abstractNumId="98">
    <w:nsid w:val="1DF029D3"/>
    <w:multiLevelType w:val="hybridMultilevel"/>
    <w:lvl w:ilvl="0">
      <w:lvlJc w:val="left"/>
      <w:lvlText w:val="%1"/>
      <w:numFmt w:val="lowerLetter"/>
      <w:start w:val="1"/>
    </w:lvl>
    <w:lvl w:ilvl="1">
      <w:lvlJc w:val="left"/>
      <w:lvlText w:val="(%2)"/>
      <w:numFmt w:val="lowerRoman"/>
      <w:start w:val="2"/>
    </w:lvl>
  </w:abstractNum>
  <w:abstractNum w:abstractNumId="99">
    <w:nsid w:val="5675FF36"/>
    <w:multiLevelType w:val="hybridMultilevel"/>
    <w:lvl w:ilvl="0">
      <w:lvlJc w:val="left"/>
      <w:lvlText w:val="(%1)"/>
      <w:numFmt w:val="lowerLetter"/>
      <w:start w:val="5"/>
    </w:lvl>
    <w:lvl w:ilvl="1">
      <w:lvlJc w:val="left"/>
      <w:lvlText w:val="(%2)"/>
      <w:numFmt w:val="lowerRoman"/>
      <w:start w:val="1"/>
    </w:lvl>
  </w:abstractNum>
  <w:abstractNum w:abstractNumId="100">
    <w:nsid w:val="3DD15094"/>
    <w:multiLevelType w:val="hybridMultilevel"/>
    <w:lvl w:ilvl="0">
      <w:lvlJc w:val="left"/>
      <w:lvlText w:val="(%1)"/>
      <w:numFmt w:val="lowerLetter"/>
      <w:start w:val="1"/>
    </w:lvl>
  </w:abstractNum>
  <w:abstractNum w:abstractNumId="101">
    <w:nsid w:val="3DB012B3"/>
    <w:multiLevelType w:val="hybridMultilevel"/>
    <w:lvl w:ilvl="0">
      <w:lvlJc w:val="left"/>
      <w:lvlText w:val="(%1)"/>
      <w:numFmt w:val="lowerLetter"/>
      <w:start w:val="2"/>
    </w:lvl>
    <w:lvl w:ilvl="1">
      <w:lvlJc w:val="left"/>
      <w:lvlText w:val="(%2)"/>
      <w:numFmt w:val="lowerRoman"/>
      <w:start w:val="1"/>
    </w:lvl>
  </w:abstractNum>
  <w:abstractNum w:abstractNumId="102">
    <w:nsid w:val="2708C9AF"/>
    <w:multiLevelType w:val="hybridMultilevel"/>
    <w:lvl w:ilvl="0">
      <w:lvlJc w:val="left"/>
      <w:lvlText w:val="%1"/>
      <w:numFmt w:val="lowerLetter"/>
      <w:start w:val="1"/>
    </w:lvl>
    <w:lvl w:ilvl="1">
      <w:lvlJc w:val="left"/>
      <w:lvlText w:val="(%2)"/>
      <w:numFmt w:val="lowerLetter"/>
      <w:start w:val="22"/>
    </w:lvl>
  </w:abstractNum>
  <w:abstractNum w:abstractNumId="103">
    <w:nsid w:val="5B25ACE2"/>
    <w:multiLevelType w:val="hybridMultilevel"/>
    <w:lvl w:ilvl="0">
      <w:lvlJc w:val="left"/>
      <w:lvlText w:val="(%1)"/>
      <w:numFmt w:val="lowerLetter"/>
      <w:start w:val="3"/>
    </w:lvl>
    <w:lvl w:ilvl="1">
      <w:lvlJc w:val="left"/>
      <w:lvlText w:val="(%2)"/>
      <w:numFmt w:val="lowerLetter"/>
      <w:start w:val="9"/>
    </w:lvl>
  </w:abstractNum>
  <w:abstractNum w:abstractNumId="104">
    <w:nsid w:val="175DFCF0"/>
    <w:multiLevelType w:val="hybridMultilevel"/>
    <w:lvl w:ilvl="0">
      <w:lvlJc w:val="left"/>
      <w:lvlText w:val="%1"/>
      <w:numFmt w:val="decimal"/>
      <w:start w:val="1"/>
    </w:lvl>
    <w:lvl w:ilvl="1">
      <w:lvlJc w:val="left"/>
      <w:lvlText w:val="(%2)"/>
      <w:numFmt w:val="lowerRoman"/>
      <w:start w:val="2"/>
    </w:lvl>
  </w:abstractNum>
  <w:abstractNum w:abstractNumId="105">
    <w:nsid w:val="4F97E3E4"/>
    <w:multiLevelType w:val="hybridMultilevel"/>
    <w:lvl w:ilvl="0">
      <w:lvlJc w:val="left"/>
      <w:lvlText w:val="%1."/>
      <w:numFmt w:val="decimal"/>
      <w:start w:val="7"/>
    </w:lvl>
    <w:lvl w:ilvl="1">
      <w:lvlJc w:val="left"/>
      <w:lvlText w:val="%2"/>
      <w:numFmt w:val="lowerRoman"/>
      <w:start w:val="1"/>
    </w:lvl>
  </w:abstractNum>
  <w:abstractNum w:abstractNumId="106">
    <w:nsid w:val="53B0A9E"/>
    <w:multiLevelType w:val="hybridMultilevel"/>
    <w:lvl w:ilvl="0">
      <w:lvlJc w:val="left"/>
      <w:lvlText w:val="(%1)"/>
      <w:numFmt w:val="lowerLetter"/>
      <w:start w:val="1"/>
    </w:lvl>
  </w:abstractNum>
  <w:abstractNum w:abstractNumId="107">
    <w:nsid w:val="34FD6B4F"/>
    <w:multiLevelType w:val="hybridMultilevel"/>
    <w:lvl w:ilvl="0">
      <w:lvlJc w:val="left"/>
      <w:lvlText w:val="(%1)"/>
      <w:numFmt w:val="lowerLetter"/>
      <w:start w:val="35"/>
    </w:lvl>
  </w:abstractNum>
  <w:abstractNum w:abstractNumId="108">
    <w:nsid w:val="5915FF32"/>
    <w:multiLevelType w:val="hybridMultilevel"/>
    <w:lvl w:ilvl="0">
      <w:lvlJc w:val="left"/>
      <w:lvlText w:val="(%1)"/>
      <w:numFmt w:val="lowerLetter"/>
      <w:start w:val="2"/>
    </w:lvl>
  </w:abstractNum>
  <w:abstractNum w:abstractNumId="109">
    <w:nsid w:val="56438D15"/>
    <w:multiLevelType w:val="hybridMultilevel"/>
    <w:lvl w:ilvl="0">
      <w:lvlJc w:val="left"/>
      <w:lvlText w:val="(%1)"/>
      <w:numFmt w:val="lowerLetter"/>
      <w:start w:val="3"/>
    </w:lvl>
  </w:abstractNum>
  <w:abstractNum w:abstractNumId="110">
    <w:nsid w:val="519E3149"/>
    <w:multiLevelType w:val="hybridMultilevel"/>
    <w:lvl w:ilvl="0">
      <w:lvlJc w:val="left"/>
      <w:lvlText w:val="(%1)"/>
      <w:numFmt w:val="lowerLetter"/>
      <w:start w:val="1"/>
    </w:lvl>
  </w:abstractNum>
  <w:abstractNum w:abstractNumId="111">
    <w:nsid w:val="2C6E4AFD"/>
    <w:multiLevelType w:val="hybridMultilevel"/>
    <w:lvl w:ilvl="0">
      <w:lvlJc w:val="left"/>
      <w:lvlText w:val="(%1)"/>
      <w:numFmt w:val="lowerLetter"/>
      <w:start w:val="1"/>
    </w:lvl>
  </w:abstractNum>
  <w:abstractNum w:abstractNumId="112">
    <w:nsid w:val="17A1B582"/>
    <w:multiLevelType w:val="hybridMultilevel"/>
    <w:lvl w:ilvl="0">
      <w:lvlJc w:val="left"/>
      <w:lvlText w:val="(%1)"/>
      <w:numFmt w:val="lowerLetter"/>
      <w:start w:val="2"/>
    </w:lvl>
  </w:abstractNum>
  <w:abstractNum w:abstractNumId="113">
    <w:nsid w:val="4DF72E4E"/>
    <w:multiLevelType w:val="hybridMultilevel"/>
    <w:lvl w:ilvl="0">
      <w:lvlJc w:val="left"/>
      <w:lvlText w:val="(%1)"/>
      <w:numFmt w:val="lowerLetter"/>
      <w:start w:val="3"/>
    </w:lvl>
  </w:abstractNum>
  <w:abstractNum w:abstractNumId="114">
    <w:nsid w:val="5046B5A9"/>
    <w:multiLevelType w:val="hybridMultilevel"/>
    <w:lvl w:ilvl="0">
      <w:lvlJc w:val="left"/>
      <w:lvlText w:val="(%1)"/>
      <w:numFmt w:val="lowerLetter"/>
      <w:start w:val="4"/>
    </w:lvl>
  </w:abstractNum>
  <w:abstractNum w:abstractNumId="115">
    <w:nsid w:val="5D888A08"/>
    <w:multiLevelType w:val="hybridMultilevel"/>
    <w:lvl w:ilvl="0">
      <w:lvlJc w:val="left"/>
      <w:lvlText w:val="%1"/>
      <w:numFmt w:val="upperLetter"/>
      <w:start w:val="1"/>
    </w:lvl>
    <w:lvl w:ilvl="1">
      <w:lvlJc w:val="left"/>
      <w:lvlText w:val="(%2)"/>
      <w:numFmt w:val="lowerRoman"/>
      <w:start w:val="1"/>
    </w:lvl>
  </w:abstractNum>
  <w:abstractNum w:abstractNumId="116">
    <w:nsid w:val="2A082C70"/>
    <w:multiLevelType w:val="hybridMultilevel"/>
    <w:lvl w:ilvl="0">
      <w:lvlJc w:val="left"/>
      <w:lvlText w:val="(%1)"/>
      <w:numFmt w:val="upperLetter"/>
      <w:start w:val="1"/>
    </w:lvl>
    <w:lvl w:ilvl="1">
      <w:lvlJc w:val="left"/>
      <w:lvlText w:val="%2"/>
      <w:numFmt w:val="lowerRoman"/>
      <w:start w:val="1"/>
    </w:lvl>
  </w:abstractNum>
  <w:abstractNum w:abstractNumId="117">
    <w:nsid w:val="5EC6AFD4"/>
    <w:multiLevelType w:val="hybridMultilevel"/>
    <w:lvl w:ilvl="0">
      <w:lvlJc w:val="left"/>
      <w:lvlText w:val="(%1)"/>
      <w:numFmt w:val="lowerLetter"/>
      <w:start w:val="5"/>
    </w:lvl>
  </w:abstractNum>
  <w:abstractNum w:abstractNumId="118">
    <w:nsid w:val="19E21BB2"/>
    <w:multiLevelType w:val="hybridMultilevel"/>
    <w:lvl w:ilvl="0">
      <w:lvlJc w:val="left"/>
      <w:lvlText w:val="(%1)"/>
      <w:numFmt w:val="lowerLetter"/>
      <w:start w:val="6"/>
    </w:lvl>
  </w:abstractNum>
  <w:abstractNum w:abstractNumId="119">
    <w:nsid w:val="75E0858A"/>
    <w:multiLevelType w:val="hybridMultilevel"/>
    <w:lvl w:ilvl="0">
      <w:lvlJc w:val="left"/>
      <w:lvlText w:val="(%1)"/>
      <w:numFmt w:val="lowerLetter"/>
      <w:start w:val="7"/>
    </w:lvl>
  </w:abstractNum>
  <w:abstractNum w:abstractNumId="120">
    <w:nsid w:val="57A61A29"/>
    <w:multiLevelType w:val="hybridMultilevel"/>
    <w:lvl w:ilvl="0">
      <w:lvlJc w:val="left"/>
      <w:lvlText w:val="(%1)"/>
      <w:numFmt w:val="lowerLetter"/>
      <w:start w:val="8"/>
    </w:lvl>
  </w:abstractNum>
  <w:abstractNum w:abstractNumId="121">
    <w:nsid w:val="5399C654"/>
    <w:multiLevelType w:val="hybridMultilevel"/>
    <w:lvl w:ilvl="0">
      <w:lvlJc w:val="left"/>
      <w:lvlText w:val="(%1)"/>
      <w:numFmt w:val="lowerRoman"/>
      <w:start w:val="1"/>
    </w:lvl>
  </w:abstractNum>
  <w:abstractNum w:abstractNumId="122">
    <w:nsid w:val="20EE1348"/>
    <w:multiLevelType w:val="hybridMultilevel"/>
    <w:lvl w:ilvl="0">
      <w:lvlJc w:val="left"/>
      <w:lvlText w:val="(%1)"/>
      <w:numFmt w:val="lowerLetter"/>
      <w:start w:val="1"/>
    </w:lvl>
  </w:abstractNum>
  <w:abstractNum w:abstractNumId="123">
    <w:nsid w:val="4427069A"/>
    <w:multiLevelType w:val="hybridMultilevel"/>
    <w:lvl w:ilvl="0">
      <w:lvlJc w:val="left"/>
      <w:lvlText w:val="(%1)"/>
      <w:numFmt w:val="lowerLetter"/>
      <w:start w:val="2"/>
    </w:lvl>
  </w:abstractNum>
  <w:abstractNum w:abstractNumId="124">
    <w:nsid w:val="B37E80A"/>
    <w:multiLevelType w:val="hybridMultilevel"/>
    <w:lvl w:ilvl="0">
      <w:lvlJc w:val="left"/>
      <w:lvlText w:val="(%1)"/>
      <w:numFmt w:val="lowerLetter"/>
      <w:start w:val="1"/>
    </w:lvl>
  </w:abstractNum>
  <w:abstractNum w:abstractNumId="125">
    <w:nsid w:val="2157F6BC"/>
    <w:multiLevelType w:val="hybridMultilevel"/>
    <w:lvl w:ilvl="0">
      <w:lvlJc w:val="left"/>
      <w:lvlText w:val="(%1)"/>
      <w:numFmt w:val="lowerLetter"/>
      <w:start w:val="1"/>
    </w:lvl>
  </w:abstractNum>
  <w:abstractNum w:abstractNumId="126">
    <w:nsid w:val="704E1DD5"/>
    <w:multiLevelType w:val="hybridMultilevel"/>
    <w:lvl w:ilvl="0">
      <w:lvlJc w:val="left"/>
      <w:lvlText w:val="(%1)"/>
      <w:numFmt w:val="lowerLetter"/>
      <w:start w:val="2"/>
    </w:lvl>
  </w:abstractNum>
  <w:abstractNum w:abstractNumId="127">
    <w:nsid w:val="57D2F10E"/>
    <w:multiLevelType w:val="hybridMultilevel"/>
    <w:lvl w:ilvl="0">
      <w:lvlJc w:val="left"/>
      <w:lvlText w:val="(%1)"/>
      <w:numFmt w:val="lowerLetter"/>
      <w:start w:val="3"/>
    </w:lvl>
  </w:abstractNum>
  <w:abstractNum w:abstractNumId="128">
    <w:nsid w:val="BFFAE18"/>
    <w:multiLevelType w:val="hybridMultilevel"/>
    <w:lvl w:ilvl="0">
      <w:lvlJc w:val="left"/>
      <w:lvlText w:val="(%1)"/>
      <w:numFmt w:val="lowerLetter"/>
      <w:start w:val="4"/>
    </w:lvl>
  </w:abstractNum>
  <w:abstractNum w:abstractNumId="129">
    <w:nsid w:val="E3E47A8"/>
    <w:multiLevelType w:val="hybridMultilevel"/>
    <w:lvl w:ilvl="0">
      <w:lvlJc w:val="left"/>
      <w:lvlText w:val="(%1)"/>
      <w:numFmt w:val="lowerLetter"/>
      <w:start w:val="5"/>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2"/>
    </w:lvl>
  </w:abstractNum>
  <w:abstractNum w:abstractNumId="132">
    <w:nsid w:val="4BEE5A5B"/>
    <w:multiLevelType w:val="hybridMultilevel"/>
    <w:lvl w:ilvl="0">
      <w:lvlJc w:val="left"/>
      <w:lvlText w:val="(%1)"/>
      <w:numFmt w:val="lowerLetter"/>
      <w:start w:val="1"/>
    </w:lvl>
  </w:abstractNum>
  <w:abstractNum w:abstractNumId="133">
    <w:nsid w:val="5551B9F3"/>
    <w:multiLevelType w:val="hybridMultilevel"/>
    <w:lvl w:ilvl="0">
      <w:lvlJc w:val="left"/>
      <w:lvlText w:val="(%1)"/>
      <w:numFmt w:val="lowerLetter"/>
      <w:start w:val="1"/>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lowerLetter"/>
      <w:start w:val="1"/>
    </w:lvl>
  </w:abstractNum>
  <w:abstractNum w:abstractNumId="136">
    <w:nsid w:val="24E99DD7"/>
    <w:multiLevelType w:val="hybridMultilevel"/>
    <w:lvl w:ilvl="0">
      <w:lvlJc w:val="left"/>
      <w:lvlText w:val="(%1)"/>
      <w:numFmt w:val="lowerLetter"/>
      <w:start w:val="5"/>
    </w:lvl>
  </w:abstractNum>
  <w:abstractNum w:abstractNumId="137">
    <w:nsid w:val="2A31B62D"/>
    <w:multiLevelType w:val="hybridMultilevel"/>
    <w:lvl w:ilvl="0">
      <w:lvlJc w:val="left"/>
      <w:lvlText w:val="(%1)"/>
      <w:numFmt w:val="decimal"/>
      <w:start w:val="10"/>
    </w:lvl>
  </w:abstractNum>
  <w:abstractNum w:abstractNumId="138">
    <w:nsid w:val="1849C29B"/>
    <w:multiLevelType w:val="hybridMultilevel"/>
    <w:lvl w:ilvl="0">
      <w:lvlJc w:val="left"/>
      <w:lvlText w:val="•"/>
      <w:numFmt w:val="bullet"/>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2023-03-16T16:07:14Z</dcterms:created>
  <dcterms:modified xsi:type="dcterms:W3CDTF">2023-03-16T16:07:14Z</dcterms:modified>
</cp:coreProperties>
</file>