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1607.xml.htm"/>
      <w:bookmarkStart w:id="1" w:name="kswkform4_1779221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Kindle Jami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SABRE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3150 SABRE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76092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Sabre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311,345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303,941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7,361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296,580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315,977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309,314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surrender of shares to the issuer upon vesting of restricted shares units granted on May 15, 2024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represents the automatic surrender of shares to the issuer upon vesting of restricted shares units granted on May 15, 2023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represents the automatic surrender of shares to the issuer upon vesting of restricted shares units granted on May 15, 2025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performance-based restricted share units that have vested and are paid out in shares of common stock from a grant dated May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represents the automatic surrender of shares to the issuer upon vesting of performance-based restricted shares units granted on May 15, 2023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Milton as attorney-in-fact for Jami Kindle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9190" TargetMode="External"/><Relationship Id="rId5" Type="http://schemas.openxmlformats.org/officeDocument/2006/relationships/hyperlink" Target="http://www.sec.gov/cgi-bin/browse-edgar?action=getcompany&amp;CIK=0001597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753</Words>
  <Characters>4100</Characters>
  <CharactersWithSpaces>4764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